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10403" w14:textId="77777777" w:rsidR="00AE628C" w:rsidRDefault="00AE628C" w:rsidP="00AE628C">
      <w:pPr>
        <w:spacing w:line="480" w:lineRule="auto"/>
        <w:rPr>
          <w:rFonts w:hint="eastAsia"/>
          <w:b/>
          <w:bCs/>
        </w:rPr>
      </w:pPr>
      <w:r>
        <w:rPr>
          <w:b/>
          <w:bCs/>
        </w:rPr>
        <w:t>Appendix A: Modelling the spatial property distributions</w:t>
      </w:r>
    </w:p>
    <w:p w14:paraId="5693DD8D" w14:textId="6C46ECDA" w:rsidR="00AE628C" w:rsidRDefault="00AE628C" w:rsidP="00AE628C">
      <w:pPr>
        <w:spacing w:line="480" w:lineRule="auto"/>
        <w:rPr>
          <w:rFonts w:hint="eastAsia"/>
        </w:rPr>
      </w:pPr>
      <w:r>
        <w:rPr>
          <w:rFonts w:ascii="Times New Roman" w:hAnsi="Times New Roman"/>
        </w:rPr>
        <w:t xml:space="preserve">To allocate the land parcels to the agents, I first sample for each agent </w:t>
      </w:r>
      <w:r>
        <w:rPr>
          <w:rFonts w:ascii="Times New Roman" w:hAnsi="Times New Roman"/>
          <w:i/>
          <w:iCs/>
        </w:rPr>
        <w:t>m</w:t>
      </w:r>
      <w:r>
        <w:rPr>
          <w:rFonts w:ascii="Times New Roman" w:hAnsi="Times New Roman"/>
        </w:rPr>
        <w:t xml:space="preserve"> </w:t>
      </w:r>
      <w:r>
        <w:rPr>
          <w:rFonts w:ascii="Symbol" w:eastAsia="Times New Roman" w:hAnsi="Symbol" w:cs="Times New Roman"/>
        </w:rPr>
        <w:t></w:t>
      </w:r>
      <w:r>
        <w:rPr>
          <w:rFonts w:ascii="Times New Roman" w:hAnsi="Times New Roman"/>
        </w:rPr>
        <w:t xml:space="preserve"> {1, …, </w:t>
      </w:r>
      <w:r>
        <w:rPr>
          <w:rFonts w:ascii="Times New Roman" w:hAnsi="Times New Roman"/>
          <w:i/>
          <w:iCs/>
        </w:rPr>
        <w:t>M</w:t>
      </w:r>
      <w:r>
        <w:rPr>
          <w:rFonts w:ascii="Times New Roman" w:hAnsi="Times New Roman"/>
        </w:rPr>
        <w:t xml:space="preserve">} a land parcel from the set </w:t>
      </w:r>
      <w:r>
        <w:rPr>
          <w:rFonts w:ascii="Times New Roman" w:hAnsi="Times New Roman"/>
          <w:i/>
          <w:iCs/>
        </w:rPr>
        <w:t>i</w:t>
      </w:r>
      <w:r>
        <w:rPr>
          <w:rFonts w:ascii="Times New Roman" w:hAnsi="Times New Roman"/>
        </w:rPr>
        <w:t xml:space="preserve"> </w:t>
      </w:r>
      <w:r>
        <w:rPr>
          <w:rFonts w:ascii="Symbol" w:eastAsia="Times New Roman" w:hAnsi="Symbol" w:cs="Times New Roman"/>
        </w:rPr>
        <w:t></w:t>
      </w:r>
      <w:r>
        <w:rPr>
          <w:rFonts w:ascii="Times New Roman" w:hAnsi="Times New Roman"/>
        </w:rPr>
        <w:t xml:space="preserve"> {1, …, </w:t>
      </w:r>
      <w:r>
        <w:rPr>
          <w:rFonts w:ascii="Times New Roman" w:hAnsi="Times New Roman"/>
          <w:i/>
          <w:iCs/>
        </w:rPr>
        <w:t>N</w:t>
      </w:r>
      <w:r>
        <w:rPr>
          <w:rFonts w:ascii="Times New Roman" w:hAnsi="Times New Roman"/>
        </w:rPr>
        <w:t xml:space="preserve">} as their central property (“farmhouse”), indexed by </w:t>
      </w:r>
      <w:r>
        <w:rPr>
          <w:rFonts w:ascii="Times New Roman" w:hAnsi="Times New Roman"/>
          <w:i/>
          <w:iCs/>
        </w:rPr>
        <w:t>I</w:t>
      </w:r>
      <w:r>
        <w:rPr>
          <w:rFonts w:ascii="Times New Roman" w:hAnsi="Times New Roman"/>
          <w:i/>
          <w:iCs/>
          <w:vertAlign w:val="subscript"/>
        </w:rPr>
        <w:t>m</w:t>
      </w:r>
      <w:r>
        <w:rPr>
          <w:rFonts w:ascii="Times New Roman" w:hAnsi="Times New Roman"/>
        </w:rPr>
        <w:t>, with coordinates (</w:t>
      </w:r>
      <w:r>
        <w:rPr>
          <w:rFonts w:ascii="Times New Roman" w:hAnsi="Times New Roman"/>
          <w:i/>
          <w:iCs/>
        </w:rPr>
        <w:t>x</w:t>
      </w:r>
      <w:r>
        <w:rPr>
          <w:rFonts w:ascii="Times New Roman" w:hAnsi="Times New Roman"/>
          <w:i/>
          <w:iCs/>
          <w:vertAlign w:val="subscript"/>
        </w:rPr>
        <w:t>I</w:t>
      </w:r>
      <w:r>
        <w:rPr>
          <w:rFonts w:ascii="Times New Roman" w:hAnsi="Times New Roman"/>
        </w:rPr>
        <w:t xml:space="preserve">, </w:t>
      </w:r>
      <w:r>
        <w:rPr>
          <w:rFonts w:ascii="Times New Roman" w:hAnsi="Times New Roman"/>
          <w:i/>
          <w:iCs/>
        </w:rPr>
        <w:t>y</w:t>
      </w:r>
      <w:r>
        <w:rPr>
          <w:rFonts w:ascii="Times New Roman" w:hAnsi="Times New Roman"/>
          <w:i/>
          <w:iCs/>
          <w:vertAlign w:val="subscript"/>
        </w:rPr>
        <w:t>I</w:t>
      </w:r>
      <w:r>
        <w:rPr>
          <w:rFonts w:ascii="Times New Roman" w:hAnsi="Times New Roman"/>
        </w:rPr>
        <w:t xml:space="preserve">). Then, I allocate the remaining land parcels to the agents so that land parcels close to the central land parcel of some agent are likely (but not certainly) in that agent’s ownership, while land parcels further away are less likely to be owned by the agent. To model this dependency, the probability of another land parcel </w:t>
      </w:r>
      <w:r>
        <w:rPr>
          <w:rFonts w:ascii="Times New Roman" w:hAnsi="Times New Roman"/>
          <w:i/>
          <w:iCs/>
        </w:rPr>
        <w:t>j</w:t>
      </w:r>
      <w:r>
        <w:rPr>
          <w:rFonts w:ascii="Times New Roman" w:hAnsi="Times New Roman"/>
        </w:rPr>
        <w:t xml:space="preserve"> (not included in the set of central properties), belonging to some agent </w:t>
      </w:r>
      <w:r>
        <w:rPr>
          <w:rFonts w:ascii="Times New Roman" w:hAnsi="Times New Roman"/>
          <w:i/>
          <w:iCs/>
        </w:rPr>
        <w:t>m</w:t>
      </w:r>
      <w:r>
        <w:rPr>
          <w:rFonts w:ascii="Times New Roman" w:hAnsi="Times New Roman"/>
        </w:rPr>
        <w:t xml:space="preserve"> is given by</w:t>
      </w:r>
    </w:p>
    <w:p w14:paraId="01A74ACF" w14:textId="77777777" w:rsidR="00AE628C" w:rsidRDefault="00AE628C" w:rsidP="00AE628C">
      <w:pPr>
        <w:spacing w:line="480" w:lineRule="auto"/>
        <w:rPr>
          <w:rFonts w:ascii="Times New Roman" w:hAnsi="Times New Roman"/>
        </w:rPr>
      </w:pPr>
    </w:p>
    <w:p w14:paraId="09ED9FD9" w14:textId="3D5F6BE5" w:rsidR="00AE628C" w:rsidRDefault="00AE628C" w:rsidP="00AE628C">
      <w:pPr>
        <w:spacing w:line="480" w:lineRule="auto"/>
        <w:rPr>
          <w:rFonts w:hint="eastAsia"/>
        </w:rPr>
      </w:pPr>
      <w:r>
        <w:rPr>
          <w:noProof/>
        </w:rPr>
        <w:drawing>
          <wp:inline distT="0" distB="0" distL="0" distR="0" wp14:anchorId="24417277" wp14:editId="2CC2846F">
            <wp:extent cx="1448435" cy="25336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23"/>
                    <pic:cNvPicPr preferRelativeResize="0">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8435" cy="253365"/>
                    </a:xfrm>
                    <a:prstGeom prst="rect">
                      <a:avLst/>
                    </a:prstGeom>
                    <a:solidFill>
                      <a:srgbClr val="FFFFFF"/>
                    </a:solidFill>
                    <a:ln>
                      <a:noFill/>
                    </a:ln>
                  </pic:spPr>
                </pic:pic>
              </a:graphicData>
            </a:graphic>
          </wp:inline>
        </w:drawing>
      </w:r>
      <w:r>
        <w:rPr>
          <w:rFonts w:ascii="Times New Roman" w:hAnsi="Times New Roman"/>
        </w:rPr>
        <w:t xml:space="preserve"> ,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p>
    <w:p w14:paraId="7C1A0798" w14:textId="77777777" w:rsidR="00AE628C" w:rsidRDefault="00AE628C" w:rsidP="00AE628C">
      <w:pPr>
        <w:spacing w:line="480" w:lineRule="auto"/>
        <w:rPr>
          <w:rFonts w:ascii="Times New Roman" w:hAnsi="Times New Roman"/>
        </w:rPr>
      </w:pPr>
    </w:p>
    <w:p w14:paraId="0DA24DAB" w14:textId="77777777" w:rsidR="00AE628C" w:rsidRDefault="00AE628C" w:rsidP="00AE628C">
      <w:pPr>
        <w:spacing w:line="480" w:lineRule="auto"/>
        <w:rPr>
          <w:rFonts w:hint="eastAsia"/>
        </w:rPr>
      </w:pPr>
      <w:r>
        <w:rPr>
          <w:rFonts w:ascii="Times New Roman" w:hAnsi="Times New Roman"/>
        </w:rPr>
        <w:t xml:space="preserve">where </w:t>
      </w:r>
      <w:r>
        <w:rPr>
          <w:rFonts w:ascii="Times New Roman" w:hAnsi="Times New Roman"/>
          <w:i/>
          <w:iCs/>
        </w:rPr>
        <w:t>d</w:t>
      </w:r>
      <w:r>
        <w:rPr>
          <w:rFonts w:ascii="Times New Roman" w:hAnsi="Times New Roman"/>
        </w:rPr>
        <w:t>(</w:t>
      </w:r>
      <w:r>
        <w:rPr>
          <w:rFonts w:ascii="Times New Roman" w:hAnsi="Times New Roman"/>
          <w:i/>
          <w:iCs/>
        </w:rPr>
        <w:t>j</w:t>
      </w:r>
      <w:r>
        <w:rPr>
          <w:rFonts w:ascii="Times New Roman" w:hAnsi="Times New Roman"/>
        </w:rPr>
        <w:t xml:space="preserve">, </w:t>
      </w:r>
      <w:r>
        <w:rPr>
          <w:rFonts w:ascii="Times New Roman" w:hAnsi="Times New Roman"/>
          <w:i/>
          <w:iCs/>
        </w:rPr>
        <w:t>I</w:t>
      </w:r>
      <w:r>
        <w:rPr>
          <w:rFonts w:ascii="Times New Roman" w:hAnsi="Times New Roman"/>
          <w:i/>
          <w:iCs/>
          <w:vertAlign w:val="subscript"/>
        </w:rPr>
        <w:t>m</w:t>
      </w:r>
      <w:r>
        <w:rPr>
          <w:rFonts w:ascii="Times New Roman" w:hAnsi="Times New Roman"/>
        </w:rPr>
        <w:t xml:space="preserve">) is the Euclidean distance between land parcel </w:t>
      </w:r>
      <w:r>
        <w:rPr>
          <w:rFonts w:ascii="Times New Roman" w:hAnsi="Times New Roman"/>
          <w:i/>
          <w:iCs/>
        </w:rPr>
        <w:t>j</w:t>
      </w:r>
      <w:r>
        <w:rPr>
          <w:rFonts w:ascii="Times New Roman" w:hAnsi="Times New Roman"/>
        </w:rPr>
        <w:t xml:space="preserve"> and central land parcel </w:t>
      </w:r>
      <w:r>
        <w:rPr>
          <w:rFonts w:ascii="Times New Roman" w:hAnsi="Times New Roman"/>
          <w:i/>
          <w:iCs/>
        </w:rPr>
        <w:t>I</w:t>
      </w:r>
      <w:r>
        <w:rPr>
          <w:rFonts w:ascii="Times New Roman" w:hAnsi="Times New Roman"/>
          <w:i/>
          <w:iCs/>
          <w:vertAlign w:val="subscript"/>
        </w:rPr>
        <w:t>m</w:t>
      </w:r>
      <w:r>
        <w:rPr>
          <w:rFonts w:ascii="Times New Roman" w:hAnsi="Times New Roman"/>
        </w:rPr>
        <w:t xml:space="preserve">, and measures how fast the probability </w:t>
      </w:r>
      <w:r>
        <w:rPr>
          <w:rFonts w:ascii="Times New Roman" w:hAnsi="Times New Roman"/>
          <w:i/>
          <w:iCs/>
        </w:rPr>
        <w:t>p</w:t>
      </w:r>
      <w:r>
        <w:rPr>
          <w:rFonts w:ascii="Times New Roman" w:hAnsi="Times New Roman"/>
          <w:i/>
          <w:iCs/>
          <w:vertAlign w:val="subscript"/>
        </w:rPr>
        <w:t>jm</w:t>
      </w:r>
      <w:r>
        <w:rPr>
          <w:rFonts w:ascii="Times New Roman" w:hAnsi="Times New Roman"/>
        </w:rPr>
        <w:t xml:space="preserve"> declines with increasing distance </w:t>
      </w:r>
      <w:r>
        <w:rPr>
          <w:rFonts w:ascii="Times New Roman" w:hAnsi="Times New Roman"/>
          <w:i/>
          <w:iCs/>
        </w:rPr>
        <w:t>d</w:t>
      </w:r>
      <w:r>
        <w:rPr>
          <w:rFonts w:ascii="Times New Roman" w:hAnsi="Times New Roman"/>
        </w:rPr>
        <w:t>(</w:t>
      </w:r>
      <w:r>
        <w:rPr>
          <w:rFonts w:ascii="Times New Roman" w:hAnsi="Times New Roman"/>
          <w:i/>
          <w:iCs/>
        </w:rPr>
        <w:t>j</w:t>
      </w:r>
      <w:r>
        <w:rPr>
          <w:rFonts w:ascii="Times New Roman" w:hAnsi="Times New Roman"/>
        </w:rPr>
        <w:t xml:space="preserve">, </w:t>
      </w:r>
      <w:r>
        <w:rPr>
          <w:rFonts w:ascii="Times New Roman" w:hAnsi="Times New Roman"/>
          <w:i/>
          <w:iCs/>
        </w:rPr>
        <w:t>I</w:t>
      </w:r>
      <w:r>
        <w:rPr>
          <w:rFonts w:ascii="Times New Roman" w:hAnsi="Times New Roman"/>
          <w:i/>
          <w:iCs/>
          <w:vertAlign w:val="subscript"/>
        </w:rPr>
        <w:t>m</w:t>
      </w:r>
      <w:r>
        <w:rPr>
          <w:rFonts w:ascii="Times New Roman" w:hAnsi="Times New Roman"/>
        </w:rPr>
        <w:t>).</w:t>
      </w:r>
    </w:p>
    <w:p w14:paraId="268A4328" w14:textId="77777777" w:rsidR="00AE628C" w:rsidRDefault="00AE628C" w:rsidP="00AE628C">
      <w:pPr>
        <w:spacing w:line="480" w:lineRule="auto"/>
        <w:rPr>
          <w:rFonts w:ascii="Times New Roman" w:hAnsi="Times New Roman"/>
        </w:rPr>
      </w:pPr>
    </w:p>
    <w:p w14:paraId="213F2B8D" w14:textId="0631D46B" w:rsidR="00AE628C" w:rsidRDefault="00AE628C" w:rsidP="00AE628C">
      <w:pPr>
        <w:spacing w:line="480" w:lineRule="auto"/>
        <w:rPr>
          <w:rFonts w:hint="eastAsia"/>
        </w:rPr>
      </w:pPr>
      <w:r>
        <w:rPr>
          <w:rFonts w:ascii="Times New Roman" w:hAnsi="Times New Roman"/>
        </w:rPr>
        <w:t xml:space="preserve">After the </w:t>
      </w:r>
      <w:r>
        <w:rPr>
          <w:rFonts w:ascii="Times New Roman" w:hAnsi="Times New Roman"/>
          <w:i/>
          <w:iCs/>
        </w:rPr>
        <w:t>p</w:t>
      </w:r>
      <w:r>
        <w:rPr>
          <w:rFonts w:ascii="Times New Roman" w:hAnsi="Times New Roman"/>
          <w:i/>
          <w:iCs/>
          <w:vertAlign w:val="subscript"/>
        </w:rPr>
        <w:t>jm</w:t>
      </w:r>
      <w:r>
        <w:rPr>
          <w:rFonts w:ascii="Times New Roman" w:hAnsi="Times New Roman"/>
        </w:rPr>
        <w:t xml:space="preserve"> has been calculated for all pairs (</w:t>
      </w:r>
      <w:r>
        <w:rPr>
          <w:rFonts w:ascii="Times New Roman" w:hAnsi="Times New Roman"/>
          <w:i/>
          <w:iCs/>
        </w:rPr>
        <w:t>m</w:t>
      </w:r>
      <w:r>
        <w:rPr>
          <w:rFonts w:ascii="Times New Roman" w:hAnsi="Times New Roman"/>
        </w:rPr>
        <w:t xml:space="preserve">, </w:t>
      </w:r>
      <w:r>
        <w:rPr>
          <w:rFonts w:ascii="Times New Roman" w:hAnsi="Times New Roman"/>
          <w:i/>
          <w:iCs/>
        </w:rPr>
        <w:t>j</w:t>
      </w:r>
      <w:r>
        <w:rPr>
          <w:rFonts w:ascii="Times New Roman" w:hAnsi="Times New Roman"/>
        </w:rPr>
        <w:t>), they are, for each land parcel, normalised to a sum of one. From the distribution formed by these probabilities, for each land parcel, the ownership (</w:t>
      </w:r>
      <w:r>
        <w:rPr>
          <w:rFonts w:ascii="Times New Roman" w:hAnsi="Times New Roman"/>
          <w:i/>
          <w:iCs/>
        </w:rPr>
        <w:t>m</w:t>
      </w:r>
      <w:r>
        <w:rPr>
          <w:rFonts w:ascii="Times New Roman" w:hAnsi="Times New Roman"/>
        </w:rPr>
        <w:t xml:space="preserve">) is sampled. A large “landholding cohesion parameter” </w:t>
      </w:r>
      <w:r>
        <w:rPr>
          <w:rFonts w:ascii="Symbol" w:hAnsi="Symbol"/>
          <w:i/>
          <w:iCs/>
        </w:rPr>
        <w:t>a</w:t>
      </w:r>
      <w:r>
        <w:rPr>
          <w:rFonts w:ascii="Times New Roman" w:hAnsi="Times New Roman"/>
        </w:rPr>
        <w:t xml:space="preserve"> implies a clustering of the land parcels around their respective central land parcel, while </w:t>
      </w:r>
      <w:r>
        <w:rPr>
          <w:rFonts w:ascii="Symbol" w:hAnsi="Symbol"/>
          <w:i/>
          <w:iCs/>
        </w:rPr>
        <w:t>a</w:t>
      </w:r>
      <w:r>
        <w:rPr>
          <w:rFonts w:ascii="Times New Roman" w:hAnsi="Times New Roman"/>
        </w:rPr>
        <w:t xml:space="preserve"> = 0 implies that the ownership </w:t>
      </w:r>
      <w:r>
        <w:rPr>
          <w:rFonts w:ascii="Times New Roman" w:hAnsi="Times New Roman"/>
          <w:i/>
          <w:iCs/>
        </w:rPr>
        <w:t>O</w:t>
      </w:r>
      <w:r>
        <w:rPr>
          <w:rFonts w:ascii="Times New Roman" w:hAnsi="Times New Roman"/>
          <w:i/>
          <w:iCs/>
          <w:vertAlign w:val="subscript"/>
        </w:rPr>
        <w:t>i</w:t>
      </w:r>
      <w:r>
        <w:rPr>
          <w:rFonts w:ascii="Times New Roman" w:hAnsi="Times New Roman"/>
        </w:rPr>
        <w:t xml:space="preserve"> of land parcel </w:t>
      </w:r>
      <w:r>
        <w:rPr>
          <w:rFonts w:ascii="Times New Roman" w:hAnsi="Times New Roman"/>
          <w:i/>
          <w:iCs/>
        </w:rPr>
        <w:t>i</w:t>
      </w:r>
      <w:r>
        <w:rPr>
          <w:rFonts w:ascii="Times New Roman" w:hAnsi="Times New Roman"/>
        </w:rPr>
        <w:t xml:space="preserve"> is completely random in space. The outcomes of this procedure are these ownerships </w:t>
      </w:r>
      <w:r>
        <w:rPr>
          <w:rFonts w:ascii="Times New Roman" w:hAnsi="Times New Roman"/>
          <w:i/>
          <w:iCs/>
        </w:rPr>
        <w:t>O</w:t>
      </w:r>
      <w:r>
        <w:rPr>
          <w:rFonts w:ascii="Times New Roman" w:hAnsi="Times New Roman"/>
          <w:i/>
          <w:iCs/>
          <w:vertAlign w:val="subscript"/>
        </w:rPr>
        <w:t>i</w:t>
      </w:r>
      <w:r>
        <w:rPr>
          <w:rFonts w:ascii="Times New Roman" w:hAnsi="Times New Roman"/>
        </w:rPr>
        <w:t xml:space="preserve"> (with </w:t>
      </w:r>
      <w:r>
        <w:rPr>
          <w:rFonts w:ascii="Times New Roman" w:hAnsi="Times New Roman"/>
          <w:i/>
          <w:iCs/>
        </w:rPr>
        <w:t>O</w:t>
      </w:r>
      <w:r>
        <w:rPr>
          <w:rFonts w:ascii="Times New Roman" w:hAnsi="Times New Roman"/>
          <w:i/>
          <w:iCs/>
          <w:vertAlign w:val="subscript"/>
        </w:rPr>
        <w:t>i</w:t>
      </w:r>
      <w:r>
        <w:rPr>
          <w:rFonts w:ascii="Times New Roman" w:hAnsi="Times New Roman"/>
        </w:rPr>
        <w:t xml:space="preserve"> </w:t>
      </w:r>
      <w:r>
        <w:rPr>
          <w:rFonts w:ascii="Symbol" w:eastAsia="Times New Roman" w:hAnsi="Symbol" w:cs="Times New Roman"/>
        </w:rPr>
        <w:t></w:t>
      </w:r>
      <w:r>
        <w:rPr>
          <w:rFonts w:ascii="Times New Roman" w:hAnsi="Times New Roman"/>
        </w:rPr>
        <w:t xml:space="preserve"> {1, …, </w:t>
      </w:r>
      <w:r>
        <w:rPr>
          <w:rFonts w:ascii="Times New Roman" w:hAnsi="Times New Roman"/>
          <w:i/>
          <w:iCs/>
        </w:rPr>
        <w:t>M</w:t>
      </w:r>
      <w:r>
        <w:rPr>
          <w:rFonts w:ascii="Times New Roman" w:hAnsi="Times New Roman"/>
        </w:rPr>
        <w:t xml:space="preserve">}) for all land parcels </w:t>
      </w:r>
      <w:r>
        <w:rPr>
          <w:rFonts w:ascii="Times New Roman" w:hAnsi="Times New Roman"/>
          <w:i/>
          <w:iCs/>
        </w:rPr>
        <w:t>i</w:t>
      </w:r>
      <w:r>
        <w:rPr>
          <w:rFonts w:ascii="Times New Roman" w:hAnsi="Times New Roman"/>
        </w:rPr>
        <w:t xml:space="preserve"> </w:t>
      </w:r>
      <w:r>
        <w:rPr>
          <w:rFonts w:ascii="Symbol" w:eastAsia="Times New Roman" w:hAnsi="Symbol" w:cs="Times New Roman"/>
        </w:rPr>
        <w:t></w:t>
      </w:r>
      <w:r>
        <w:rPr>
          <w:rFonts w:ascii="Times New Roman" w:hAnsi="Times New Roman"/>
        </w:rPr>
        <w:t xml:space="preserve"> {1, …, </w:t>
      </w:r>
      <w:r>
        <w:rPr>
          <w:rFonts w:ascii="Times New Roman" w:hAnsi="Times New Roman"/>
          <w:i/>
          <w:iCs/>
        </w:rPr>
        <w:t>N</w:t>
      </w:r>
      <w:r>
        <w:rPr>
          <w:rFonts w:ascii="Times New Roman" w:hAnsi="Times New Roman"/>
        </w:rPr>
        <w:t>}.</w:t>
      </w:r>
    </w:p>
    <w:p w14:paraId="0F7687C8" w14:textId="77777777" w:rsidR="00AE628C" w:rsidRDefault="00AE628C" w:rsidP="00AE628C">
      <w:pPr>
        <w:spacing w:line="480" w:lineRule="auto"/>
        <w:rPr>
          <w:rFonts w:ascii="Times New Roman" w:hAnsi="Times New Roman"/>
        </w:rPr>
      </w:pPr>
    </w:p>
    <w:p w14:paraId="5143C90A" w14:textId="77777777" w:rsidR="00AE628C" w:rsidRDefault="00AE628C" w:rsidP="00AE628C">
      <w:pPr>
        <w:spacing w:line="480" w:lineRule="auto"/>
        <w:rPr>
          <w:rFonts w:ascii="Times New Roman" w:hAnsi="Times New Roman"/>
          <w:b/>
          <w:bCs/>
        </w:rPr>
      </w:pPr>
      <w:r>
        <w:rPr>
          <w:rFonts w:ascii="Times New Roman" w:hAnsi="Times New Roman"/>
          <w:b/>
          <w:bCs/>
        </w:rPr>
        <w:t>Appendix B: Choice of model parameter values</w:t>
      </w:r>
    </w:p>
    <w:p w14:paraId="3084661E" w14:textId="080BBD58" w:rsidR="00AE628C" w:rsidRDefault="00AE628C" w:rsidP="00AE628C">
      <w:pPr>
        <w:spacing w:line="480" w:lineRule="auto"/>
        <w:rPr>
          <w:rFonts w:hint="eastAsia"/>
        </w:rPr>
      </w:pPr>
      <w:r>
        <w:rPr>
          <w:rFonts w:ascii="Times New Roman" w:hAnsi="Times New Roman"/>
        </w:rPr>
        <w:t>Given the normal distribution of the conservation costs (and identifying the conservation percentages 2.5%, 7%, 16%, 31%, and 50% considered in section 2.3 as quantiles), the associated payment levels are 1 – 2</w:t>
      </w:r>
      <w:r>
        <w:rPr>
          <w:rFonts w:ascii="Symbol" w:hAnsi="Symbol"/>
          <w:i/>
          <w:iCs/>
        </w:rPr>
        <w:t>s</w:t>
      </w:r>
      <w:r>
        <w:rPr>
          <w:rFonts w:ascii="Times New Roman" w:hAnsi="Times New Roman"/>
        </w:rPr>
        <w:t>, 1 – 1.5</w:t>
      </w:r>
      <w:r>
        <w:rPr>
          <w:rFonts w:ascii="Symbol" w:hAnsi="Symbol"/>
          <w:i/>
          <w:iCs/>
        </w:rPr>
        <w:t>s</w:t>
      </w:r>
      <w:r>
        <w:rPr>
          <w:rFonts w:ascii="Times New Roman" w:hAnsi="Times New Roman"/>
        </w:rPr>
        <w:t xml:space="preserve">, 1 – </w:t>
      </w:r>
      <w:r>
        <w:rPr>
          <w:rFonts w:ascii="Symbol" w:hAnsi="Symbol"/>
          <w:i/>
          <w:iCs/>
        </w:rPr>
        <w:t>s</w:t>
      </w:r>
      <w:r>
        <w:rPr>
          <w:rFonts w:ascii="Times New Roman" w:hAnsi="Times New Roman"/>
        </w:rPr>
        <w:t>, 1 – 0.5</w:t>
      </w:r>
      <w:r>
        <w:rPr>
          <w:rFonts w:ascii="Symbol" w:hAnsi="Symbol"/>
          <w:i/>
          <w:iCs/>
        </w:rPr>
        <w:t>s,</w:t>
      </w:r>
      <w:r>
        <w:rPr>
          <w:rFonts w:ascii="Times New Roman" w:hAnsi="Times New Roman"/>
        </w:rPr>
        <w:t xml:space="preserve"> and 1.</w:t>
      </w:r>
    </w:p>
    <w:p w14:paraId="624E4C70" w14:textId="77777777" w:rsidR="00AE628C" w:rsidRDefault="00AE628C" w:rsidP="00AE628C">
      <w:pPr>
        <w:spacing w:line="480" w:lineRule="auto"/>
        <w:rPr>
          <w:rFonts w:hint="eastAsia"/>
        </w:rPr>
      </w:pPr>
    </w:p>
    <w:p w14:paraId="70D73FB9" w14:textId="77777777" w:rsidR="00AE628C" w:rsidRDefault="00AE628C" w:rsidP="00AE628C">
      <w:pPr>
        <w:spacing w:line="480" w:lineRule="auto"/>
        <w:rPr>
          <w:rFonts w:ascii="Times New Roman" w:hAnsi="Times New Roman"/>
        </w:rPr>
      </w:pPr>
    </w:p>
    <w:p w14:paraId="0CB490A6" w14:textId="53FB8403" w:rsidR="00AE628C" w:rsidRDefault="00AE628C" w:rsidP="00AE628C">
      <w:pPr>
        <w:spacing w:line="480" w:lineRule="auto"/>
        <w:rPr>
          <w:rFonts w:hint="eastAsia"/>
        </w:rPr>
      </w:pPr>
      <w:r>
        <w:rPr>
          <w:rFonts w:ascii="Times New Roman" w:hAnsi="Times New Roman"/>
        </w:rPr>
        <w:t>The values of the other model parameters are chosen</w:t>
      </w:r>
      <w:r>
        <w:rPr>
          <w:rFonts w:ascii="Times New Roman" w:hAnsi="Times New Roman"/>
          <w:color w:val="000000"/>
        </w:rPr>
        <w:t xml:space="preserve"> with the following arguments. As argued by Drechsler and Grimm (in press), the impact of the bon</w:t>
      </w:r>
      <w:r>
        <w:rPr>
          <w:rFonts w:ascii="Times New Roman" w:hAnsi="Times New Roman"/>
        </w:rPr>
        <w:t xml:space="preserve">us </w:t>
      </w:r>
      <w:r>
        <w:rPr>
          <w:rFonts w:ascii="Times New Roman" w:hAnsi="Times New Roman"/>
          <w:i/>
          <w:iCs/>
        </w:rPr>
        <w:t>b</w:t>
      </w:r>
      <w:r>
        <w:rPr>
          <w:rFonts w:ascii="Times New Roman" w:hAnsi="Times New Roman"/>
        </w:rPr>
        <w:t xml:space="preserve"> is proportional to the magnitude of the cost variation </w:t>
      </w:r>
      <w:r>
        <w:rPr>
          <w:rFonts w:ascii="Symbol" w:hAnsi="Symbol"/>
          <w:i/>
          <w:iCs/>
        </w:rPr>
        <w:t>s</w:t>
      </w:r>
      <w:r>
        <w:rPr>
          <w:rFonts w:ascii="Times New Roman" w:hAnsi="Times New Roman"/>
        </w:rPr>
        <w:t xml:space="preserve">, so that for </w:t>
      </w:r>
      <w:r>
        <w:rPr>
          <w:rFonts w:ascii="Symbol" w:hAnsi="Symbol"/>
          <w:i/>
          <w:iCs/>
        </w:rPr>
        <w:t>s</w:t>
      </w:r>
      <w:r>
        <w:rPr>
          <w:rFonts w:ascii="Times New Roman" w:hAnsi="Times New Roman"/>
        </w:rPr>
        <w:t xml:space="preserve"> = 0.1 a bonus of size 0.05 has, ceteris paribus, the same effect as a bonus of 0.1 in the case of </w:t>
      </w:r>
      <w:r>
        <w:rPr>
          <w:rFonts w:ascii="Symbol" w:hAnsi="Symbol"/>
          <w:i/>
          <w:iCs/>
        </w:rPr>
        <w:t>s</w:t>
      </w:r>
      <w:r>
        <w:rPr>
          <w:rFonts w:ascii="Times New Roman" w:hAnsi="Times New Roman"/>
        </w:rPr>
        <w:t xml:space="preserve"> = 0.2. Thus, for convenience and reasons of better comparability, I scale the bonus in units of </w:t>
      </w:r>
      <w:r>
        <w:rPr>
          <w:rFonts w:ascii="Symbol" w:hAnsi="Symbol"/>
          <w:i/>
          <w:iCs/>
        </w:rPr>
        <w:t>s</w:t>
      </w:r>
      <w:r>
        <w:rPr>
          <w:rFonts w:ascii="Times New Roman" w:hAnsi="Times New Roman"/>
        </w:rPr>
        <w:t>. As Drechsler and Grimm (in press) show, a bonus of size 0.5</w:t>
      </w:r>
      <w:r>
        <w:rPr>
          <w:rFonts w:ascii="Symbol" w:hAnsi="Symbol"/>
          <w:i/>
          <w:iCs/>
        </w:rPr>
        <w:t>s</w:t>
      </w:r>
      <w:r>
        <w:rPr>
          <w:rFonts w:ascii="Times New Roman" w:hAnsi="Times New Roman"/>
        </w:rPr>
        <w:t xml:space="preserve"> generally leads to a rather high level of spatial agglomeration. In the present analysis, I consider the three levels given in Table 3.</w:t>
      </w:r>
    </w:p>
    <w:p w14:paraId="061DEE46" w14:textId="77777777" w:rsidR="00AE628C" w:rsidRDefault="00AE628C" w:rsidP="00AE628C">
      <w:pPr>
        <w:spacing w:line="480" w:lineRule="auto"/>
        <w:rPr>
          <w:rFonts w:ascii="Times New Roman" w:hAnsi="Times New Roman"/>
        </w:rPr>
      </w:pPr>
    </w:p>
    <w:p w14:paraId="454AAF39" w14:textId="77777777" w:rsidR="00AE628C" w:rsidRDefault="00AE628C" w:rsidP="00AE628C">
      <w:pPr>
        <w:spacing w:line="360" w:lineRule="auto"/>
        <w:rPr>
          <w:rFonts w:hint="eastAsia"/>
        </w:rPr>
      </w:pPr>
      <w:r>
        <w:rPr>
          <w:rFonts w:ascii="Times New Roman" w:hAnsi="Times New Roman"/>
          <w:b/>
          <w:bCs/>
        </w:rPr>
        <w:t xml:space="preserve">Appendix </w:t>
      </w:r>
      <w:r>
        <w:rPr>
          <w:rFonts w:ascii="Times New Roman" w:hAnsi="Times New Roman"/>
          <w:b/>
          <w:bCs/>
          <w:color w:val="000000"/>
        </w:rPr>
        <w:t>C</w:t>
      </w:r>
      <w:r>
        <w:rPr>
          <w:rFonts w:ascii="Times New Roman" w:hAnsi="Times New Roman"/>
          <w:b/>
          <w:bCs/>
        </w:rPr>
        <w:t>: Results for N = 8</w:t>
      </w:r>
      <w:r>
        <w:rPr>
          <w:rFonts w:ascii="Symbol" w:eastAsia="Times New Roman" w:hAnsi="Symbol" w:cs="Times New Roman"/>
          <w:b/>
          <w:bCs/>
        </w:rPr>
        <w:t></w:t>
      </w:r>
      <w:r>
        <w:rPr>
          <w:rFonts w:ascii="Times New Roman" w:hAnsi="Times New Roman"/>
          <w:b/>
          <w:bCs/>
        </w:rPr>
        <w:t>8 = 64 land parcels</w:t>
      </w:r>
    </w:p>
    <w:p w14:paraId="5D30F599" w14:textId="77777777" w:rsidR="00AE628C" w:rsidRDefault="00AE628C" w:rsidP="00AE628C">
      <w:pPr>
        <w:spacing w:line="360" w:lineRule="auto"/>
        <w:jc w:val="center"/>
        <w:rPr>
          <w:rFonts w:hint="eastAsia"/>
        </w:rPr>
      </w:pPr>
      <w:r>
        <w:rPr>
          <w:noProof/>
        </w:rPr>
        <w:drawing>
          <wp:anchor distT="0" distB="0" distL="0" distR="0" simplePos="0" relativeHeight="251659264" behindDoc="0" locked="0" layoutInCell="1" allowOverlap="1" wp14:anchorId="2DC11FE4" wp14:editId="64F13CBA">
            <wp:simplePos x="0" y="0"/>
            <wp:positionH relativeFrom="column">
              <wp:posOffset>0</wp:posOffset>
            </wp:positionH>
            <wp:positionV relativeFrom="paragraph">
              <wp:posOffset>67310</wp:posOffset>
            </wp:positionV>
            <wp:extent cx="6120130" cy="1950085"/>
            <wp:effectExtent l="0" t="0" r="0" b="0"/>
            <wp:wrapSquare wrapText="largest"/>
            <wp:docPr id="6" name="Bild5" descr="A graph of a number of lanc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5" descr="A graph of a number of lancing&#10;&#10;Description automatically generated with medium confidence"/>
                    <pic:cNvPicPr>
                      <a:picLocks noChangeAspect="1" noChangeArrowheads="1"/>
                    </pic:cNvPicPr>
                  </pic:nvPicPr>
                  <pic:blipFill>
                    <a:blip r:embed="rId5"/>
                    <a:stretch>
                      <a:fillRect/>
                    </a:stretch>
                  </pic:blipFill>
                  <pic:spPr bwMode="auto">
                    <a:xfrm>
                      <a:off x="0" y="0"/>
                      <a:ext cx="6120130" cy="1950085"/>
                    </a:xfrm>
                    <a:prstGeom prst="rect">
                      <a:avLst/>
                    </a:prstGeom>
                  </pic:spPr>
                </pic:pic>
              </a:graphicData>
            </a:graphic>
          </wp:anchor>
        </w:drawing>
      </w:r>
      <w:r>
        <w:rPr>
          <w:rFonts w:ascii="Times New Roman" w:hAnsi="Times New Roman"/>
        </w:rPr>
        <w:t xml:space="preserve">Figure </w:t>
      </w:r>
      <w:r>
        <w:rPr>
          <w:rFonts w:ascii="Times New Roman" w:hAnsi="Times New Roman"/>
          <w:color w:val="000000"/>
        </w:rPr>
        <w:t>C</w:t>
      </w:r>
      <w:r>
        <w:rPr>
          <w:rFonts w:ascii="Times New Roman" w:hAnsi="Times New Roman"/>
        </w:rPr>
        <w:t xml:space="preserve">1: Proportion </w:t>
      </w:r>
      <w:r>
        <w:rPr>
          <w:rFonts w:ascii="Times New Roman" w:hAnsi="Times New Roman"/>
          <w:i/>
          <w:iCs/>
        </w:rPr>
        <w:t>q</w:t>
      </w:r>
      <w:r>
        <w:rPr>
          <w:rFonts w:ascii="Times New Roman" w:hAnsi="Times New Roman"/>
        </w:rPr>
        <w:t xml:space="preserve"> and spatial agglomeration </w:t>
      </w:r>
      <w:r>
        <w:rPr>
          <w:rFonts w:ascii="Symbol" w:hAnsi="Symbol"/>
          <w:i/>
          <w:iCs/>
        </w:rPr>
        <w:t>g</w:t>
      </w:r>
      <w:r>
        <w:rPr>
          <w:rFonts w:ascii="Times New Roman" w:hAnsi="Times New Roman"/>
        </w:rPr>
        <w:t xml:space="preserve"> of conserved land parcels (panels a and b) and ecological benefit </w:t>
      </w:r>
      <w:r>
        <w:rPr>
          <w:rFonts w:ascii="Times New Roman" w:hAnsi="Times New Roman"/>
          <w:i/>
          <w:iCs/>
        </w:rPr>
        <w:t>V</w:t>
      </w:r>
      <w:r>
        <w:rPr>
          <w:rFonts w:ascii="Times New Roman" w:hAnsi="Times New Roman"/>
        </w:rPr>
        <w:t xml:space="preserve"> (panel c) as functions of the number of model agents </w:t>
      </w:r>
      <w:r>
        <w:rPr>
          <w:rFonts w:ascii="Times New Roman" w:hAnsi="Times New Roman"/>
          <w:i/>
          <w:iCs/>
        </w:rPr>
        <w:t>M</w:t>
      </w:r>
      <w:r>
        <w:rPr>
          <w:rFonts w:ascii="Times New Roman" w:hAnsi="Times New Roman"/>
        </w:rPr>
        <w:t xml:space="preserve">, for a given conservation budget </w:t>
      </w:r>
      <w:r>
        <w:rPr>
          <w:rFonts w:ascii="Times New Roman" w:hAnsi="Times New Roman"/>
          <w:i/>
          <w:iCs/>
        </w:rPr>
        <w:t>B</w:t>
      </w:r>
      <w:r>
        <w:rPr>
          <w:rFonts w:ascii="Times New Roman" w:hAnsi="Times New Roman"/>
        </w:rPr>
        <w:t xml:space="preserve">. Shown for the five different budget levels of Table 2 (increasing from bottom to top). Model parameters as defined for the base scenario of Table 3, with a large bonus of </w:t>
      </w:r>
      <w:r>
        <w:rPr>
          <w:rFonts w:ascii="Times New Roman" w:hAnsi="Times New Roman"/>
          <w:i/>
          <w:iCs/>
        </w:rPr>
        <w:t>b</w:t>
      </w:r>
      <w:r>
        <w:rPr>
          <w:rFonts w:ascii="Times New Roman" w:hAnsi="Times New Roman"/>
        </w:rPr>
        <w:t xml:space="preserve"> = 0.5</w:t>
      </w:r>
      <w:r>
        <w:rPr>
          <w:rFonts w:ascii="Symbol" w:hAnsi="Symbol"/>
          <w:i/>
          <w:iCs/>
        </w:rPr>
        <w:t>s</w:t>
      </w:r>
      <w:r>
        <w:rPr>
          <w:rFonts w:ascii="Times New Roman" w:hAnsi="Times New Roman"/>
        </w:rPr>
        <w:t xml:space="preserve">. The number of land parcels is </w:t>
      </w:r>
      <w:r>
        <w:rPr>
          <w:rFonts w:ascii="Times New Roman" w:hAnsi="Times New Roman"/>
          <w:i/>
          <w:iCs/>
        </w:rPr>
        <w:t>N</w:t>
      </w:r>
      <w:r>
        <w:rPr>
          <w:rFonts w:ascii="Times New Roman" w:hAnsi="Times New Roman"/>
        </w:rPr>
        <w:t xml:space="preserve"> = 6</w:t>
      </w:r>
      <w:r>
        <w:rPr>
          <w:rFonts w:ascii="Symbol" w:eastAsia="Times New Roman" w:hAnsi="Symbol" w:cs="Times New Roman"/>
        </w:rPr>
        <w:t></w:t>
      </w:r>
      <w:r>
        <w:rPr>
          <w:rFonts w:ascii="Times New Roman" w:hAnsi="Times New Roman"/>
        </w:rPr>
        <w:t>6 = 36.</w:t>
      </w:r>
    </w:p>
    <w:p w14:paraId="3A4ACAE5" w14:textId="77777777" w:rsidR="00AE628C" w:rsidRDefault="00AE628C" w:rsidP="00AE628C">
      <w:pPr>
        <w:spacing w:line="360" w:lineRule="auto"/>
        <w:jc w:val="center"/>
        <w:rPr>
          <w:rFonts w:ascii="Times New Roman" w:hAnsi="Times New Roman"/>
        </w:rPr>
      </w:pPr>
    </w:p>
    <w:p w14:paraId="625684A3" w14:textId="77777777" w:rsidR="00AE628C" w:rsidRDefault="00AE628C" w:rsidP="00AE628C">
      <w:pPr>
        <w:spacing w:line="360" w:lineRule="auto"/>
        <w:jc w:val="center"/>
        <w:rPr>
          <w:rFonts w:hint="eastAsia"/>
        </w:rPr>
      </w:pPr>
      <w:r>
        <w:rPr>
          <w:noProof/>
        </w:rPr>
        <w:drawing>
          <wp:anchor distT="0" distB="0" distL="0" distR="0" simplePos="0" relativeHeight="251661312" behindDoc="0" locked="0" layoutInCell="1" allowOverlap="1" wp14:anchorId="15B38FAD" wp14:editId="249BAD1A">
            <wp:simplePos x="0" y="0"/>
            <wp:positionH relativeFrom="column">
              <wp:align>center</wp:align>
            </wp:positionH>
            <wp:positionV relativeFrom="paragraph">
              <wp:posOffset>635</wp:posOffset>
            </wp:positionV>
            <wp:extent cx="6120130" cy="1911350"/>
            <wp:effectExtent l="0" t="0" r="0" b="0"/>
            <wp:wrapSquare wrapText="largest"/>
            <wp:docPr id="7" name="Bild6" descr="A graph with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6" descr="A graph with lines and numbers&#10;&#10;Description automatically generated"/>
                    <pic:cNvPicPr>
                      <a:picLocks noChangeAspect="1" noChangeArrowheads="1"/>
                    </pic:cNvPicPr>
                  </pic:nvPicPr>
                  <pic:blipFill>
                    <a:blip r:embed="rId6"/>
                    <a:stretch>
                      <a:fillRect/>
                    </a:stretch>
                  </pic:blipFill>
                  <pic:spPr bwMode="auto">
                    <a:xfrm>
                      <a:off x="0" y="0"/>
                      <a:ext cx="6120130" cy="1911350"/>
                    </a:xfrm>
                    <a:prstGeom prst="rect">
                      <a:avLst/>
                    </a:prstGeom>
                  </pic:spPr>
                </pic:pic>
              </a:graphicData>
            </a:graphic>
          </wp:anchor>
        </w:drawing>
      </w:r>
      <w:r>
        <w:rPr>
          <w:rFonts w:ascii="Times New Roman" w:hAnsi="Times New Roman"/>
        </w:rPr>
        <w:t xml:space="preserve">Figure </w:t>
      </w:r>
      <w:r>
        <w:rPr>
          <w:rFonts w:ascii="Times New Roman" w:hAnsi="Times New Roman"/>
          <w:color w:val="000000"/>
        </w:rPr>
        <w:t>C</w:t>
      </w:r>
      <w:r>
        <w:rPr>
          <w:rFonts w:ascii="Times New Roman" w:hAnsi="Times New Roman"/>
        </w:rPr>
        <w:t xml:space="preserve">2: Relative influence r (eq. 8) of the number of landowners </w:t>
      </w:r>
      <w:r>
        <w:rPr>
          <w:rFonts w:ascii="Times New Roman" w:hAnsi="Times New Roman"/>
          <w:i/>
          <w:iCs/>
        </w:rPr>
        <w:t>M</w:t>
      </w:r>
      <w:r>
        <w:rPr>
          <w:rFonts w:ascii="Times New Roman" w:hAnsi="Times New Roman"/>
        </w:rPr>
        <w:t xml:space="preserve"> on the proportion and spatial agglomeration </w:t>
      </w:r>
      <w:r>
        <w:rPr>
          <w:rFonts w:ascii="Symbol" w:hAnsi="Symbol"/>
          <w:i/>
          <w:iCs/>
        </w:rPr>
        <w:t>g</w:t>
      </w:r>
      <w:r>
        <w:rPr>
          <w:rFonts w:ascii="Times New Roman" w:hAnsi="Times New Roman"/>
        </w:rPr>
        <w:t xml:space="preserve"> of conserved land parcels (panels a and b) and the ecological benefit </w:t>
      </w:r>
      <w:r>
        <w:rPr>
          <w:rFonts w:ascii="Times New Roman" w:hAnsi="Times New Roman"/>
          <w:i/>
          <w:iCs/>
        </w:rPr>
        <w:t>V</w:t>
      </w:r>
      <w:r>
        <w:rPr>
          <w:rFonts w:ascii="Times New Roman" w:hAnsi="Times New Roman"/>
        </w:rPr>
        <w:t xml:space="preserve"> (cost-effectiveness, panel c) for </w:t>
      </w:r>
      <w:r>
        <w:rPr>
          <w:rFonts w:ascii="Times New Roman" w:hAnsi="Times New Roman"/>
          <w:color w:val="000000"/>
        </w:rPr>
        <w:t>five</w:t>
      </w:r>
      <w:r>
        <w:rPr>
          <w:rFonts w:ascii="Times New Roman" w:hAnsi="Times New Roman"/>
        </w:rPr>
        <w:t xml:space="preserve"> different scenarios. Since the dependence of </w:t>
      </w:r>
      <w:r>
        <w:rPr>
          <w:rFonts w:ascii="Times New Roman" w:hAnsi="Times New Roman"/>
          <w:i/>
          <w:iCs/>
        </w:rPr>
        <w:t>r</w:t>
      </w:r>
      <w:r>
        <w:rPr>
          <w:rFonts w:ascii="Times New Roman" w:hAnsi="Times New Roman"/>
        </w:rPr>
        <w:t xml:space="preserve"> on the budget </w:t>
      </w:r>
      <w:r>
        <w:rPr>
          <w:rFonts w:ascii="Times New Roman" w:hAnsi="Times New Roman"/>
          <w:i/>
          <w:iCs/>
        </w:rPr>
        <w:t>B</w:t>
      </w:r>
      <w:r>
        <w:rPr>
          <w:rFonts w:ascii="Times New Roman" w:hAnsi="Times New Roman"/>
        </w:rPr>
        <w:t xml:space="preserve"> differs between scenarios (and no unique pattern can be detected such that </w:t>
      </w:r>
      <w:r>
        <w:rPr>
          <w:rFonts w:ascii="Times New Roman" w:hAnsi="Times New Roman"/>
          <w:i/>
          <w:iCs/>
        </w:rPr>
        <w:t>r</w:t>
      </w:r>
      <w:r>
        <w:rPr>
          <w:rFonts w:ascii="Times New Roman" w:hAnsi="Times New Roman"/>
        </w:rPr>
        <w:t xml:space="preserve"> always increases or decreases with increasing B) the mean (solid line) and the “range” (mean plus/minus one standard deviation: dashed lines) of </w:t>
      </w:r>
      <w:r>
        <w:rPr>
          <w:rFonts w:ascii="Times New Roman" w:hAnsi="Times New Roman"/>
          <w:i/>
          <w:iCs/>
        </w:rPr>
        <w:t>r</w:t>
      </w:r>
      <w:r>
        <w:rPr>
          <w:rFonts w:ascii="Times New Roman" w:hAnsi="Times New Roman"/>
        </w:rPr>
        <w:t xml:space="preserve"> over the five budget levels is </w:t>
      </w:r>
      <w:r>
        <w:rPr>
          <w:rFonts w:ascii="Times New Roman" w:hAnsi="Times New Roman"/>
          <w:color w:val="000000"/>
        </w:rPr>
        <w:t>shown</w:t>
      </w:r>
      <w:r>
        <w:rPr>
          <w:rFonts w:ascii="Times New Roman" w:hAnsi="Times New Roman"/>
        </w:rPr>
        <w:t>.</w:t>
      </w:r>
    </w:p>
    <w:p w14:paraId="2C2B4C10" w14:textId="77777777" w:rsidR="00AE628C" w:rsidRDefault="00AE628C" w:rsidP="00AE628C">
      <w:pPr>
        <w:spacing w:line="360" w:lineRule="auto"/>
        <w:rPr>
          <w:rFonts w:ascii="Times New Roman" w:hAnsi="Times New Roman"/>
        </w:rPr>
      </w:pPr>
    </w:p>
    <w:p w14:paraId="1411DC67" w14:textId="77777777" w:rsidR="00AE628C" w:rsidRDefault="00AE628C" w:rsidP="00AE628C">
      <w:pPr>
        <w:spacing w:line="360" w:lineRule="auto"/>
        <w:rPr>
          <w:rFonts w:ascii="Times New Roman" w:hAnsi="Times New Roman"/>
        </w:rPr>
      </w:pPr>
    </w:p>
    <w:p w14:paraId="0C41260D" w14:textId="77777777" w:rsidR="00AE628C" w:rsidRDefault="00AE628C" w:rsidP="00AE628C">
      <w:pPr>
        <w:spacing w:line="360" w:lineRule="auto"/>
        <w:rPr>
          <w:rFonts w:ascii="Times New Roman" w:hAnsi="Times New Roman"/>
        </w:rPr>
      </w:pPr>
      <w:r>
        <w:rPr>
          <w:rFonts w:ascii="Times New Roman" w:hAnsi="Times New Roman"/>
          <w:noProof/>
        </w:rPr>
        <w:drawing>
          <wp:anchor distT="0" distB="0" distL="0" distR="0" simplePos="0" relativeHeight="251660288" behindDoc="0" locked="0" layoutInCell="1" allowOverlap="1" wp14:anchorId="034C7C57" wp14:editId="284ACA6F">
            <wp:simplePos x="0" y="0"/>
            <wp:positionH relativeFrom="column">
              <wp:posOffset>0</wp:posOffset>
            </wp:positionH>
            <wp:positionV relativeFrom="paragraph">
              <wp:posOffset>116840</wp:posOffset>
            </wp:positionV>
            <wp:extent cx="6120130" cy="2076450"/>
            <wp:effectExtent l="0" t="0" r="0" b="0"/>
            <wp:wrapSquare wrapText="largest"/>
            <wp:docPr id="8" name="Bild7" descr="A graph with red and green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7" descr="A graph with red and green lines&#10;&#10;Description automatically generated"/>
                    <pic:cNvPicPr>
                      <a:picLocks noChangeAspect="1" noChangeArrowheads="1"/>
                    </pic:cNvPicPr>
                  </pic:nvPicPr>
                  <pic:blipFill>
                    <a:blip r:embed="rId7"/>
                    <a:stretch>
                      <a:fillRect/>
                    </a:stretch>
                  </pic:blipFill>
                  <pic:spPr bwMode="auto">
                    <a:xfrm>
                      <a:off x="0" y="0"/>
                      <a:ext cx="6120130" cy="2076450"/>
                    </a:xfrm>
                    <a:prstGeom prst="rect">
                      <a:avLst/>
                    </a:prstGeom>
                  </pic:spPr>
                </pic:pic>
              </a:graphicData>
            </a:graphic>
          </wp:anchor>
        </w:drawing>
      </w:r>
    </w:p>
    <w:p w14:paraId="3A5D70E7" w14:textId="3584D251" w:rsidR="00AE628C" w:rsidRDefault="00AE628C" w:rsidP="00AE628C">
      <w:pPr>
        <w:spacing w:line="360" w:lineRule="auto"/>
        <w:rPr>
          <w:rFonts w:hint="eastAsia"/>
        </w:rPr>
      </w:pPr>
      <w:r>
        <w:rPr>
          <w:rFonts w:ascii="Times New Roman" w:hAnsi="Times New Roman"/>
        </w:rPr>
        <w:t xml:space="preserve">Figure </w:t>
      </w:r>
      <w:r>
        <w:rPr>
          <w:rFonts w:ascii="Times New Roman" w:hAnsi="Times New Roman"/>
          <w:color w:val="000000"/>
        </w:rPr>
        <w:t>C</w:t>
      </w:r>
      <w:r>
        <w:rPr>
          <w:rFonts w:ascii="Times New Roman" w:hAnsi="Times New Roman"/>
        </w:rPr>
        <w:t xml:space="preserve">3: Ecological benefit </w:t>
      </w:r>
      <w:r>
        <w:rPr>
          <w:rFonts w:ascii="Times New Roman" w:hAnsi="Times New Roman"/>
          <w:i/>
          <w:iCs/>
        </w:rPr>
        <w:t>V</w:t>
      </w:r>
      <w:r>
        <w:rPr>
          <w:rFonts w:ascii="Times New Roman" w:hAnsi="Times New Roman"/>
        </w:rPr>
        <w:t xml:space="preserve"> (level of cost-effectiveness) as a function of the number of landowners </w:t>
      </w:r>
      <w:r>
        <w:rPr>
          <w:rFonts w:ascii="Times New Roman" w:hAnsi="Times New Roman"/>
          <w:i/>
          <w:iCs/>
        </w:rPr>
        <w:t>M</w:t>
      </w:r>
      <w:r>
        <w:rPr>
          <w:rFonts w:ascii="Times New Roman" w:hAnsi="Times New Roman"/>
        </w:rPr>
        <w:t xml:space="preserve">. The colours represent the bonus level </w:t>
      </w:r>
      <w:r>
        <w:rPr>
          <w:rFonts w:ascii="Times New Roman" w:hAnsi="Times New Roman"/>
          <w:i/>
          <w:iCs/>
        </w:rPr>
        <w:t>b</w:t>
      </w:r>
      <w:r>
        <w:rPr>
          <w:rFonts w:ascii="Times New Roman" w:hAnsi="Times New Roman"/>
        </w:rPr>
        <w:t xml:space="preserve">. The three panels show, from left to right, the results for the smallest, medium, and largest budgets, i.e., levels 1, 3, and 5 of Table 2. The model parameters </w:t>
      </w:r>
      <w:r>
        <w:rPr>
          <w:rFonts w:ascii="Symbol" w:hAnsi="Symbol"/>
          <w:i/>
          <w:iCs/>
        </w:rPr>
        <w:t>s</w:t>
      </w:r>
      <w:r>
        <w:rPr>
          <w:rFonts w:ascii="Times New Roman" w:hAnsi="Times New Roman"/>
        </w:rPr>
        <w:t xml:space="preserve">, </w:t>
      </w:r>
      <w:r>
        <w:rPr>
          <w:rFonts w:ascii="Times New Roman" w:hAnsi="Times New Roman"/>
          <w:i/>
          <w:iCs/>
        </w:rPr>
        <w:t>l</w:t>
      </w:r>
      <w:r>
        <w:rPr>
          <w:rFonts w:ascii="Times New Roman" w:hAnsi="Times New Roman"/>
        </w:rPr>
        <w:t xml:space="preserve">, </w:t>
      </w:r>
      <w:r>
        <w:rPr>
          <w:rFonts w:ascii="Symbol" w:hAnsi="Symbol"/>
          <w:i/>
          <w:iCs/>
        </w:rPr>
        <w:t>a,</w:t>
      </w:r>
      <w:r>
        <w:rPr>
          <w:rFonts w:ascii="Times New Roman" w:hAnsi="Times New Roman"/>
        </w:rPr>
        <w:t xml:space="preserve"> and </w:t>
      </w:r>
      <w:r>
        <w:rPr>
          <w:rFonts w:ascii="Symbol" w:hAnsi="Symbol"/>
          <w:i/>
          <w:iCs/>
        </w:rPr>
        <w:t>b</w:t>
      </w:r>
      <w:r>
        <w:rPr>
          <w:rFonts w:ascii="Times New Roman" w:hAnsi="Times New Roman"/>
        </w:rPr>
        <w:t xml:space="preserve"> are set at their baseline values (Scenario 1 in Table 3).</w:t>
      </w:r>
    </w:p>
    <w:p w14:paraId="2FC52667" w14:textId="77777777" w:rsidR="00AE628C" w:rsidRDefault="00AE628C">
      <w:pPr>
        <w:rPr>
          <w:rFonts w:hint="eastAsia"/>
        </w:rPr>
      </w:pPr>
    </w:p>
    <w:sectPr w:rsidR="00AE628C">
      <w:pgSz w:w="11906" w:h="16838"/>
      <w:pgMar w:top="1134" w:right="1134" w:bottom="1134" w:left="1134" w:header="0" w:footer="0" w:gutter="0"/>
      <w:lnNumType w:countBy="5" w:distance="283" w:restart="continuous"/>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8C"/>
    <w:rsid w:val="000E6C9B"/>
    <w:rsid w:val="00830A81"/>
    <w:rsid w:val="008664E4"/>
    <w:rsid w:val="00AE628C"/>
    <w:rsid w:val="00D56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82778"/>
  <w15:chartTrackingRefBased/>
  <w15:docId w15:val="{0297CFDE-45FB-4B4A-B5E3-07B9821B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28C"/>
    <w:pPr>
      <w:suppressAutoHyphens/>
      <w:spacing w:after="0" w:line="240" w:lineRule="auto"/>
    </w:pPr>
    <w:rPr>
      <w:rFonts w:ascii="Liberation Serif" w:eastAsia="NSimSun" w:hAnsi="Liberation Serif" w:cs="Lucida San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E6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671</Words>
  <Characters>3074</Characters>
  <Application>Microsoft Office Word</Application>
  <DocSecurity>0</DocSecurity>
  <Lines>55</Lines>
  <Paragraphs>12</Paragraphs>
  <ScaleCrop>false</ScaleCrop>
  <Company>Frontiers Media</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Lowri Prydie</dc:creator>
  <cp:keywords/>
  <dc:description/>
  <cp:lastModifiedBy>Lowri Prydie</cp:lastModifiedBy>
  <cp:revision>5</cp:revision>
  <dcterms:created xsi:type="dcterms:W3CDTF">2023-11-01T15:23:00Z</dcterms:created>
  <dcterms:modified xsi:type="dcterms:W3CDTF">2023-11-01T15:38:00Z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2bbc260b-4236-4b59-aeee-a2b3044b124a</vt:lpwstr>
  </property>
</Properties>
</file>