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AD5A" w14:textId="2777EDEC" w:rsidR="005E2DBF" w:rsidRPr="0053224B" w:rsidRDefault="005E2DBF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423AD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1A1BD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589F865" w14:textId="6DB0975C" w:rsidR="005E2DBF" w:rsidRDefault="002044A8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044A8">
        <w:rPr>
          <w:rFonts w:ascii="Times New Roman" w:hAnsi="Times New Roman" w:cs="Times New Roman"/>
          <w:b/>
          <w:bCs/>
          <w:sz w:val="24"/>
          <w:szCs w:val="24"/>
        </w:rPr>
        <w:t xml:space="preserve">Multi-omics Analysis Identifies IgG2b Class-Switching with ALCAM-CD6 Co-Stimulation in </w:t>
      </w:r>
      <w:r w:rsidR="004058DF">
        <w:rPr>
          <w:rFonts w:ascii="Times New Roman" w:hAnsi="Times New Roman" w:cs="Times New Roman"/>
          <w:b/>
          <w:bCs/>
          <w:sz w:val="24"/>
          <w:szCs w:val="24"/>
        </w:rPr>
        <w:t xml:space="preserve">Joint-Draining </w:t>
      </w:r>
      <w:r w:rsidRPr="002044A8">
        <w:rPr>
          <w:rFonts w:ascii="Times New Roman" w:hAnsi="Times New Roman" w:cs="Times New Roman"/>
          <w:b/>
          <w:bCs/>
          <w:sz w:val="24"/>
          <w:szCs w:val="24"/>
        </w:rPr>
        <w:t>Lymph Nodes During Advanced Inflammatory-Erosive Arthritis</w:t>
      </w:r>
    </w:p>
    <w:p w14:paraId="5109838C" w14:textId="77777777" w:rsidR="002044A8" w:rsidRDefault="002044A8" w:rsidP="00974A19">
      <w:pPr>
        <w:spacing w:line="240" w:lineRule="auto"/>
        <w:contextualSpacing/>
      </w:pPr>
    </w:p>
    <w:p w14:paraId="229DBAA6" w14:textId="30B66362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10149061"/>
      <w:r w:rsidRPr="00270B0A">
        <w:rPr>
          <w:rFonts w:ascii="Times New Roman" w:hAnsi="Times New Roman" w:cs="Times New Roman"/>
          <w:sz w:val="24"/>
          <w:szCs w:val="24"/>
        </w:rPr>
        <w:t>H. Mark Kenney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270B0A">
        <w:rPr>
          <w:rFonts w:ascii="Times New Roman" w:hAnsi="Times New Roman" w:cs="Times New Roman"/>
          <w:sz w:val="24"/>
          <w:szCs w:val="24"/>
        </w:rPr>
        <w:t>, Javier Rangel-Moreno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0B0A">
        <w:rPr>
          <w:rFonts w:ascii="Times New Roman" w:hAnsi="Times New Roman" w:cs="Times New Roman"/>
          <w:sz w:val="24"/>
          <w:szCs w:val="24"/>
        </w:rPr>
        <w:t>, Yue Peng 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270B0A">
        <w:rPr>
          <w:rFonts w:ascii="Times New Roman" w:hAnsi="Times New Roman" w:cs="Times New Roman"/>
          <w:sz w:val="24"/>
          <w:szCs w:val="24"/>
        </w:rPr>
        <w:t>, Kiana L. Chen 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270B0A">
        <w:rPr>
          <w:rFonts w:ascii="Times New Roman" w:hAnsi="Times New Roman" w:cs="Times New Roman"/>
          <w:sz w:val="24"/>
          <w:szCs w:val="24"/>
        </w:rPr>
        <w:t>, Jennifer Bruno BS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Pr="00270B0A">
        <w:rPr>
          <w:rFonts w:ascii="Times New Roman" w:hAnsi="Times New Roman" w:cs="Times New Roman"/>
          <w:sz w:val="24"/>
          <w:szCs w:val="24"/>
        </w:rPr>
        <w:t>, Abdul Em</w:t>
      </w:r>
      <w:r>
        <w:rPr>
          <w:rFonts w:ascii="Times New Roman" w:hAnsi="Times New Roman" w:cs="Times New Roman"/>
          <w:sz w:val="24"/>
          <w:szCs w:val="24"/>
        </w:rPr>
        <w:t>bong 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Elizabeth Pritchett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 Jeffrey I. Fox BS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968">
        <w:rPr>
          <w:rFonts w:ascii="Times New Roman" w:hAnsi="Times New Roman" w:cs="Times New Roman"/>
          <w:sz w:val="24"/>
          <w:szCs w:val="24"/>
        </w:rPr>
        <w:t>Enrique Becerril-Villanueva</w:t>
      </w:r>
      <w:r>
        <w:rPr>
          <w:rFonts w:ascii="Times New Roman" w:hAnsi="Times New Roman" w:cs="Times New Roman"/>
          <w:sz w:val="24"/>
          <w:szCs w:val="24"/>
        </w:rPr>
        <w:t xml:space="preserve">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968">
        <w:rPr>
          <w:rFonts w:ascii="Times New Roman" w:hAnsi="Times New Roman" w:cs="Times New Roman"/>
          <w:sz w:val="24"/>
          <w:szCs w:val="24"/>
        </w:rPr>
        <w:t>Armando Gamboa-Domínguez</w:t>
      </w:r>
      <w:r>
        <w:rPr>
          <w:rFonts w:ascii="Times New Roman" w:hAnsi="Times New Roman" w:cs="Times New Roman"/>
          <w:sz w:val="24"/>
          <w:szCs w:val="24"/>
        </w:rPr>
        <w:t xml:space="preserve">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Sally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Quataert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>
        <w:rPr>
          <w:rFonts w:ascii="Times New Roman" w:hAnsi="Times New Roman" w:cs="Times New Roman"/>
          <w:sz w:val="24"/>
          <w:szCs w:val="24"/>
        </w:rPr>
        <w:t>, Gowrishankar Muthukrishnan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5635B1">
        <w:rPr>
          <w:rFonts w:ascii="Times New Roman" w:hAnsi="Times New Roman" w:cs="Times New Roman"/>
          <w:sz w:val="24"/>
          <w:szCs w:val="24"/>
          <w:vertAlign w:val="superscript"/>
        </w:rPr>
        <w:t>5,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 Ronald W. Wood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1,8,9,10</w:t>
      </w:r>
      <w:r>
        <w:rPr>
          <w:rFonts w:ascii="Times New Roman" w:hAnsi="Times New Roman" w:cs="Times New Roman"/>
          <w:sz w:val="24"/>
          <w:szCs w:val="24"/>
        </w:rPr>
        <w:t>, Benjamin D. Korman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, Jennifer H. </w:t>
      </w:r>
      <w:proofErr w:type="spellStart"/>
      <w:r>
        <w:rPr>
          <w:rFonts w:ascii="Times New Roman" w:hAnsi="Times New Roman" w:cs="Times New Roman"/>
          <w:sz w:val="24"/>
          <w:szCs w:val="24"/>
        </w:rPr>
        <w:t>Anolik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Lianping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Xing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, Christopher T. Ritchlin MD MPH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>
        <w:rPr>
          <w:rFonts w:ascii="Times New Roman" w:hAnsi="Times New Roman" w:cs="Times New Roman"/>
          <w:sz w:val="24"/>
          <w:szCs w:val="24"/>
        </w:rPr>
        <w:t>, Edward M. Schwarz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1,2,3,5,7,10,*</w:t>
      </w:r>
      <w:r>
        <w:rPr>
          <w:rFonts w:ascii="Times New Roman" w:hAnsi="Times New Roman" w:cs="Times New Roman"/>
          <w:sz w:val="24"/>
          <w:szCs w:val="24"/>
        </w:rPr>
        <w:t>, and Chia-Lung Wu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1,7</w:t>
      </w:r>
      <w:bookmarkEnd w:id="0"/>
    </w:p>
    <w:p w14:paraId="180E391D" w14:textId="77777777" w:rsidR="00974A19" w:rsidRPr="00C91CA8" w:rsidRDefault="00974A19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4B1D9F6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6B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84177">
        <w:rPr>
          <w:rFonts w:ascii="Times New Roman" w:hAnsi="Times New Roman" w:cs="Times New Roman"/>
          <w:sz w:val="24"/>
          <w:szCs w:val="24"/>
        </w:rPr>
        <w:t>Center for Musculoskeletal Research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B6B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6B0A">
        <w:rPr>
          <w:rFonts w:ascii="Times New Roman" w:hAnsi="Times New Roman" w:cs="Times New Roman"/>
          <w:sz w:val="24"/>
          <w:szCs w:val="24"/>
        </w:rPr>
        <w:t>Department of Pathology &amp; Laboratory Medicine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6B0A">
        <w:rPr>
          <w:rFonts w:ascii="Times New Roman" w:hAnsi="Times New Roman" w:cs="Times New Roman"/>
          <w:sz w:val="24"/>
          <w:szCs w:val="24"/>
        </w:rPr>
        <w:t xml:space="preserve"> </w:t>
      </w:r>
      <w:r w:rsidRPr="00FB6B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6B0A">
        <w:rPr>
          <w:rFonts w:ascii="Times New Roman" w:hAnsi="Times New Roman" w:cs="Times New Roman"/>
          <w:sz w:val="24"/>
          <w:szCs w:val="24"/>
        </w:rPr>
        <w:t>Department of Medicine, Division of Allergy, Immunology, Rheumatology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B6B0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B6B0A">
        <w:rPr>
          <w:rFonts w:ascii="Times New Roman" w:hAnsi="Times New Roman" w:cs="Times New Roman"/>
          <w:sz w:val="24"/>
          <w:szCs w:val="24"/>
        </w:rPr>
        <w:t>Center for Vaccine Biology and Immunology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Department of Microbiology and Immunology;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Genomics Research Center;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C358C">
        <w:rPr>
          <w:rFonts w:ascii="Times New Roman" w:hAnsi="Times New Roman" w:cs="Times New Roman"/>
          <w:sz w:val="24"/>
          <w:szCs w:val="24"/>
        </w:rPr>
        <w:t xml:space="preserve">Department of Orthopaedics,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Department of Obstetrics and Gynecology,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Department of Neuroscience,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Department of Urology, </w:t>
      </w:r>
      <w:r w:rsidRPr="00AC358C">
        <w:rPr>
          <w:rFonts w:ascii="Times New Roman" w:hAnsi="Times New Roman" w:cs="Times New Roman"/>
          <w:sz w:val="24"/>
          <w:szCs w:val="24"/>
        </w:rPr>
        <w:t>University of Rochester Medical Center</w:t>
      </w:r>
      <w:r>
        <w:rPr>
          <w:rFonts w:ascii="Times New Roman" w:hAnsi="Times New Roman" w:cs="Times New Roman"/>
          <w:sz w:val="24"/>
          <w:szCs w:val="24"/>
        </w:rPr>
        <w:t>, Rochester NY, USA</w:t>
      </w:r>
    </w:p>
    <w:p w14:paraId="660396B2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74A19">
        <w:rPr>
          <w:rFonts w:ascii="Times New Roman" w:hAnsi="Times New Roman" w:cs="Times New Roman"/>
          <w:sz w:val="24"/>
          <w:szCs w:val="24"/>
        </w:rPr>
        <w:t xml:space="preserve">Psychoimmunology Laboratory, Instituto Nacional de </w:t>
      </w:r>
      <w:proofErr w:type="spellStart"/>
      <w:r w:rsidRPr="00974A19">
        <w:rPr>
          <w:rFonts w:ascii="Times New Roman" w:hAnsi="Times New Roman" w:cs="Times New Roman"/>
          <w:sz w:val="24"/>
          <w:szCs w:val="24"/>
        </w:rPr>
        <w:t>Psiquiatría</w:t>
      </w:r>
      <w:proofErr w:type="spellEnd"/>
      <w:r w:rsidRPr="00974A19">
        <w:rPr>
          <w:rFonts w:ascii="Times New Roman" w:hAnsi="Times New Roman" w:cs="Times New Roman"/>
          <w:sz w:val="24"/>
          <w:szCs w:val="24"/>
        </w:rPr>
        <w:t xml:space="preserve"> "Ramón de la Fuente Muñiz"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4A19">
        <w:rPr>
          <w:rFonts w:ascii="Times New Roman" w:hAnsi="Times New Roman" w:cs="Times New Roman"/>
          <w:sz w:val="24"/>
          <w:szCs w:val="24"/>
        </w:rPr>
        <w:t>Mexico City, Mexico</w:t>
      </w:r>
    </w:p>
    <w:p w14:paraId="32B90CE5" w14:textId="77777777" w:rsidR="00974A19" w:rsidRPr="00353968" w:rsidRDefault="00974A19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74A19">
        <w:rPr>
          <w:rFonts w:ascii="Times New Roman" w:hAnsi="Times New Roman" w:cs="Times New Roman"/>
          <w:sz w:val="24"/>
          <w:szCs w:val="24"/>
        </w:rPr>
        <w:t xml:space="preserve">Department of Pathology, Instituto Nacional de </w:t>
      </w:r>
      <w:proofErr w:type="spellStart"/>
      <w:r w:rsidRPr="00974A19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 w:rsidRPr="0097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A19">
        <w:rPr>
          <w:rFonts w:ascii="Times New Roman" w:hAnsi="Times New Roman" w:cs="Times New Roman"/>
          <w:sz w:val="24"/>
          <w:szCs w:val="24"/>
        </w:rPr>
        <w:t>Médicas</w:t>
      </w:r>
      <w:proofErr w:type="spellEnd"/>
      <w:r w:rsidRPr="00974A1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74A19">
        <w:rPr>
          <w:rFonts w:ascii="Times New Roman" w:hAnsi="Times New Roman" w:cs="Times New Roman"/>
          <w:sz w:val="24"/>
          <w:szCs w:val="24"/>
        </w:rPr>
        <w:t>Nutrición</w:t>
      </w:r>
      <w:proofErr w:type="spellEnd"/>
      <w:r w:rsidRPr="00974A19">
        <w:rPr>
          <w:rFonts w:ascii="Times New Roman" w:hAnsi="Times New Roman" w:cs="Times New Roman"/>
          <w:sz w:val="24"/>
          <w:szCs w:val="24"/>
        </w:rPr>
        <w:t xml:space="preserve"> Salvador </w:t>
      </w:r>
      <w:proofErr w:type="spellStart"/>
      <w:r w:rsidRPr="00974A19">
        <w:rPr>
          <w:rFonts w:ascii="Times New Roman" w:hAnsi="Times New Roman" w:cs="Times New Roman"/>
          <w:sz w:val="24"/>
          <w:szCs w:val="24"/>
        </w:rPr>
        <w:t>Zubirán</w:t>
      </w:r>
      <w:proofErr w:type="spellEnd"/>
      <w:r w:rsidRPr="00974A19">
        <w:rPr>
          <w:rFonts w:ascii="Times New Roman" w:hAnsi="Times New Roman" w:cs="Times New Roman"/>
          <w:sz w:val="24"/>
          <w:szCs w:val="24"/>
        </w:rPr>
        <w:t>, Mexico City, Mexico</w:t>
      </w:r>
    </w:p>
    <w:p w14:paraId="5D7AD885" w14:textId="77777777" w:rsidR="002F7564" w:rsidRDefault="002F7564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385C33" w14:textId="1EA93C4B" w:rsidR="001E00A6" w:rsidRPr="00270B0A" w:rsidRDefault="001E00A6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*Corresponding Author; Edward_Schwarz@URMC.Rochester.edu; </w:t>
      </w:r>
      <w:r w:rsidRPr="006D0342">
        <w:rPr>
          <w:rFonts w:ascii="Times New Roman" w:hAnsi="Times New Roman" w:cs="Times New Roman"/>
          <w:sz w:val="24"/>
          <w:szCs w:val="24"/>
        </w:rPr>
        <w:t>(585) 276-5609</w:t>
      </w:r>
      <w:r>
        <w:rPr>
          <w:rFonts w:ascii="Times New Roman" w:hAnsi="Times New Roman" w:cs="Times New Roman"/>
          <w:sz w:val="24"/>
          <w:szCs w:val="24"/>
        </w:rPr>
        <w:t>; University of Rochester Medical Center, 601 Elmwood Ave, Box 665, Rochester, NY, 14642, USA.</w:t>
      </w:r>
    </w:p>
    <w:p w14:paraId="22D86D8B" w14:textId="2529A560" w:rsidR="00000000" w:rsidRDefault="00000000" w:rsidP="00974A19">
      <w:pPr>
        <w:spacing w:line="240" w:lineRule="auto"/>
        <w:contextualSpacing/>
      </w:pPr>
    </w:p>
    <w:p w14:paraId="49BA283E" w14:textId="05A6C099" w:rsidR="005D4992" w:rsidRDefault="005D4992" w:rsidP="00974A19">
      <w:pPr>
        <w:spacing w:line="240" w:lineRule="auto"/>
        <w:contextualSpacing/>
      </w:pPr>
    </w:p>
    <w:p w14:paraId="69375A89" w14:textId="0B993960" w:rsidR="005D4992" w:rsidRDefault="005D4992" w:rsidP="00974A19">
      <w:pPr>
        <w:spacing w:line="240" w:lineRule="auto"/>
        <w:contextualSpacing/>
      </w:pPr>
    </w:p>
    <w:p w14:paraId="0B561E84" w14:textId="77777777" w:rsidR="00701C12" w:rsidRDefault="00701C12" w:rsidP="00974A19">
      <w:pPr>
        <w:spacing w:line="240" w:lineRule="auto"/>
        <w:contextualSpacing/>
      </w:pPr>
    </w:p>
    <w:p w14:paraId="4FBE920B" w14:textId="77777777" w:rsidR="00364C05" w:rsidRDefault="00364C05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86FC8BC" w14:textId="77777777" w:rsidR="00364C05" w:rsidRDefault="00364C05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4BD652C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FC17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973052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83ACA5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950FAC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206E4F8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598D99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FAF0B3F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7B20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9F648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E43078E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24E2BDB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E55C41A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6030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7CF4963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E9B73DA" w14:textId="77777777" w:rsidR="00974A19" w:rsidRDefault="00974A19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2B28F46" w14:textId="18472B9F" w:rsidR="005D4992" w:rsidRDefault="005D4992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1. Optimization of tissue permeabilization for PLNs. </w:t>
      </w:r>
      <w:r>
        <w:rPr>
          <w:rFonts w:ascii="Times New Roman" w:hAnsi="Times New Roman" w:cs="Times New Roman"/>
          <w:sz w:val="24"/>
          <w:szCs w:val="24"/>
        </w:rPr>
        <w:t xml:space="preserve">PLNs from WT mice (n=2 mice, 4 PLNs) were harvested and processed to </w:t>
      </w:r>
      <w:r w:rsidR="009E087C">
        <w:rPr>
          <w:rFonts w:ascii="Times New Roman" w:hAnsi="Times New Roman" w:cs="Times New Roman"/>
          <w:sz w:val="24"/>
          <w:szCs w:val="24"/>
        </w:rPr>
        <w:t xml:space="preserve">determine the optimal incubation for </w:t>
      </w:r>
      <w:r>
        <w:rPr>
          <w:rFonts w:ascii="Times New Roman" w:hAnsi="Times New Roman" w:cs="Times New Roman"/>
          <w:sz w:val="24"/>
          <w:szCs w:val="24"/>
        </w:rPr>
        <w:t xml:space="preserve">tissue permeabilization. A representative H&amp;E-stained section is shown </w:t>
      </w:r>
      <w:r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along with representative images of TRITC-fluorescently tagged nucleotides </w:t>
      </w:r>
      <w:r w:rsidR="009E087C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3-minutes </w:t>
      </w:r>
      <w:r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, 6-minutes </w:t>
      </w:r>
      <w:r>
        <w:rPr>
          <w:rFonts w:ascii="Times New Roman" w:hAnsi="Times New Roman" w:cs="Times New Roman"/>
          <w:b/>
          <w:bCs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, 12-minutes </w:t>
      </w:r>
      <w:r>
        <w:rPr>
          <w:rFonts w:ascii="Times New Roman" w:hAnsi="Times New Roman" w:cs="Times New Roman"/>
          <w:b/>
          <w:bCs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 xml:space="preserve">, 18-minutes </w:t>
      </w:r>
      <w:r>
        <w:rPr>
          <w:rFonts w:ascii="Times New Roman" w:hAnsi="Times New Roman" w:cs="Times New Roman"/>
          <w:b/>
          <w:bCs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, 24-minutes </w:t>
      </w:r>
      <w:r>
        <w:rPr>
          <w:rFonts w:ascii="Times New Roman" w:hAnsi="Times New Roman" w:cs="Times New Roman"/>
          <w:b/>
          <w:bCs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 xml:space="preserve">, and 30-minutes </w:t>
      </w:r>
      <w:r>
        <w:rPr>
          <w:rFonts w:ascii="Times New Roman" w:hAnsi="Times New Roman" w:cs="Times New Roman"/>
          <w:b/>
          <w:bCs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of tissue permeabilization. 12-minute</w:t>
      </w:r>
      <w:r w:rsidR="00A94D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7C">
        <w:rPr>
          <w:rFonts w:ascii="Times New Roman" w:hAnsi="Times New Roman" w:cs="Times New Roman"/>
          <w:sz w:val="24"/>
          <w:szCs w:val="24"/>
        </w:rPr>
        <w:t xml:space="preserve">was the optimal time for </w:t>
      </w:r>
      <w:r>
        <w:rPr>
          <w:rFonts w:ascii="Times New Roman" w:hAnsi="Times New Roman" w:cs="Times New Roman"/>
          <w:sz w:val="24"/>
          <w:szCs w:val="24"/>
        </w:rPr>
        <w:t xml:space="preserve">permeabilization </w:t>
      </w:r>
      <w:r w:rsidR="009E087C">
        <w:rPr>
          <w:rFonts w:ascii="Times New Roman" w:hAnsi="Times New Roman" w:cs="Times New Roman"/>
          <w:sz w:val="24"/>
          <w:szCs w:val="24"/>
        </w:rPr>
        <w:t>based on</w:t>
      </w:r>
      <w:r>
        <w:rPr>
          <w:rFonts w:ascii="Times New Roman" w:hAnsi="Times New Roman" w:cs="Times New Roman"/>
          <w:sz w:val="24"/>
          <w:szCs w:val="24"/>
        </w:rPr>
        <w:t xml:space="preserve"> signal intensity </w:t>
      </w:r>
      <w:r w:rsidR="009E087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limit</w:t>
      </w:r>
      <w:r w:rsidR="009E087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diffusion. </w:t>
      </w:r>
    </w:p>
    <w:p w14:paraId="2070BC60" w14:textId="51EE18AD" w:rsidR="005D4992" w:rsidRDefault="005D4992" w:rsidP="00974A19">
      <w:pPr>
        <w:spacing w:line="240" w:lineRule="auto"/>
        <w:contextualSpacing/>
      </w:pPr>
    </w:p>
    <w:p w14:paraId="3D4CD77B" w14:textId="12A618FA" w:rsidR="005D4992" w:rsidRDefault="005D4992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2. Integration of Advanced capture areas confirms consistency of the replicates. </w:t>
      </w:r>
      <w:r>
        <w:rPr>
          <w:rFonts w:ascii="Times New Roman" w:hAnsi="Times New Roman" w:cs="Times New Roman"/>
          <w:sz w:val="24"/>
          <w:szCs w:val="24"/>
        </w:rPr>
        <w:t>We performed CCA integration of both Advanced capture areas and evaluated the consistency of the principal components of the two replicates embedded on a UMAP. Based on the direct overlay and lack of unique spot populations between Advanced 1 vs Advanced 2, we considered the Advanced capture areas to be replicates. Thus, the Advanced capture areas were merged together as a single group for comparison with the WT and Early capture areas.</w:t>
      </w:r>
    </w:p>
    <w:p w14:paraId="49189366" w14:textId="4EDB7BBB" w:rsidR="00583183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26A04E" w14:textId="4520C931" w:rsidR="00583183" w:rsidRPr="006B1529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3.</w:t>
      </w:r>
      <w:r w:rsidR="00E5437D">
        <w:rPr>
          <w:rFonts w:ascii="Times New Roman" w:hAnsi="Times New Roman" w:cs="Times New Roman"/>
          <w:b/>
          <w:bCs/>
          <w:sz w:val="24"/>
          <w:szCs w:val="24"/>
        </w:rPr>
        <w:t xml:space="preserve"> PLN immunoglobulin expression and relationship with arthritic severity is selective for </w:t>
      </w:r>
      <w:r w:rsidR="00E543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Ighg2b</w:t>
      </w:r>
      <w:r w:rsidR="00E543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437D">
        <w:rPr>
          <w:rFonts w:ascii="Times New Roman" w:hAnsi="Times New Roman" w:cs="Times New Roman"/>
          <w:sz w:val="24"/>
          <w:szCs w:val="24"/>
        </w:rPr>
        <w:t xml:space="preserve">Corresponding with the immunoglobulin gene expression analysis and talus bone volumes in Figure 3, we also evaluated the levels of </w:t>
      </w:r>
      <w:r w:rsidR="00E5437D">
        <w:rPr>
          <w:rFonts w:ascii="Times New Roman" w:hAnsi="Times New Roman" w:cs="Times New Roman"/>
          <w:i/>
          <w:iCs/>
          <w:sz w:val="24"/>
          <w:szCs w:val="24"/>
        </w:rPr>
        <w:t xml:space="preserve">Ighg1 </w:t>
      </w:r>
      <w:r w:rsidR="00E5437D">
        <w:rPr>
          <w:rFonts w:ascii="Times New Roman" w:hAnsi="Times New Roman" w:cs="Times New Roman"/>
          <w:sz w:val="24"/>
          <w:szCs w:val="24"/>
        </w:rPr>
        <w:t xml:space="preserve">and </w:t>
      </w:r>
      <w:r w:rsidR="00E5437D">
        <w:rPr>
          <w:rFonts w:ascii="Times New Roman" w:hAnsi="Times New Roman" w:cs="Times New Roman"/>
          <w:i/>
          <w:iCs/>
          <w:sz w:val="24"/>
          <w:szCs w:val="24"/>
        </w:rPr>
        <w:t>Ighg2c</w:t>
      </w:r>
      <w:r w:rsidR="00E5437D">
        <w:rPr>
          <w:rFonts w:ascii="Times New Roman" w:hAnsi="Times New Roman" w:cs="Times New Roman"/>
          <w:sz w:val="24"/>
          <w:szCs w:val="24"/>
        </w:rPr>
        <w:t xml:space="preserve"> relative to </w:t>
      </w:r>
      <w:proofErr w:type="spellStart"/>
      <w:r w:rsidR="00E5437D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E5437D">
        <w:rPr>
          <w:rFonts w:ascii="Times New Roman" w:hAnsi="Times New Roman" w:cs="Times New Roman"/>
          <w:sz w:val="24"/>
          <w:szCs w:val="24"/>
        </w:rPr>
        <w:t xml:space="preserve">. The expression of these genes </w:t>
      </w:r>
      <w:r w:rsidR="00BD1E14">
        <w:rPr>
          <w:rFonts w:ascii="Times New Roman" w:hAnsi="Times New Roman" w:cs="Times New Roman"/>
          <w:sz w:val="24"/>
          <w:szCs w:val="24"/>
        </w:rPr>
        <w:t>is</w:t>
      </w:r>
      <w:r w:rsidR="00E5437D">
        <w:rPr>
          <w:rFonts w:ascii="Times New Roman" w:hAnsi="Times New Roman" w:cs="Times New Roman"/>
          <w:sz w:val="24"/>
          <w:szCs w:val="24"/>
        </w:rPr>
        <w:t xml:space="preserve"> shown as a </w:t>
      </w:r>
      <w:r w:rsidR="00111E15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E5437D">
        <w:rPr>
          <w:rFonts w:ascii="Times New Roman" w:hAnsi="Times New Roman" w:cs="Times New Roman"/>
          <w:sz w:val="24"/>
          <w:szCs w:val="24"/>
        </w:rPr>
        <w:t>spatial feature plot overlaying H&amp;</w:t>
      </w:r>
      <w:proofErr w:type="gramStart"/>
      <w:r w:rsidR="00E5437D">
        <w:rPr>
          <w:rFonts w:ascii="Times New Roman" w:hAnsi="Times New Roman" w:cs="Times New Roman"/>
          <w:sz w:val="24"/>
          <w:szCs w:val="24"/>
        </w:rPr>
        <w:t>E stained</w:t>
      </w:r>
      <w:proofErr w:type="gramEnd"/>
      <w:r w:rsidR="00E5437D">
        <w:rPr>
          <w:rFonts w:ascii="Times New Roman" w:hAnsi="Times New Roman" w:cs="Times New Roman"/>
          <w:sz w:val="24"/>
          <w:szCs w:val="24"/>
        </w:rPr>
        <w:t xml:space="preserve"> PLNs</w:t>
      </w:r>
      <w:r w:rsidR="001F416E">
        <w:rPr>
          <w:rFonts w:ascii="Times New Roman" w:hAnsi="Times New Roman" w:cs="Times New Roman"/>
          <w:sz w:val="24"/>
          <w:szCs w:val="24"/>
        </w:rPr>
        <w:t xml:space="preserve"> in the Early and Advanced condition 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>(A-F</w:t>
      </w:r>
      <w:r w:rsidR="00111E15">
        <w:rPr>
          <w:rFonts w:ascii="Times New Roman" w:hAnsi="Times New Roman" w:cs="Times New Roman"/>
          <w:sz w:val="24"/>
          <w:szCs w:val="24"/>
        </w:rPr>
        <w:t>, high-magnification images from Figs 1B&amp;D</w:t>
      </w:r>
      <w:r w:rsidR="004927A3">
        <w:rPr>
          <w:rFonts w:ascii="Times New Roman" w:hAnsi="Times New Roman" w:cs="Times New Roman"/>
          <w:sz w:val="24"/>
          <w:szCs w:val="24"/>
        </w:rPr>
        <w:t xml:space="preserve"> [rotated]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F416E">
        <w:rPr>
          <w:rFonts w:ascii="Times New Roman" w:hAnsi="Times New Roman" w:cs="Times New Roman"/>
          <w:sz w:val="24"/>
          <w:szCs w:val="24"/>
        </w:rPr>
        <w:t xml:space="preserve">. In contrast to </w:t>
      </w:r>
      <w:r w:rsidR="001F416E">
        <w:rPr>
          <w:rFonts w:ascii="Times New Roman" w:hAnsi="Times New Roman" w:cs="Times New Roman"/>
          <w:i/>
          <w:iCs/>
          <w:sz w:val="24"/>
          <w:szCs w:val="24"/>
        </w:rPr>
        <w:t>Ighg2b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F416E">
        <w:rPr>
          <w:rFonts w:ascii="Times New Roman" w:hAnsi="Times New Roman" w:cs="Times New Roman"/>
          <w:sz w:val="24"/>
          <w:szCs w:val="24"/>
        </w:rPr>
        <w:t xml:space="preserve"> (Figure 3), neither </w:t>
      </w:r>
      <w:r w:rsidR="001F416E">
        <w:rPr>
          <w:rFonts w:ascii="Times New Roman" w:hAnsi="Times New Roman" w:cs="Times New Roman"/>
          <w:i/>
          <w:iCs/>
          <w:sz w:val="24"/>
          <w:szCs w:val="24"/>
        </w:rPr>
        <w:t>Ighg1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F416E">
        <w:rPr>
          <w:rFonts w:ascii="Times New Roman" w:hAnsi="Times New Roman" w:cs="Times New Roman"/>
          <w:sz w:val="24"/>
          <w:szCs w:val="24"/>
        </w:rPr>
        <w:t xml:space="preserve"> </w:t>
      </w:r>
      <w:r w:rsidR="009E087C">
        <w:rPr>
          <w:rFonts w:ascii="Times New Roman" w:hAnsi="Times New Roman" w:cs="Times New Roman"/>
          <w:sz w:val="24"/>
          <w:szCs w:val="24"/>
        </w:rPr>
        <w:t>n</w:t>
      </w:r>
      <w:r w:rsidR="001F416E">
        <w:rPr>
          <w:rFonts w:ascii="Times New Roman" w:hAnsi="Times New Roman" w:cs="Times New Roman"/>
          <w:sz w:val="24"/>
          <w:szCs w:val="24"/>
        </w:rPr>
        <w:t xml:space="preserve">or </w:t>
      </w:r>
      <w:r w:rsidR="001F416E">
        <w:rPr>
          <w:rFonts w:ascii="Times New Roman" w:hAnsi="Times New Roman" w:cs="Times New Roman"/>
          <w:i/>
          <w:iCs/>
          <w:sz w:val="24"/>
          <w:szCs w:val="24"/>
        </w:rPr>
        <w:t>Ighg2c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F416E">
        <w:rPr>
          <w:rFonts w:ascii="Times New Roman" w:hAnsi="Times New Roman" w:cs="Times New Roman"/>
          <w:sz w:val="24"/>
          <w:szCs w:val="24"/>
        </w:rPr>
        <w:t xml:space="preserve"> expression is increased in Advanced PLN sinuses</w:t>
      </w:r>
      <w:r w:rsidR="00111E15">
        <w:rPr>
          <w:rFonts w:ascii="Times New Roman" w:hAnsi="Times New Roman" w:cs="Times New Roman"/>
          <w:sz w:val="24"/>
          <w:szCs w:val="24"/>
        </w:rPr>
        <w:t xml:space="preserve">. Additionally, unlike </w:t>
      </w:r>
      <w:r w:rsidR="00111E15">
        <w:rPr>
          <w:rFonts w:ascii="Times New Roman" w:hAnsi="Times New Roman" w:cs="Times New Roman"/>
          <w:i/>
          <w:iCs/>
          <w:sz w:val="24"/>
          <w:szCs w:val="24"/>
        </w:rPr>
        <w:t>Ighg2b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11E15">
        <w:rPr>
          <w:rFonts w:ascii="Times New Roman" w:hAnsi="Times New Roman" w:cs="Times New Roman"/>
          <w:sz w:val="24"/>
          <w:szCs w:val="24"/>
        </w:rPr>
        <w:t xml:space="preserve"> and </w:t>
      </w:r>
      <w:r w:rsidR="00111E15">
        <w:rPr>
          <w:rFonts w:ascii="Times New Roman" w:hAnsi="Times New Roman" w:cs="Times New Roman"/>
          <w:i/>
          <w:iCs/>
          <w:sz w:val="24"/>
          <w:szCs w:val="24"/>
        </w:rPr>
        <w:t>Ighg3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11E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F416E">
        <w:rPr>
          <w:rFonts w:ascii="Times New Roman" w:hAnsi="Times New Roman" w:cs="Times New Roman"/>
          <w:sz w:val="24"/>
          <w:szCs w:val="24"/>
        </w:rPr>
        <w:t xml:space="preserve"> the expression </w:t>
      </w:r>
      <w:proofErr w:type="gramStart"/>
      <w:r w:rsidR="001F416E">
        <w:rPr>
          <w:rFonts w:ascii="Times New Roman" w:hAnsi="Times New Roman" w:cs="Times New Roman"/>
          <w:sz w:val="24"/>
          <w:szCs w:val="24"/>
        </w:rPr>
        <w:t xml:space="preserve">of </w:t>
      </w:r>
      <w:r w:rsidR="00111E15">
        <w:rPr>
          <w:rFonts w:ascii="Times New Roman" w:hAnsi="Times New Roman" w:cs="Times New Roman"/>
          <w:sz w:val="24"/>
          <w:szCs w:val="24"/>
        </w:rPr>
        <w:t xml:space="preserve"> </w:t>
      </w:r>
      <w:r w:rsidR="00111E15">
        <w:rPr>
          <w:rFonts w:ascii="Times New Roman" w:hAnsi="Times New Roman" w:cs="Times New Roman"/>
          <w:i/>
          <w:iCs/>
          <w:sz w:val="24"/>
          <w:szCs w:val="24"/>
        </w:rPr>
        <w:t>Ighg</w:t>
      </w:r>
      <w:proofErr w:type="gramEnd"/>
      <w:r w:rsidR="00111E1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11E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1E15">
        <w:rPr>
          <w:rFonts w:ascii="Times New Roman" w:hAnsi="Times New Roman" w:cs="Times New Roman"/>
          <w:sz w:val="24"/>
          <w:szCs w:val="24"/>
        </w:rPr>
        <w:t xml:space="preserve">and </w:t>
      </w:r>
      <w:r w:rsidR="00111E15">
        <w:rPr>
          <w:rFonts w:ascii="Times New Roman" w:hAnsi="Times New Roman" w:cs="Times New Roman"/>
          <w:i/>
          <w:iCs/>
          <w:sz w:val="24"/>
          <w:szCs w:val="24"/>
        </w:rPr>
        <w:t>Ighg2c</w:t>
      </w:r>
      <w:r w:rsidR="002A4A1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2A4A16"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 w:rsidR="00111E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416E">
        <w:rPr>
          <w:rFonts w:ascii="Times New Roman" w:hAnsi="Times New Roman" w:cs="Times New Roman"/>
          <w:sz w:val="24"/>
          <w:szCs w:val="24"/>
        </w:rPr>
        <w:t xml:space="preserve">does not correlate with talus bone volumes in the afferent ankles 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>(G-J)</w:t>
      </w:r>
      <w:r w:rsidR="001F416E">
        <w:rPr>
          <w:rFonts w:ascii="Times New Roman" w:hAnsi="Times New Roman" w:cs="Times New Roman"/>
          <w:sz w:val="24"/>
          <w:szCs w:val="24"/>
        </w:rPr>
        <w:t xml:space="preserve">. </w:t>
      </w:r>
      <w:r w:rsidR="00111E15">
        <w:rPr>
          <w:rFonts w:ascii="Times New Roman" w:hAnsi="Times New Roman" w:cs="Times New Roman"/>
          <w:i/>
          <w:iCs/>
          <w:sz w:val="24"/>
          <w:szCs w:val="24"/>
        </w:rPr>
        <w:t>Ighg2a</w:t>
      </w:r>
      <w:r w:rsidR="00111E15">
        <w:rPr>
          <w:rFonts w:ascii="Times New Roman" w:hAnsi="Times New Roman" w:cs="Times New Roman"/>
          <w:sz w:val="24"/>
          <w:szCs w:val="24"/>
        </w:rPr>
        <w:t xml:space="preserve"> and </w:t>
      </w:r>
      <w:r w:rsidR="00111E15">
        <w:rPr>
          <w:rFonts w:ascii="Times New Roman" w:hAnsi="Times New Roman" w:cs="Times New Roman"/>
          <w:i/>
          <w:iCs/>
          <w:sz w:val="24"/>
          <w:szCs w:val="24"/>
        </w:rPr>
        <w:t>Ighg4</w:t>
      </w:r>
      <w:r w:rsidR="00111E15">
        <w:rPr>
          <w:rFonts w:ascii="Times New Roman" w:hAnsi="Times New Roman" w:cs="Times New Roman"/>
          <w:sz w:val="24"/>
          <w:szCs w:val="24"/>
        </w:rPr>
        <w:t xml:space="preserve"> were omitted as these genes were not expressed within the datasets.</w:t>
      </w:r>
      <w:r w:rsidR="006B1529">
        <w:rPr>
          <w:rFonts w:ascii="Times New Roman" w:hAnsi="Times New Roman" w:cs="Times New Roman"/>
          <w:sz w:val="24"/>
          <w:szCs w:val="24"/>
        </w:rPr>
        <w:t xml:space="preserve"> Blue scale bar = 0.5mm </w:t>
      </w:r>
      <w:r w:rsidR="006B1529">
        <w:rPr>
          <w:rFonts w:ascii="Times New Roman" w:hAnsi="Times New Roman" w:cs="Times New Roman"/>
          <w:b/>
          <w:bCs/>
          <w:sz w:val="24"/>
          <w:szCs w:val="24"/>
        </w:rPr>
        <w:t>(A-</w:t>
      </w:r>
      <w:r w:rsidR="0008030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6B152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B1529">
        <w:rPr>
          <w:rFonts w:ascii="Times New Roman" w:hAnsi="Times New Roman" w:cs="Times New Roman"/>
          <w:sz w:val="24"/>
          <w:szCs w:val="24"/>
        </w:rPr>
        <w:t>.</w:t>
      </w:r>
    </w:p>
    <w:p w14:paraId="67B33D7A" w14:textId="77777777" w:rsidR="008270B4" w:rsidRPr="001F416E" w:rsidRDefault="008270B4" w:rsidP="00974A19">
      <w:pPr>
        <w:spacing w:line="240" w:lineRule="auto"/>
        <w:contextualSpacing/>
      </w:pPr>
    </w:p>
    <w:p w14:paraId="0F31B26F" w14:textId="3AA1DF49" w:rsidR="00583183" w:rsidRPr="00701C12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4.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 xml:space="preserve"> IgM to IgG conversion with</w:t>
      </w:r>
      <w:r w:rsidR="00F65FCF">
        <w:rPr>
          <w:rFonts w:ascii="Times New Roman" w:hAnsi="Times New Roman" w:cs="Times New Roman"/>
          <w:b/>
          <w:bCs/>
          <w:sz w:val="24"/>
          <w:szCs w:val="24"/>
        </w:rPr>
        <w:t xml:space="preserve">out change in 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>B-cell proliferation in Advanced PLNs.</w:t>
      </w:r>
      <w:r w:rsidR="001F416E">
        <w:rPr>
          <w:rFonts w:ascii="Times New Roman" w:hAnsi="Times New Roman" w:cs="Times New Roman"/>
          <w:sz w:val="24"/>
          <w:szCs w:val="24"/>
        </w:rPr>
        <w:t xml:space="preserve"> Relative to Early PLNs with abundant IgM</w:t>
      </w:r>
      <w:r w:rsidR="001F416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F416E">
        <w:rPr>
          <w:rFonts w:ascii="Times New Roman" w:hAnsi="Times New Roman" w:cs="Times New Roman"/>
          <w:sz w:val="24"/>
          <w:szCs w:val="24"/>
        </w:rPr>
        <w:t xml:space="preserve"> cells (red) 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1F416E">
        <w:rPr>
          <w:rFonts w:ascii="Times New Roman" w:hAnsi="Times New Roman" w:cs="Times New Roman"/>
          <w:sz w:val="24"/>
          <w:szCs w:val="24"/>
        </w:rPr>
        <w:t>, Advanced PLNs exhibit</w:t>
      </w:r>
      <w:r w:rsidR="00CF1C5F">
        <w:rPr>
          <w:rFonts w:ascii="Times New Roman" w:hAnsi="Times New Roman" w:cs="Times New Roman"/>
          <w:sz w:val="24"/>
          <w:szCs w:val="24"/>
        </w:rPr>
        <w:t>ed</w:t>
      </w:r>
      <w:r w:rsidR="001F416E">
        <w:rPr>
          <w:rFonts w:ascii="Times New Roman" w:hAnsi="Times New Roman" w:cs="Times New Roman"/>
          <w:sz w:val="24"/>
          <w:szCs w:val="24"/>
        </w:rPr>
        <w:t xml:space="preserve"> a predominance of IgG</w:t>
      </w:r>
      <w:r w:rsidR="001F416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F416E">
        <w:rPr>
          <w:rFonts w:ascii="Times New Roman" w:hAnsi="Times New Roman" w:cs="Times New Roman"/>
          <w:sz w:val="24"/>
          <w:szCs w:val="24"/>
        </w:rPr>
        <w:t xml:space="preserve"> (green) cells </w:t>
      </w:r>
      <w:r w:rsidR="001F416E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1F416E">
        <w:rPr>
          <w:rFonts w:ascii="Times New Roman" w:hAnsi="Times New Roman" w:cs="Times New Roman"/>
          <w:sz w:val="24"/>
          <w:szCs w:val="24"/>
        </w:rPr>
        <w:t xml:space="preserve">. Quantitatively, Early PLNs </w:t>
      </w:r>
      <w:r w:rsidR="00CF1C5F">
        <w:rPr>
          <w:rFonts w:ascii="Times New Roman" w:hAnsi="Times New Roman" w:cs="Times New Roman"/>
          <w:sz w:val="24"/>
          <w:szCs w:val="24"/>
        </w:rPr>
        <w:t>had</w:t>
      </w:r>
      <w:r w:rsidR="001F416E">
        <w:rPr>
          <w:rFonts w:ascii="Times New Roman" w:hAnsi="Times New Roman" w:cs="Times New Roman"/>
          <w:sz w:val="24"/>
          <w:szCs w:val="24"/>
        </w:rPr>
        <w:t xml:space="preserve"> significantly increased IgM</w:t>
      </w:r>
      <w:r w:rsidR="001F416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F416E">
        <w:rPr>
          <w:rFonts w:ascii="Times New Roman" w:hAnsi="Times New Roman" w:cs="Times New Roman"/>
          <w:sz w:val="24"/>
          <w:szCs w:val="24"/>
        </w:rPr>
        <w:t xml:space="preserve"> cells compared to Advanced</w:t>
      </w:r>
      <w:r w:rsidR="00CF1C5F">
        <w:rPr>
          <w:rFonts w:ascii="Times New Roman" w:hAnsi="Times New Roman" w:cs="Times New Roman"/>
          <w:sz w:val="24"/>
          <w:szCs w:val="24"/>
        </w:rPr>
        <w:t xml:space="preserve"> </w:t>
      </w:r>
      <w:r w:rsidR="00CF1C5F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1F416E">
        <w:rPr>
          <w:rFonts w:ascii="Times New Roman" w:hAnsi="Times New Roman" w:cs="Times New Roman"/>
          <w:sz w:val="24"/>
          <w:szCs w:val="24"/>
        </w:rPr>
        <w:t>, while</w:t>
      </w:r>
      <w:r w:rsidR="00CF1C5F">
        <w:rPr>
          <w:rFonts w:ascii="Times New Roman" w:hAnsi="Times New Roman" w:cs="Times New Roman"/>
          <w:sz w:val="24"/>
          <w:szCs w:val="24"/>
        </w:rPr>
        <w:t xml:space="preserve"> Advanced PLNs showed significantly increased IgG</w:t>
      </w:r>
      <w:r w:rsidR="00CF1C5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F1C5F">
        <w:rPr>
          <w:rFonts w:ascii="Times New Roman" w:hAnsi="Times New Roman" w:cs="Times New Roman"/>
          <w:sz w:val="24"/>
          <w:szCs w:val="24"/>
        </w:rPr>
        <w:t xml:space="preserve"> cells </w:t>
      </w:r>
      <w:r w:rsidR="00CF1C5F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="00CF1C5F">
        <w:rPr>
          <w:rFonts w:ascii="Times New Roman" w:hAnsi="Times New Roman" w:cs="Times New Roman"/>
          <w:sz w:val="24"/>
          <w:szCs w:val="24"/>
        </w:rPr>
        <w:t>. The increased IgG</w:t>
      </w:r>
      <w:r w:rsidR="00CF1C5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F1C5F">
        <w:rPr>
          <w:rFonts w:ascii="Times New Roman" w:hAnsi="Times New Roman" w:cs="Times New Roman"/>
          <w:sz w:val="24"/>
          <w:szCs w:val="24"/>
        </w:rPr>
        <w:t xml:space="preserve"> cells in Advance</w:t>
      </w:r>
      <w:r w:rsidR="00413202">
        <w:rPr>
          <w:rFonts w:ascii="Times New Roman" w:hAnsi="Times New Roman" w:cs="Times New Roman"/>
          <w:sz w:val="24"/>
          <w:szCs w:val="24"/>
        </w:rPr>
        <w:t>d PLNs</w:t>
      </w:r>
      <w:r w:rsidR="00CF1C5F">
        <w:rPr>
          <w:rFonts w:ascii="Times New Roman" w:hAnsi="Times New Roman" w:cs="Times New Roman"/>
          <w:sz w:val="24"/>
          <w:szCs w:val="24"/>
        </w:rPr>
        <w:t xml:space="preserve"> was also</w:t>
      </w:r>
      <w:r w:rsidR="00727881">
        <w:rPr>
          <w:rFonts w:ascii="Times New Roman" w:hAnsi="Times New Roman" w:cs="Times New Roman"/>
          <w:sz w:val="24"/>
          <w:szCs w:val="24"/>
        </w:rPr>
        <w:t xml:space="preserve"> not</w:t>
      </w:r>
      <w:r w:rsidR="00CF1C5F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="00727881">
        <w:rPr>
          <w:rFonts w:ascii="Times New Roman" w:hAnsi="Times New Roman" w:cs="Times New Roman"/>
          <w:sz w:val="24"/>
          <w:szCs w:val="24"/>
        </w:rPr>
        <w:t>a corresponding change in</w:t>
      </w:r>
      <w:r w:rsidR="00CF1C5F">
        <w:rPr>
          <w:rFonts w:ascii="Times New Roman" w:hAnsi="Times New Roman" w:cs="Times New Roman"/>
          <w:sz w:val="24"/>
          <w:szCs w:val="24"/>
        </w:rPr>
        <w:t xml:space="preserve"> cell proliferation measured by </w:t>
      </w:r>
      <w:r w:rsidR="00F547D9">
        <w:rPr>
          <w:rFonts w:ascii="Times New Roman" w:hAnsi="Times New Roman" w:cs="Times New Roman"/>
          <w:sz w:val="24"/>
          <w:szCs w:val="24"/>
        </w:rPr>
        <w:t>proliferating cell nuclear antigen (</w:t>
      </w:r>
      <w:r w:rsidR="00CF1C5F">
        <w:rPr>
          <w:rFonts w:ascii="Times New Roman" w:hAnsi="Times New Roman" w:cs="Times New Roman"/>
          <w:sz w:val="24"/>
          <w:szCs w:val="24"/>
        </w:rPr>
        <w:t>PCNA</w:t>
      </w:r>
      <w:r w:rsidR="00F547D9">
        <w:rPr>
          <w:rFonts w:ascii="Times New Roman" w:hAnsi="Times New Roman" w:cs="Times New Roman"/>
          <w:sz w:val="24"/>
          <w:szCs w:val="24"/>
        </w:rPr>
        <w:t xml:space="preserve">, </w:t>
      </w:r>
      <w:r w:rsidR="00CF1C5F">
        <w:rPr>
          <w:rFonts w:ascii="Times New Roman" w:hAnsi="Times New Roman" w:cs="Times New Roman"/>
          <w:sz w:val="24"/>
          <w:szCs w:val="24"/>
        </w:rPr>
        <w:t>red), which suggests that the IgG</w:t>
      </w:r>
      <w:r w:rsidR="00CF1C5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F1C5F">
        <w:rPr>
          <w:rFonts w:ascii="Times New Roman" w:hAnsi="Times New Roman" w:cs="Times New Roman"/>
          <w:sz w:val="24"/>
          <w:szCs w:val="24"/>
        </w:rPr>
        <w:t xml:space="preserve"> cells represent </w:t>
      </w:r>
      <w:r w:rsidR="009E087C">
        <w:rPr>
          <w:rFonts w:ascii="Times New Roman" w:hAnsi="Times New Roman" w:cs="Times New Roman"/>
          <w:sz w:val="24"/>
          <w:szCs w:val="24"/>
        </w:rPr>
        <w:t xml:space="preserve">mature non-proliferating </w:t>
      </w:r>
      <w:r w:rsidR="00CF1C5F">
        <w:rPr>
          <w:rFonts w:ascii="Times New Roman" w:hAnsi="Times New Roman" w:cs="Times New Roman"/>
          <w:sz w:val="24"/>
          <w:szCs w:val="24"/>
        </w:rPr>
        <w:t xml:space="preserve">plasma cells. </w:t>
      </w:r>
      <w:r w:rsidR="00B94478">
        <w:rPr>
          <w:rFonts w:ascii="Times New Roman" w:hAnsi="Times New Roman" w:cs="Times New Roman"/>
          <w:sz w:val="24"/>
          <w:szCs w:val="24"/>
        </w:rPr>
        <w:t>Peanut agglutinin (PNA</w:t>
      </w:r>
      <w:r w:rsidR="005E29CA">
        <w:rPr>
          <w:rFonts w:ascii="Times New Roman" w:hAnsi="Times New Roman" w:cs="Times New Roman"/>
          <w:sz w:val="24"/>
          <w:szCs w:val="24"/>
        </w:rPr>
        <w:t>, green</w:t>
      </w:r>
      <w:r w:rsidR="00B94478">
        <w:rPr>
          <w:rFonts w:ascii="Times New Roman" w:hAnsi="Times New Roman" w:cs="Times New Roman"/>
          <w:sz w:val="24"/>
          <w:szCs w:val="24"/>
        </w:rPr>
        <w:t>) marks B-cells</w:t>
      </w:r>
      <w:r w:rsidR="009670F1">
        <w:rPr>
          <w:rFonts w:ascii="Times New Roman" w:hAnsi="Times New Roman" w:cs="Times New Roman"/>
          <w:sz w:val="24"/>
          <w:szCs w:val="24"/>
        </w:rPr>
        <w:t xml:space="preserve"> that may associate with germinal centers </w:t>
      </w:r>
      <w:r w:rsidR="009670F1">
        <w:rPr>
          <w:rFonts w:ascii="Times New Roman" w:hAnsi="Times New Roman" w:cs="Times New Roman"/>
          <w:b/>
          <w:bCs/>
          <w:sz w:val="24"/>
          <w:szCs w:val="24"/>
        </w:rPr>
        <w:t>(E</w:t>
      </w:r>
      <w:r w:rsidR="0072788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9670F1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="00B94478">
        <w:rPr>
          <w:rFonts w:ascii="Times New Roman" w:hAnsi="Times New Roman" w:cs="Times New Roman"/>
          <w:sz w:val="24"/>
          <w:szCs w:val="24"/>
        </w:rPr>
        <w:t xml:space="preserve">. </w:t>
      </w:r>
      <w:r w:rsidR="00CF1C5F">
        <w:rPr>
          <w:rFonts w:ascii="Times New Roman" w:hAnsi="Times New Roman" w:cs="Times New Roman"/>
          <w:sz w:val="24"/>
          <w:szCs w:val="24"/>
        </w:rPr>
        <w:t xml:space="preserve">Statistics: Unpaired t-test </w:t>
      </w:r>
      <w:r w:rsidR="00CF1C5F">
        <w:rPr>
          <w:rFonts w:ascii="Times New Roman" w:hAnsi="Times New Roman" w:cs="Times New Roman"/>
          <w:b/>
          <w:bCs/>
          <w:sz w:val="24"/>
          <w:szCs w:val="24"/>
        </w:rPr>
        <w:t>(C</w:t>
      </w:r>
      <w:r w:rsidR="0072788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CF1C5F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CF1C5F">
        <w:rPr>
          <w:rFonts w:ascii="Times New Roman" w:hAnsi="Times New Roman" w:cs="Times New Roman"/>
          <w:sz w:val="24"/>
          <w:szCs w:val="24"/>
        </w:rPr>
        <w:t>, **</w:t>
      </w:r>
      <w:r w:rsidR="00CF1C5F">
        <w:rPr>
          <w:rFonts w:ascii="Times New Roman" w:hAnsi="Times New Roman" w:cs="Times New Roman"/>
          <w:i/>
          <w:iCs/>
          <w:sz w:val="24"/>
          <w:szCs w:val="24"/>
        </w:rPr>
        <w:t>p&lt;0.01</w:t>
      </w:r>
      <w:r w:rsidR="00CF1C5F">
        <w:rPr>
          <w:rFonts w:ascii="Times New Roman" w:hAnsi="Times New Roman" w:cs="Times New Roman"/>
          <w:sz w:val="24"/>
          <w:szCs w:val="24"/>
        </w:rPr>
        <w:t>, ****</w:t>
      </w:r>
      <w:r w:rsidR="00CF1C5F">
        <w:rPr>
          <w:rFonts w:ascii="Times New Roman" w:hAnsi="Times New Roman" w:cs="Times New Roman"/>
          <w:i/>
          <w:iCs/>
          <w:sz w:val="24"/>
          <w:szCs w:val="24"/>
        </w:rPr>
        <w:t>p&lt;0.0001</w:t>
      </w:r>
      <w:r w:rsidR="00CF1C5F">
        <w:rPr>
          <w:rFonts w:ascii="Times New Roman" w:hAnsi="Times New Roman" w:cs="Times New Roman"/>
          <w:sz w:val="24"/>
          <w:szCs w:val="24"/>
        </w:rPr>
        <w:t xml:space="preserve">. </w:t>
      </w:r>
      <w:r w:rsidR="00701C12">
        <w:rPr>
          <w:rFonts w:ascii="Times New Roman" w:hAnsi="Times New Roman" w:cs="Times New Roman"/>
          <w:sz w:val="24"/>
          <w:szCs w:val="24"/>
        </w:rPr>
        <w:t>Yellow scale bar = 100</w:t>
      </w:r>
      <w:r w:rsidR="00701C12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01C12">
        <w:rPr>
          <w:rFonts w:ascii="Times New Roman" w:hAnsi="Times New Roman" w:cs="Times New Roman"/>
          <w:sz w:val="24"/>
          <w:szCs w:val="24"/>
        </w:rPr>
        <w:t xml:space="preserve">m </w:t>
      </w:r>
      <w:r w:rsidR="00701C12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72788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701C1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278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01C1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27881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701C12">
        <w:rPr>
          <w:rFonts w:ascii="Times New Roman" w:hAnsi="Times New Roman" w:cs="Times New Roman"/>
          <w:b/>
          <w:bCs/>
          <w:sz w:val="24"/>
          <w:szCs w:val="24"/>
        </w:rPr>
        <w:t>F)</w:t>
      </w:r>
      <w:r w:rsidR="00701C12">
        <w:rPr>
          <w:rFonts w:ascii="Times New Roman" w:hAnsi="Times New Roman" w:cs="Times New Roman"/>
          <w:sz w:val="24"/>
          <w:szCs w:val="24"/>
        </w:rPr>
        <w:t>.</w:t>
      </w:r>
    </w:p>
    <w:p w14:paraId="13DD08CC" w14:textId="77777777" w:rsidR="00701C12" w:rsidRDefault="00701C12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E0E858" w14:textId="7CDBA67C" w:rsidR="00516F8B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3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1BC">
        <w:rPr>
          <w:rFonts w:ascii="Times New Roman" w:hAnsi="Times New Roman" w:cs="Times New Roman"/>
          <w:b/>
          <w:bCs/>
          <w:sz w:val="24"/>
          <w:szCs w:val="24"/>
        </w:rPr>
        <w:t>ALCAM</w:t>
      </w:r>
      <w:r w:rsidR="00EC5C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511B8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EC5C5C">
        <w:rPr>
          <w:rFonts w:ascii="Times New Roman" w:hAnsi="Times New Roman" w:cs="Times New Roman"/>
          <w:b/>
          <w:bCs/>
          <w:sz w:val="24"/>
          <w:szCs w:val="24"/>
        </w:rPr>
        <w:t>F4/80</w:t>
      </w:r>
      <w:r w:rsidR="00EC5C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EC5C5C">
        <w:rPr>
          <w:rFonts w:ascii="Times New Roman" w:hAnsi="Times New Roman" w:cs="Times New Roman"/>
          <w:b/>
          <w:bCs/>
          <w:sz w:val="24"/>
          <w:szCs w:val="24"/>
        </w:rPr>
        <w:t xml:space="preserve"> macrophages localize to </w:t>
      </w:r>
      <w:r w:rsidR="003471BC">
        <w:rPr>
          <w:rFonts w:ascii="Times New Roman" w:hAnsi="Times New Roman" w:cs="Times New Roman"/>
          <w:b/>
          <w:bCs/>
          <w:sz w:val="24"/>
          <w:szCs w:val="24"/>
        </w:rPr>
        <w:t>MARCO</w:t>
      </w:r>
      <w:r w:rsidR="00EC5C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EC5C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66A5B">
        <w:rPr>
          <w:rFonts w:ascii="Times New Roman" w:hAnsi="Times New Roman" w:cs="Times New Roman"/>
          <w:b/>
          <w:bCs/>
          <w:sz w:val="24"/>
          <w:szCs w:val="24"/>
        </w:rPr>
        <w:t>LYVE1</w:t>
      </w:r>
      <w:r w:rsidR="00EC5C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EC5C5C">
        <w:rPr>
          <w:rFonts w:ascii="Times New Roman" w:hAnsi="Times New Roman" w:cs="Times New Roman"/>
          <w:b/>
          <w:bCs/>
          <w:sz w:val="24"/>
          <w:szCs w:val="24"/>
        </w:rPr>
        <w:t xml:space="preserve"> lymphatic endothelial cell lined sinuses.</w:t>
      </w:r>
      <w:r w:rsidR="00EC5C5C">
        <w:rPr>
          <w:rFonts w:ascii="Times New Roman" w:hAnsi="Times New Roman" w:cs="Times New Roman"/>
          <w:sz w:val="24"/>
          <w:szCs w:val="24"/>
        </w:rPr>
        <w:t xml:space="preserve"> </w:t>
      </w:r>
      <w:r w:rsidR="0001696B">
        <w:rPr>
          <w:rFonts w:ascii="Times New Roman" w:hAnsi="Times New Roman" w:cs="Times New Roman"/>
          <w:sz w:val="24"/>
          <w:szCs w:val="24"/>
        </w:rPr>
        <w:t>In a representative Advanced PLN, i</w:t>
      </w:r>
      <w:r w:rsidR="00EC5C5C">
        <w:rPr>
          <w:rFonts w:ascii="Times New Roman" w:hAnsi="Times New Roman" w:cs="Times New Roman"/>
          <w:sz w:val="24"/>
          <w:szCs w:val="24"/>
        </w:rPr>
        <w:t xml:space="preserve">mmunofluorescence revealed </w:t>
      </w:r>
      <w:r w:rsidR="003471BC">
        <w:rPr>
          <w:rFonts w:ascii="Times New Roman" w:hAnsi="Times New Roman" w:cs="Times New Roman"/>
          <w:sz w:val="24"/>
          <w:szCs w:val="24"/>
        </w:rPr>
        <w:t>ALCAM</w:t>
      </w:r>
      <w:r w:rsidR="005B325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B3256">
        <w:rPr>
          <w:rFonts w:ascii="Times New Roman" w:hAnsi="Times New Roman" w:cs="Times New Roman"/>
          <w:sz w:val="24"/>
          <w:szCs w:val="24"/>
        </w:rPr>
        <w:t xml:space="preserve"> (white) / F4/80</w:t>
      </w:r>
      <w:r w:rsidR="005B325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B3256">
        <w:rPr>
          <w:rFonts w:ascii="Times New Roman" w:hAnsi="Times New Roman" w:cs="Times New Roman"/>
          <w:sz w:val="24"/>
          <w:szCs w:val="24"/>
        </w:rPr>
        <w:t xml:space="preserve"> (red) macrophages closely localized to the </w:t>
      </w:r>
      <w:r w:rsidR="003471BC">
        <w:rPr>
          <w:rFonts w:ascii="Times New Roman" w:hAnsi="Times New Roman" w:cs="Times New Roman"/>
          <w:sz w:val="24"/>
          <w:szCs w:val="24"/>
        </w:rPr>
        <w:t>MARCO</w:t>
      </w:r>
      <w:r w:rsidR="005B325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B3256">
        <w:rPr>
          <w:rFonts w:ascii="Times New Roman" w:hAnsi="Times New Roman" w:cs="Times New Roman"/>
          <w:sz w:val="24"/>
          <w:szCs w:val="24"/>
        </w:rPr>
        <w:t xml:space="preserve"> (green) PLN sinuses </w:t>
      </w:r>
      <w:r w:rsidR="005B3256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5B3256">
        <w:rPr>
          <w:rFonts w:ascii="Times New Roman" w:hAnsi="Times New Roman" w:cs="Times New Roman"/>
          <w:sz w:val="24"/>
          <w:szCs w:val="24"/>
        </w:rPr>
        <w:t xml:space="preserve">. </w:t>
      </w:r>
      <w:r w:rsidR="003471BC">
        <w:rPr>
          <w:rFonts w:ascii="Times New Roman" w:hAnsi="Times New Roman" w:cs="Times New Roman"/>
          <w:sz w:val="24"/>
          <w:szCs w:val="24"/>
        </w:rPr>
        <w:t xml:space="preserve">LYVE1 </w:t>
      </w:r>
      <w:r w:rsidR="005B3256">
        <w:rPr>
          <w:rFonts w:ascii="Times New Roman" w:hAnsi="Times New Roman" w:cs="Times New Roman"/>
          <w:sz w:val="24"/>
          <w:szCs w:val="24"/>
        </w:rPr>
        <w:t xml:space="preserve">(green) immunostaining was demonstrated in the same cellular pattern and location within the PLN sinuses as the </w:t>
      </w:r>
      <w:r w:rsidR="003471BC">
        <w:rPr>
          <w:rFonts w:ascii="Times New Roman" w:hAnsi="Times New Roman" w:cs="Times New Roman"/>
          <w:sz w:val="24"/>
          <w:szCs w:val="24"/>
        </w:rPr>
        <w:t>MARCO</w:t>
      </w:r>
      <w:r w:rsidR="005B325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B3256">
        <w:rPr>
          <w:rFonts w:ascii="Times New Roman" w:hAnsi="Times New Roman" w:cs="Times New Roman"/>
          <w:sz w:val="24"/>
          <w:szCs w:val="24"/>
        </w:rPr>
        <w:t xml:space="preserve"> cells in </w:t>
      </w:r>
      <w:r w:rsidR="005B325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3256">
        <w:rPr>
          <w:rFonts w:ascii="Times New Roman" w:hAnsi="Times New Roman" w:cs="Times New Roman"/>
          <w:sz w:val="24"/>
          <w:szCs w:val="24"/>
        </w:rPr>
        <w:t xml:space="preserve">, further confirming the </w:t>
      </w:r>
      <w:r w:rsidR="003471BC">
        <w:rPr>
          <w:rFonts w:ascii="Times New Roman" w:hAnsi="Times New Roman" w:cs="Times New Roman"/>
          <w:sz w:val="24"/>
          <w:szCs w:val="24"/>
        </w:rPr>
        <w:t>MARCO</w:t>
      </w:r>
      <w:r w:rsidR="005B325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B3256">
        <w:rPr>
          <w:rFonts w:ascii="Times New Roman" w:hAnsi="Times New Roman" w:cs="Times New Roman"/>
          <w:sz w:val="24"/>
          <w:szCs w:val="24"/>
        </w:rPr>
        <w:t xml:space="preserve"> lymphatic endothelial cell identity</w:t>
      </w:r>
      <w:r w:rsidR="00AE037C">
        <w:rPr>
          <w:rFonts w:ascii="Times New Roman" w:hAnsi="Times New Roman" w:cs="Times New Roman"/>
          <w:sz w:val="24"/>
          <w:szCs w:val="24"/>
        </w:rPr>
        <w:t xml:space="preserve">. On the other hand, peripheral node </w:t>
      </w:r>
      <w:proofErr w:type="spellStart"/>
      <w:r w:rsidR="00AE037C">
        <w:rPr>
          <w:rFonts w:ascii="Times New Roman" w:hAnsi="Times New Roman" w:cs="Times New Roman"/>
          <w:sz w:val="24"/>
          <w:szCs w:val="24"/>
        </w:rPr>
        <w:t>addressin</w:t>
      </w:r>
      <w:proofErr w:type="spellEnd"/>
      <w:r w:rsidR="00AE03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037C">
        <w:rPr>
          <w:rFonts w:ascii="Times New Roman" w:hAnsi="Times New Roman" w:cs="Times New Roman"/>
          <w:sz w:val="24"/>
          <w:szCs w:val="24"/>
        </w:rPr>
        <w:t>PNAd</w:t>
      </w:r>
      <w:proofErr w:type="spellEnd"/>
      <w:r w:rsidR="00AE037C">
        <w:rPr>
          <w:rFonts w:ascii="Times New Roman" w:hAnsi="Times New Roman" w:cs="Times New Roman"/>
          <w:sz w:val="24"/>
          <w:szCs w:val="24"/>
        </w:rPr>
        <w:t>, red) marks high endothelial venules</w:t>
      </w:r>
      <w:r w:rsidR="004B0C77">
        <w:rPr>
          <w:rFonts w:ascii="Times New Roman" w:hAnsi="Times New Roman" w:cs="Times New Roman"/>
          <w:sz w:val="24"/>
          <w:szCs w:val="24"/>
        </w:rPr>
        <w:t xml:space="preserve"> </w:t>
      </w:r>
      <w:r w:rsidR="004B0C77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4B0C77">
        <w:rPr>
          <w:rFonts w:ascii="Times New Roman" w:hAnsi="Times New Roman" w:cs="Times New Roman"/>
          <w:sz w:val="24"/>
          <w:szCs w:val="24"/>
        </w:rPr>
        <w:t>.</w:t>
      </w:r>
      <w:r w:rsidR="00DE7132">
        <w:rPr>
          <w:rFonts w:ascii="Times New Roman" w:hAnsi="Times New Roman" w:cs="Times New Roman"/>
          <w:sz w:val="24"/>
          <w:szCs w:val="24"/>
        </w:rPr>
        <w:t xml:space="preserve"> </w:t>
      </w:r>
      <w:r w:rsidR="00777306">
        <w:rPr>
          <w:rFonts w:ascii="Times New Roman" w:hAnsi="Times New Roman" w:cs="Times New Roman"/>
          <w:sz w:val="24"/>
          <w:szCs w:val="24"/>
        </w:rPr>
        <w:t>Note, as</w:t>
      </w:r>
      <w:r w:rsidR="00DE7132">
        <w:rPr>
          <w:rFonts w:ascii="Times New Roman" w:hAnsi="Times New Roman" w:cs="Times New Roman"/>
          <w:sz w:val="24"/>
          <w:szCs w:val="24"/>
        </w:rPr>
        <w:t xml:space="preserve"> the F4/80</w:t>
      </w:r>
      <w:r w:rsidR="00DE713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E7132">
        <w:rPr>
          <w:rFonts w:ascii="Times New Roman" w:hAnsi="Times New Roman" w:cs="Times New Roman"/>
          <w:sz w:val="24"/>
          <w:szCs w:val="24"/>
        </w:rPr>
        <w:t xml:space="preserve"> </w:t>
      </w:r>
      <w:r w:rsidR="00EF0301">
        <w:rPr>
          <w:rFonts w:ascii="Times New Roman" w:hAnsi="Times New Roman" w:cs="Times New Roman"/>
          <w:sz w:val="24"/>
          <w:szCs w:val="24"/>
        </w:rPr>
        <w:t>cells</w:t>
      </w:r>
      <w:r w:rsidR="00DE7132">
        <w:rPr>
          <w:rFonts w:ascii="Times New Roman" w:hAnsi="Times New Roman" w:cs="Times New Roman"/>
          <w:sz w:val="24"/>
          <w:szCs w:val="24"/>
        </w:rPr>
        <w:t xml:space="preserve"> localized to similar regions of the PLN as the iron-laden cells, and </w:t>
      </w:r>
      <w:r w:rsidR="00084CFC">
        <w:rPr>
          <w:rFonts w:ascii="Times New Roman" w:hAnsi="Times New Roman" w:cs="Times New Roman"/>
          <w:sz w:val="24"/>
          <w:szCs w:val="24"/>
        </w:rPr>
        <w:t xml:space="preserve">because </w:t>
      </w:r>
      <w:r w:rsidR="00DE7132">
        <w:rPr>
          <w:rFonts w:ascii="Times New Roman" w:hAnsi="Times New Roman" w:cs="Times New Roman"/>
          <w:sz w:val="24"/>
          <w:szCs w:val="24"/>
        </w:rPr>
        <w:t>macrophages are known to be the primary immune cell regulator of iron homeostasis</w:t>
      </w:r>
      <w:r w:rsidR="005C7122">
        <w:rPr>
          <w:rFonts w:ascii="Times New Roman" w:hAnsi="Times New Roman" w:cs="Times New Roman"/>
          <w:sz w:val="24"/>
          <w:szCs w:val="24"/>
        </w:rPr>
        <w:t xml:space="preserve"> </w:t>
      </w:r>
      <w:r w:rsidR="00A03796">
        <w:rPr>
          <w:rFonts w:ascii="Times New Roman" w:hAnsi="Times New Roman" w:cs="Times New Roman"/>
          <w:sz w:val="24"/>
          <w:szCs w:val="24"/>
        </w:rPr>
        <w:fldChar w:fldCharType="begin"/>
      </w:r>
      <w:r w:rsidR="00A7115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&lt;EndNote&gt;&lt;Cite&gt;&lt;Author&gt;DeRosa&lt;/Author&gt;&lt;Year&gt;2021&lt;/Year&gt;&lt;RecNum&gt;329&lt;/RecNum&gt;&lt;DisplayText&gt;(1)&lt;/DisplayText&gt;&lt;record&gt;&lt;rec-number&gt;329&lt;/rec-number&gt;&lt;foreign-keys&gt;&lt;key app="EN" db-id="ax052rr0lpzzx4eewx8xrevhxss9vtasw05d" timestamp="1648688678"&gt;329&lt;/key&gt;&lt;/foreign-keys&gt;&lt;ref-type name="Journal Article"&gt;17&lt;/ref-type&gt;&lt;contributors&gt;&lt;authors&gt;&lt;author&gt;DeRosa, A&lt;/author&gt;&lt;author&gt;Leftin, A&lt;/author&gt;&lt;/authors&gt;&lt;/contributors&gt;&lt;titles&gt;&lt;title&gt;The Iron Curtain: Macrophages at the Interface of Systemic and Microenvironmental Iron Metabolism and Immune Response in Cancer&lt;/title&gt;&lt;secondary-title&gt;Front Immunol&lt;/secondary-title&gt;&lt;/titles&gt;&lt;periodical&gt;&lt;full-title&gt;Front Immunol&lt;/full-title&gt;&lt;/periodical&gt;&lt;volume&gt;12&lt;/volume&gt;&lt;number&gt;614294&lt;/number&gt;&lt;dates&gt;&lt;year&gt;2021&lt;/year&gt;&lt;/dates&gt;&lt;urls&gt;&lt;/urls&gt;&lt;electronic-resource-num&gt;10.3389/fimmu.2021.614294&lt;/electronic-resource-num&gt;&lt;/record&gt;&lt;/Cite&gt;&lt;/EndNote&gt;</w:instrText>
      </w:r>
      <w:r w:rsidR="00A03796">
        <w:rPr>
          <w:rFonts w:ascii="Times New Roman" w:hAnsi="Times New Roman" w:cs="Times New Roman"/>
          <w:sz w:val="24"/>
          <w:szCs w:val="24"/>
        </w:rPr>
        <w:fldChar w:fldCharType="separate"/>
      </w:r>
      <w:r w:rsidR="00A7115B">
        <w:rPr>
          <w:rFonts w:ascii="Times New Roman" w:hAnsi="Times New Roman" w:cs="Times New Roman"/>
          <w:noProof/>
          <w:sz w:val="24"/>
          <w:szCs w:val="24"/>
        </w:rPr>
        <w:t>(1)</w:t>
      </w:r>
      <w:r w:rsidR="00A03796">
        <w:rPr>
          <w:rFonts w:ascii="Times New Roman" w:hAnsi="Times New Roman" w:cs="Times New Roman"/>
          <w:sz w:val="24"/>
          <w:szCs w:val="24"/>
        </w:rPr>
        <w:fldChar w:fldCharType="end"/>
      </w:r>
      <w:r w:rsidR="00DE7132">
        <w:rPr>
          <w:rFonts w:ascii="Times New Roman" w:hAnsi="Times New Roman" w:cs="Times New Roman"/>
          <w:sz w:val="24"/>
          <w:szCs w:val="24"/>
        </w:rPr>
        <w:t xml:space="preserve">, the iron-laden cells are </w:t>
      </w:r>
      <w:r w:rsidR="005608F3">
        <w:rPr>
          <w:rFonts w:ascii="Times New Roman" w:hAnsi="Times New Roman" w:cs="Times New Roman"/>
          <w:sz w:val="24"/>
          <w:szCs w:val="24"/>
        </w:rPr>
        <w:t>presumed to be</w:t>
      </w:r>
      <w:r w:rsidR="00DE7132">
        <w:rPr>
          <w:rFonts w:ascii="Times New Roman" w:hAnsi="Times New Roman" w:cs="Times New Roman"/>
          <w:sz w:val="24"/>
          <w:szCs w:val="24"/>
        </w:rPr>
        <w:t xml:space="preserve"> macrophages. </w:t>
      </w:r>
      <w:r w:rsidR="00701C12">
        <w:rPr>
          <w:rFonts w:ascii="Times New Roman" w:hAnsi="Times New Roman" w:cs="Times New Roman"/>
          <w:sz w:val="24"/>
          <w:szCs w:val="24"/>
        </w:rPr>
        <w:t>Yellow scale bar = 100</w:t>
      </w:r>
      <w:r w:rsidR="00701C12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01C12">
        <w:rPr>
          <w:rFonts w:ascii="Times New Roman" w:hAnsi="Times New Roman" w:cs="Times New Roman"/>
          <w:sz w:val="24"/>
          <w:szCs w:val="24"/>
        </w:rPr>
        <w:t xml:space="preserve">m </w:t>
      </w:r>
      <w:r w:rsidR="00701C12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A7115B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701C1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701C12">
        <w:rPr>
          <w:rFonts w:ascii="Times New Roman" w:hAnsi="Times New Roman" w:cs="Times New Roman"/>
          <w:sz w:val="24"/>
          <w:szCs w:val="24"/>
        </w:rPr>
        <w:t>.</w:t>
      </w:r>
    </w:p>
    <w:p w14:paraId="0EA2E278" w14:textId="2FFCFF93" w:rsidR="00130B08" w:rsidRDefault="00130B08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B-cell immunoglobulin expression is selective for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Ighg2b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Advanced PLNs. </w:t>
      </w:r>
      <w:r>
        <w:rPr>
          <w:rFonts w:ascii="Times New Roman" w:hAnsi="Times New Roman" w:cs="Times New Roman"/>
          <w:sz w:val="24"/>
          <w:szCs w:val="24"/>
        </w:rPr>
        <w:t xml:space="preserve">To validate the increased </w:t>
      </w:r>
      <w:r>
        <w:rPr>
          <w:rFonts w:ascii="Times New Roman" w:hAnsi="Times New Roman" w:cs="Times New Roman"/>
          <w:i/>
          <w:iCs/>
          <w:sz w:val="24"/>
          <w:szCs w:val="24"/>
        </w:rPr>
        <w:t>Ighg2b</w:t>
      </w:r>
      <w:r>
        <w:rPr>
          <w:rFonts w:ascii="Times New Roman" w:hAnsi="Times New Roman" w:cs="Times New Roman"/>
          <w:sz w:val="24"/>
          <w:szCs w:val="24"/>
        </w:rPr>
        <w:t xml:space="preserve"> expression noted within the PLNs of TNF-</w:t>
      </w: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mice with Advanced arthritis by spatial transcriptomics, we evaluated the immunoglobulin isotypes between the Early and Advanced conditions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B-cell populations by </w:t>
      </w:r>
      <w:proofErr w:type="spellStart"/>
      <w:r w:rsidR="00843574">
        <w:rPr>
          <w:rFonts w:ascii="Times New Roman" w:hAnsi="Times New Roman" w:cs="Times New Roman"/>
          <w:sz w:val="24"/>
          <w:szCs w:val="24"/>
        </w:rPr>
        <w:t>scRNAseq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71BC"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 xml:space="preserve"> gene expression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Ighm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1BC">
        <w:rPr>
          <w:rFonts w:ascii="Times New Roman" w:hAnsi="Times New Roman" w:cs="Times New Roman"/>
          <w:sz w:val="24"/>
          <w:szCs w:val="24"/>
        </w:rPr>
        <w:t xml:space="preserve">was noted </w:t>
      </w:r>
      <w:r>
        <w:rPr>
          <w:rFonts w:ascii="Times New Roman" w:hAnsi="Times New Roman" w:cs="Times New Roman"/>
          <w:sz w:val="24"/>
          <w:szCs w:val="24"/>
        </w:rPr>
        <w:t>within all B-cell subtypes</w:t>
      </w:r>
      <w:r w:rsidR="00A40D1A">
        <w:rPr>
          <w:rFonts w:ascii="Times New Roman" w:hAnsi="Times New Roman" w:cs="Times New Roman"/>
          <w:sz w:val="24"/>
          <w:szCs w:val="24"/>
        </w:rPr>
        <w:t xml:space="preserve"> regardless of arthritic severity</w:t>
      </w:r>
      <w:r w:rsidR="003471BC">
        <w:rPr>
          <w:rFonts w:ascii="Times New Roman" w:hAnsi="Times New Roman" w:cs="Times New Roman"/>
          <w:sz w:val="24"/>
          <w:szCs w:val="24"/>
        </w:rPr>
        <w:t xml:space="preserve"> </w:t>
      </w:r>
      <w:r w:rsidR="003471BC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4D6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while Advanced B-cells showed increased </w:t>
      </w:r>
      <w:r>
        <w:rPr>
          <w:rFonts w:ascii="Times New Roman" w:hAnsi="Times New Roman" w:cs="Times New Roman"/>
          <w:i/>
          <w:iCs/>
          <w:sz w:val="24"/>
          <w:szCs w:val="24"/>
        </w:rPr>
        <w:t>Ighg2b</w:t>
      </w:r>
      <w:r>
        <w:rPr>
          <w:rFonts w:ascii="Times New Roman" w:hAnsi="Times New Roman" w:cs="Times New Roman"/>
          <w:sz w:val="24"/>
          <w:szCs w:val="24"/>
        </w:rPr>
        <w:t xml:space="preserve"> levels compared to Early</w:t>
      </w:r>
      <w:r w:rsidR="003471BC">
        <w:rPr>
          <w:rFonts w:ascii="Times New Roman" w:hAnsi="Times New Roman" w:cs="Times New Roman"/>
          <w:sz w:val="24"/>
          <w:szCs w:val="24"/>
        </w:rPr>
        <w:t xml:space="preserve"> </w:t>
      </w:r>
      <w:r w:rsidR="003471BC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116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increased immunoglobulin expression in Advanced B-cells was </w:t>
      </w:r>
      <w:r w:rsidR="00C61163">
        <w:rPr>
          <w:rFonts w:ascii="Times New Roman" w:hAnsi="Times New Roman" w:cs="Times New Roman"/>
          <w:sz w:val="24"/>
          <w:szCs w:val="24"/>
        </w:rPr>
        <w:t>selective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i/>
          <w:iCs/>
          <w:sz w:val="24"/>
          <w:szCs w:val="24"/>
        </w:rPr>
        <w:t>Ighg2b</w:t>
      </w:r>
      <w:r>
        <w:rPr>
          <w:rFonts w:ascii="Times New Roman" w:hAnsi="Times New Roman" w:cs="Times New Roman"/>
          <w:sz w:val="24"/>
          <w:szCs w:val="24"/>
        </w:rPr>
        <w:t xml:space="preserve"> isotype with limited expression in both Early and Advanced conditions for </w:t>
      </w:r>
      <w:r>
        <w:rPr>
          <w:rFonts w:ascii="Times New Roman" w:hAnsi="Times New Roman" w:cs="Times New Roman"/>
          <w:i/>
          <w:iCs/>
          <w:sz w:val="24"/>
          <w:szCs w:val="24"/>
        </w:rPr>
        <w:t>Ighg1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Ighg2c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i/>
          <w:iCs/>
          <w:sz w:val="24"/>
          <w:szCs w:val="24"/>
        </w:rPr>
        <w:t>Ighg3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471BC">
        <w:rPr>
          <w:rFonts w:ascii="Times New Roman" w:hAnsi="Times New Roman" w:cs="Times New Roman"/>
          <w:b/>
          <w:bCs/>
          <w:sz w:val="24"/>
          <w:szCs w:val="24"/>
        </w:rPr>
        <w:t>C-F)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Ighg2a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Ighg4</w:t>
      </w:r>
      <w:r>
        <w:rPr>
          <w:rFonts w:ascii="Times New Roman" w:hAnsi="Times New Roman" w:cs="Times New Roman"/>
          <w:sz w:val="24"/>
          <w:szCs w:val="24"/>
        </w:rPr>
        <w:t xml:space="preserve"> were undetectable throughout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datasets,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thus omitted.</w:t>
      </w:r>
      <w:r w:rsidR="00ED0F7E">
        <w:rPr>
          <w:rFonts w:ascii="Times New Roman" w:hAnsi="Times New Roman" w:cs="Times New Roman"/>
          <w:sz w:val="24"/>
          <w:szCs w:val="24"/>
        </w:rPr>
        <w:t xml:space="preserve"> Interestingly, despite the increased </w:t>
      </w:r>
      <w:r w:rsidR="00ED0F7E">
        <w:rPr>
          <w:rFonts w:ascii="Times New Roman" w:hAnsi="Times New Roman" w:cs="Times New Roman"/>
          <w:i/>
          <w:iCs/>
          <w:sz w:val="24"/>
          <w:szCs w:val="24"/>
        </w:rPr>
        <w:t>Ighg2b</w:t>
      </w:r>
      <w:r w:rsidR="00ED0F7E">
        <w:rPr>
          <w:rFonts w:ascii="Times New Roman" w:hAnsi="Times New Roman" w:cs="Times New Roman"/>
          <w:sz w:val="24"/>
          <w:szCs w:val="24"/>
        </w:rPr>
        <w:t xml:space="preserve"> expression in Advanced PLNs, there was no difference in serum IgG2b antibody levels between Early and Advanced TNF-</w:t>
      </w:r>
      <w:proofErr w:type="spellStart"/>
      <w:r w:rsidR="00ED0F7E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ED0F7E">
        <w:rPr>
          <w:rFonts w:ascii="Times New Roman" w:hAnsi="Times New Roman" w:cs="Times New Roman"/>
          <w:sz w:val="24"/>
          <w:szCs w:val="24"/>
        </w:rPr>
        <w:t xml:space="preserve"> mice. Both TNF-</w:t>
      </w:r>
      <w:proofErr w:type="spellStart"/>
      <w:r w:rsidR="00ED0F7E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ED0F7E">
        <w:rPr>
          <w:rFonts w:ascii="Times New Roman" w:hAnsi="Times New Roman" w:cs="Times New Roman"/>
          <w:sz w:val="24"/>
          <w:szCs w:val="24"/>
        </w:rPr>
        <w:t xml:space="preserve"> cohorts exhibited expected proportions of immunoglobulin isotypes with IgG2b as the predominant isotype in C57BL/6 mice </w:t>
      </w:r>
      <w:r w:rsidR="00ED0F7E">
        <w:rPr>
          <w:rFonts w:ascii="Times New Roman" w:hAnsi="Times New Roman" w:cs="Times New Roman"/>
          <w:sz w:val="24"/>
          <w:szCs w:val="24"/>
        </w:rPr>
        <w:fldChar w:fldCharType="begin"/>
      </w:r>
      <w:r w:rsidR="00A7115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&lt;EndNote&gt;&lt;Cite&gt;&lt;Author&gt;Klein-Schneegans&lt;/Author&gt;&lt;Year&gt;1989&lt;/Year&gt;&lt;RecNum&gt;331&lt;/RecNum&gt;&lt;DisplayText&gt;(2)&lt;/DisplayText&gt;&lt;record&gt;&lt;rec-number&gt;331&lt;/rec-number&gt;&lt;foreign-keys&gt;&lt;key app="EN" db-id="ax052rr0lpzzx4eewx8xrevhxss9vtasw05d" timestamp="1648758948"&gt;331&lt;/key&gt;&lt;/foreign-keys&gt;&lt;ref-type name="Journal Article"&gt;17&lt;/ref-type&gt;&lt;contributors&gt;&lt;authors&gt;&lt;author&gt;Klein-Schneegans, AS&lt;/author&gt;&lt;author&gt;Kuntz, L&lt;/author&gt;&lt;author&gt;Fonteneau, P&lt;/author&gt;&lt;author&gt;Loor, F&lt;/author&gt;&lt;/authors&gt;&lt;/contributors&gt;&lt;titles&gt;&lt;title&gt;Serum concentrations of IgM, IgG1, IgG2b, IgG3 and IgA in C57BL/6 mice and their congenics at the lpr (lymphoproliferation) locus&lt;/title&gt;&lt;secondary-title&gt;J Autoimmun&lt;/secondary-title&gt;&lt;/titles&gt;&lt;periodical&gt;&lt;full-title&gt;J Autoimmun&lt;/full-title&gt;&lt;/periodical&gt;&lt;pages&gt;869-75&lt;/pages&gt;&lt;volume&gt;2&lt;/volume&gt;&lt;number&gt;6&lt;/number&gt;&lt;section&gt;869&lt;/section&gt;&lt;dates&gt;&lt;year&gt;1989&lt;/year&gt;&lt;/dates&gt;&lt;urls&gt;&lt;/urls&gt;&lt;electronic-resource-num&gt;10.1016/0896-8411(89)90013-9&lt;/electronic-resource-num&gt;&lt;/record&gt;&lt;/Cite&gt;&lt;/EndNote&gt;</w:instrText>
      </w:r>
      <w:r w:rsidR="00ED0F7E">
        <w:rPr>
          <w:rFonts w:ascii="Times New Roman" w:hAnsi="Times New Roman" w:cs="Times New Roman"/>
          <w:sz w:val="24"/>
          <w:szCs w:val="24"/>
        </w:rPr>
        <w:fldChar w:fldCharType="separate"/>
      </w:r>
      <w:r w:rsidR="00A7115B">
        <w:rPr>
          <w:rFonts w:ascii="Times New Roman" w:hAnsi="Times New Roman" w:cs="Times New Roman"/>
          <w:noProof/>
          <w:sz w:val="24"/>
          <w:szCs w:val="24"/>
        </w:rPr>
        <w:t>(2)</w:t>
      </w:r>
      <w:r w:rsidR="00ED0F7E">
        <w:rPr>
          <w:rFonts w:ascii="Times New Roman" w:hAnsi="Times New Roman" w:cs="Times New Roman"/>
          <w:sz w:val="24"/>
          <w:szCs w:val="24"/>
        </w:rPr>
        <w:fldChar w:fldCharType="end"/>
      </w:r>
      <w:r w:rsidR="00ED0F7E">
        <w:rPr>
          <w:rFonts w:ascii="Times New Roman" w:hAnsi="Times New Roman" w:cs="Times New Roman"/>
          <w:sz w:val="24"/>
          <w:szCs w:val="24"/>
        </w:rPr>
        <w:t xml:space="preserve"> 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(G)</w:t>
      </w:r>
      <w:r w:rsidR="00ED0F7E">
        <w:rPr>
          <w:rFonts w:ascii="Times New Roman" w:hAnsi="Times New Roman" w:cs="Times New Roman"/>
          <w:sz w:val="24"/>
          <w:szCs w:val="24"/>
        </w:rPr>
        <w:t>. Towards understanding the IgG2b</w:t>
      </w:r>
      <w:r w:rsidR="00ED0F7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D0F7E">
        <w:rPr>
          <w:rFonts w:ascii="Times New Roman" w:hAnsi="Times New Roman" w:cs="Times New Roman"/>
          <w:sz w:val="24"/>
          <w:szCs w:val="24"/>
        </w:rPr>
        <w:t xml:space="preserve"> plasma cell accumulation in PLNs, i</w:t>
      </w:r>
      <w:r w:rsidR="003471BC">
        <w:rPr>
          <w:rFonts w:ascii="Times New Roman" w:hAnsi="Times New Roman" w:cs="Times New Roman"/>
          <w:sz w:val="24"/>
          <w:szCs w:val="24"/>
        </w:rPr>
        <w:t xml:space="preserve">nteraction </w:t>
      </w:r>
      <w:r w:rsidR="005F4B7C">
        <w:rPr>
          <w:rFonts w:ascii="Times New Roman" w:hAnsi="Times New Roman" w:cs="Times New Roman"/>
          <w:sz w:val="24"/>
          <w:szCs w:val="24"/>
        </w:rPr>
        <w:t>analysis</w:t>
      </w:r>
      <w:r w:rsidR="003471BC">
        <w:rPr>
          <w:rFonts w:ascii="Times New Roman" w:hAnsi="Times New Roman" w:cs="Times New Roman"/>
          <w:sz w:val="24"/>
          <w:szCs w:val="24"/>
        </w:rPr>
        <w:t xml:space="preserve"> between 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Cd4</w:t>
      </w:r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/Cd8</w:t>
      </w:r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-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/Cd40lg</w:t>
      </w:r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3471BC">
        <w:rPr>
          <w:rFonts w:ascii="Times New Roman" w:hAnsi="Times New Roman" w:cs="Times New Roman"/>
          <w:sz w:val="24"/>
          <w:szCs w:val="24"/>
        </w:rPr>
        <w:t xml:space="preserve"> activated helper T-cells (ligands) and 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Nme1/2</w:t>
      </w:r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/Mki67</w:t>
      </w:r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/Top2a</w:t>
      </w:r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3471BC">
        <w:rPr>
          <w:rFonts w:ascii="Times New Roman" w:hAnsi="Times New Roman" w:cs="Times New Roman"/>
          <w:i/>
          <w:iCs/>
          <w:sz w:val="24"/>
          <w:szCs w:val="24"/>
        </w:rPr>
        <w:t>Jchain</w:t>
      </w:r>
      <w:proofErr w:type="spellEnd"/>
      <w:r w:rsidR="003471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3471BC">
        <w:rPr>
          <w:rFonts w:ascii="Times New Roman" w:hAnsi="Times New Roman" w:cs="Times New Roman"/>
          <w:sz w:val="24"/>
          <w:szCs w:val="24"/>
        </w:rPr>
        <w:t xml:space="preserve"> proliferative class-switching B-cells (receptors) (blue stars as in </w:t>
      </w:r>
      <w:r w:rsidR="005F4B7C">
        <w:rPr>
          <w:rFonts w:ascii="Times New Roman" w:hAnsi="Times New Roman" w:cs="Times New Roman"/>
          <w:sz w:val="24"/>
          <w:szCs w:val="24"/>
        </w:rPr>
        <w:t>Figure 5A</w:t>
      </w:r>
      <w:r w:rsidR="003471BC">
        <w:rPr>
          <w:rFonts w:ascii="Times New Roman" w:hAnsi="Times New Roman" w:cs="Times New Roman"/>
          <w:sz w:val="24"/>
          <w:szCs w:val="24"/>
        </w:rPr>
        <w:t>)</w:t>
      </w:r>
      <w:r w:rsidR="00ED0F7E">
        <w:rPr>
          <w:rFonts w:ascii="Times New Roman" w:hAnsi="Times New Roman" w:cs="Times New Roman"/>
          <w:sz w:val="24"/>
          <w:szCs w:val="24"/>
        </w:rPr>
        <w:t xml:space="preserve"> </w:t>
      </w:r>
      <w:r w:rsidR="003471BC">
        <w:rPr>
          <w:rFonts w:ascii="Times New Roman" w:hAnsi="Times New Roman" w:cs="Times New Roman"/>
          <w:sz w:val="24"/>
          <w:szCs w:val="24"/>
        </w:rPr>
        <w:t xml:space="preserve">showed high interaction potential with 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Cd40lg</w:t>
      </w:r>
      <w:r w:rsidR="003471BC">
        <w:rPr>
          <w:rFonts w:ascii="Times New Roman" w:hAnsi="Times New Roman" w:cs="Times New Roman"/>
          <w:sz w:val="24"/>
          <w:szCs w:val="24"/>
        </w:rPr>
        <w:t xml:space="preserve"> / </w:t>
      </w:r>
      <w:r w:rsidR="003471BC" w:rsidRPr="00AC44A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471BC" w:rsidRPr="00AC44A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3471BC">
        <w:rPr>
          <w:rFonts w:ascii="Times New Roman" w:hAnsi="Times New Roman" w:cs="Times New Roman"/>
          <w:sz w:val="24"/>
          <w:szCs w:val="24"/>
        </w:rPr>
        <w:t xml:space="preserve"> (T-cells) and </w:t>
      </w:r>
      <w:r w:rsidR="003471BC" w:rsidRPr="00AC44A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471BC" w:rsidRPr="00AC44AA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3471BC">
        <w:rPr>
          <w:rFonts w:ascii="Times New Roman" w:hAnsi="Times New Roman" w:cs="Times New Roman"/>
          <w:sz w:val="24"/>
          <w:szCs w:val="24"/>
        </w:rPr>
        <w:t xml:space="preserve"> /</w:t>
      </w:r>
      <w:r w:rsidR="003471BC" w:rsidRPr="00AC44A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471BC" w:rsidRPr="00AC44A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3471B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471BC">
        <w:rPr>
          <w:rFonts w:ascii="Times New Roman" w:hAnsi="Times New Roman" w:cs="Times New Roman"/>
          <w:sz w:val="24"/>
          <w:szCs w:val="24"/>
        </w:rPr>
        <w:t xml:space="preserve"> (B-cells) </w:t>
      </w:r>
      <w:r w:rsidR="005F4B7C">
        <w:rPr>
          <w:rFonts w:ascii="Times New Roman" w:hAnsi="Times New Roman" w:cs="Times New Roman"/>
          <w:sz w:val="24"/>
          <w:szCs w:val="24"/>
        </w:rPr>
        <w:t xml:space="preserve">as </w:t>
      </w:r>
      <w:r w:rsidR="00ED0F7E">
        <w:rPr>
          <w:rFonts w:ascii="Times New Roman" w:hAnsi="Times New Roman" w:cs="Times New Roman"/>
          <w:sz w:val="24"/>
          <w:szCs w:val="24"/>
        </w:rPr>
        <w:t>plausible</w:t>
      </w:r>
      <w:r w:rsidR="005F4B7C">
        <w:rPr>
          <w:rFonts w:ascii="Times New Roman" w:hAnsi="Times New Roman" w:cs="Times New Roman"/>
          <w:sz w:val="24"/>
          <w:szCs w:val="24"/>
        </w:rPr>
        <w:t xml:space="preserve"> cellular mechanisms of IgG2b</w:t>
      </w:r>
      <w:r w:rsidR="003471BC">
        <w:rPr>
          <w:rFonts w:ascii="Times New Roman" w:hAnsi="Times New Roman" w:cs="Times New Roman"/>
          <w:sz w:val="24"/>
          <w:szCs w:val="24"/>
        </w:rPr>
        <w:t xml:space="preserve"> class-switching and plasma cell differentiation</w:t>
      </w:r>
      <w:r w:rsidR="00ED0F7E">
        <w:rPr>
          <w:rFonts w:ascii="Times New Roman" w:hAnsi="Times New Roman" w:cs="Times New Roman"/>
          <w:sz w:val="24"/>
          <w:szCs w:val="24"/>
        </w:rPr>
        <w:t>, respectively</w:t>
      </w:r>
      <w:r w:rsidR="003471BC">
        <w:rPr>
          <w:rFonts w:ascii="Times New Roman" w:hAnsi="Times New Roman" w:cs="Times New Roman"/>
          <w:sz w:val="24"/>
          <w:szCs w:val="24"/>
        </w:rPr>
        <w:t xml:space="preserve"> </w:t>
      </w:r>
      <w:r w:rsidR="003471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471BC">
        <w:rPr>
          <w:rFonts w:ascii="Times New Roman" w:hAnsi="Times New Roman" w:cs="Times New Roman"/>
          <w:sz w:val="24"/>
          <w:szCs w:val="24"/>
        </w:rPr>
        <w:t>, blue arrows).</w:t>
      </w:r>
    </w:p>
    <w:p w14:paraId="26B3C391" w14:textId="596261D9" w:rsidR="00583183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FB9809" w14:textId="2E3DD20A" w:rsidR="00D97AEF" w:rsidRPr="00D97AEF" w:rsidRDefault="00D97AEF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7A207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Detection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CCL19 expression in </w:t>
      </w:r>
      <w:r w:rsidR="006D5B6E">
        <w:rPr>
          <w:rFonts w:ascii="Times New Roman" w:hAnsi="Times New Roman" w:cs="Times New Roman"/>
          <w:b/>
          <w:bCs/>
          <w:sz w:val="24"/>
          <w:szCs w:val="24"/>
        </w:rPr>
        <w:t>TNF-</w:t>
      </w:r>
      <w:proofErr w:type="spellStart"/>
      <w:r w:rsidR="006D5B6E">
        <w:rPr>
          <w:rFonts w:ascii="Times New Roman" w:hAnsi="Times New Roman" w:cs="Times New Roman"/>
          <w:b/>
          <w:bCs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PLNs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F7E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Early </w:t>
      </w:r>
      <w:r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F7E">
        <w:rPr>
          <w:rFonts w:ascii="Times New Roman" w:hAnsi="Times New Roman" w:cs="Times New Roman"/>
          <w:sz w:val="24"/>
          <w:szCs w:val="24"/>
        </w:rPr>
        <w:t xml:space="preserve">and Advanced 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0435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D0F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0F7E">
        <w:rPr>
          <w:rFonts w:ascii="Times New Roman" w:hAnsi="Times New Roman" w:cs="Times New Roman"/>
          <w:sz w:val="24"/>
          <w:szCs w:val="24"/>
        </w:rPr>
        <w:t xml:space="preserve"> PLNs demonstrated expression of CCL19</w:t>
      </w:r>
      <w:r w:rsidR="006D5B6E">
        <w:rPr>
          <w:rFonts w:ascii="Times New Roman" w:hAnsi="Times New Roman" w:cs="Times New Roman"/>
          <w:sz w:val="24"/>
          <w:szCs w:val="24"/>
        </w:rPr>
        <w:t xml:space="preserve"> (white)</w:t>
      </w:r>
      <w:r w:rsidR="00ED0F7E">
        <w:rPr>
          <w:rFonts w:ascii="Times New Roman" w:hAnsi="Times New Roman" w:cs="Times New Roman"/>
          <w:sz w:val="24"/>
          <w:szCs w:val="24"/>
        </w:rPr>
        <w:t>, especially by F4/80</w:t>
      </w:r>
      <w:r w:rsidR="00ED0F7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D0F7E">
        <w:rPr>
          <w:rFonts w:ascii="Times New Roman" w:hAnsi="Times New Roman" w:cs="Times New Roman"/>
          <w:sz w:val="24"/>
          <w:szCs w:val="24"/>
        </w:rPr>
        <w:t>/MARCO</w:t>
      </w:r>
      <w:r w:rsidR="00ED0F7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D0F7E">
        <w:rPr>
          <w:rFonts w:ascii="Times New Roman" w:hAnsi="Times New Roman" w:cs="Times New Roman"/>
          <w:sz w:val="24"/>
          <w:szCs w:val="24"/>
        </w:rPr>
        <w:t xml:space="preserve"> </w:t>
      </w:r>
      <w:r w:rsidR="006D5B6E">
        <w:rPr>
          <w:rFonts w:ascii="Times New Roman" w:hAnsi="Times New Roman" w:cs="Times New Roman"/>
          <w:sz w:val="24"/>
          <w:szCs w:val="24"/>
        </w:rPr>
        <w:t xml:space="preserve">(red/green) </w:t>
      </w:r>
      <w:r w:rsidR="00ED0F7E">
        <w:rPr>
          <w:rFonts w:ascii="Times New Roman" w:hAnsi="Times New Roman" w:cs="Times New Roman"/>
          <w:sz w:val="24"/>
          <w:szCs w:val="24"/>
        </w:rPr>
        <w:t>cells in the stroma</w:t>
      </w:r>
      <w:r w:rsidR="00704353">
        <w:rPr>
          <w:rFonts w:ascii="Times New Roman" w:hAnsi="Times New Roman" w:cs="Times New Roman"/>
          <w:sz w:val="24"/>
          <w:szCs w:val="24"/>
        </w:rPr>
        <w:t xml:space="preserve"> (composite left, CCL19 alone right panel)</w:t>
      </w:r>
      <w:r w:rsidR="006D5B6E">
        <w:rPr>
          <w:rFonts w:ascii="Times New Roman" w:hAnsi="Times New Roman" w:cs="Times New Roman"/>
          <w:sz w:val="24"/>
          <w:szCs w:val="24"/>
        </w:rPr>
        <w:t>. However, similar to Figure 4, the number of macrophages (F4/80</w:t>
      </w:r>
      <w:r w:rsidR="006D5B6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D5B6E">
        <w:rPr>
          <w:rFonts w:ascii="Times New Roman" w:hAnsi="Times New Roman" w:cs="Times New Roman"/>
          <w:sz w:val="24"/>
          <w:szCs w:val="24"/>
        </w:rPr>
        <w:t xml:space="preserve"> and/or MARCO</w:t>
      </w:r>
      <w:r w:rsidR="006D5B6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D5B6E">
        <w:rPr>
          <w:rFonts w:ascii="Times New Roman" w:hAnsi="Times New Roman" w:cs="Times New Roman"/>
          <w:sz w:val="24"/>
          <w:szCs w:val="24"/>
        </w:rPr>
        <w:t xml:space="preserve"> cells) may be increased in </w:t>
      </w:r>
      <w:r w:rsidR="007A2071">
        <w:rPr>
          <w:rFonts w:ascii="Times New Roman" w:hAnsi="Times New Roman" w:cs="Times New Roman"/>
          <w:sz w:val="24"/>
          <w:szCs w:val="24"/>
        </w:rPr>
        <w:t>the PLN sinuses during</w:t>
      </w:r>
      <w:r w:rsidR="006D5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Advanced arthritis</w:t>
      </w:r>
      <w:r w:rsidR="007A2071">
        <w:rPr>
          <w:rFonts w:ascii="Times New Roman" w:hAnsi="Times New Roman" w:cs="Times New Roman"/>
          <w:sz w:val="24"/>
          <w:szCs w:val="24"/>
        </w:rPr>
        <w:t>. The changes in cellular composition may modify the CCL19 distribution within the lymph node architecture and</w:t>
      </w:r>
      <w:r>
        <w:rPr>
          <w:rFonts w:ascii="Times New Roman" w:hAnsi="Times New Roman" w:cs="Times New Roman"/>
          <w:sz w:val="24"/>
          <w:szCs w:val="24"/>
        </w:rPr>
        <w:t xml:space="preserve"> explain enhanced lymphocyte recruitment to the </w:t>
      </w:r>
      <w:r w:rsidR="00F8426F">
        <w:rPr>
          <w:rFonts w:ascii="Times New Roman" w:hAnsi="Times New Roman" w:cs="Times New Roman"/>
          <w:sz w:val="24"/>
          <w:szCs w:val="24"/>
        </w:rPr>
        <w:t>MARCO</w:t>
      </w:r>
      <w:r w:rsidR="00F8426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84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sinus region during arthritic progression. </w:t>
      </w:r>
      <w:r w:rsidR="007A2071">
        <w:rPr>
          <w:rFonts w:ascii="Times New Roman" w:hAnsi="Times New Roman" w:cs="Times New Roman"/>
          <w:sz w:val="24"/>
          <w:szCs w:val="24"/>
        </w:rPr>
        <w:t>In addition, as</w:t>
      </w:r>
      <w:r>
        <w:rPr>
          <w:rFonts w:ascii="Times New Roman" w:hAnsi="Times New Roman" w:cs="Times New Roman"/>
          <w:sz w:val="24"/>
          <w:szCs w:val="24"/>
        </w:rPr>
        <w:t xml:space="preserve"> CCL19 is expressed by F4/80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/MARCO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cells in the stroma, multiple cell types are likely involved in the dynamic cellular changes in inflamed PLNs. </w:t>
      </w:r>
      <w:r w:rsidR="00A40D1A">
        <w:rPr>
          <w:rFonts w:ascii="Times New Roman" w:hAnsi="Times New Roman" w:cs="Times New Roman"/>
          <w:sz w:val="24"/>
          <w:szCs w:val="24"/>
        </w:rPr>
        <w:t>Yellow scale bar = 100</w:t>
      </w:r>
      <w:r w:rsidR="00A40D1A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A40D1A">
        <w:rPr>
          <w:rFonts w:ascii="Times New Roman" w:hAnsi="Times New Roman" w:cs="Times New Roman"/>
          <w:sz w:val="24"/>
          <w:szCs w:val="24"/>
        </w:rPr>
        <w:t xml:space="preserve">m </w:t>
      </w:r>
      <w:r w:rsidR="00A40D1A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0E5253">
        <w:rPr>
          <w:rFonts w:ascii="Times New Roman" w:hAnsi="Times New Roman" w:cs="Times New Roman"/>
          <w:b/>
          <w:bCs/>
          <w:sz w:val="24"/>
          <w:szCs w:val="24"/>
        </w:rPr>
        <w:t>&amp;B</w:t>
      </w:r>
      <w:r w:rsidR="00A40D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40D1A">
        <w:rPr>
          <w:rFonts w:ascii="Times New Roman" w:hAnsi="Times New Roman" w:cs="Times New Roman"/>
          <w:sz w:val="24"/>
          <w:szCs w:val="24"/>
        </w:rPr>
        <w:t>.</w:t>
      </w:r>
    </w:p>
    <w:p w14:paraId="3AF3834D" w14:textId="77777777" w:rsidR="00D97AEF" w:rsidRDefault="00D97AEF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E0E064" w14:textId="6E947153" w:rsidR="00703775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="00703775">
        <w:rPr>
          <w:rFonts w:ascii="Times New Roman" w:hAnsi="Times New Roman" w:cs="Times New Roman"/>
          <w:b/>
          <w:bCs/>
          <w:sz w:val="24"/>
          <w:szCs w:val="24"/>
        </w:rPr>
        <w:t xml:space="preserve"> RIN </w:t>
      </w:r>
      <w:r w:rsidR="0010648F">
        <w:rPr>
          <w:rFonts w:ascii="Times New Roman" w:hAnsi="Times New Roman" w:cs="Times New Roman"/>
          <w:b/>
          <w:bCs/>
          <w:sz w:val="24"/>
          <w:szCs w:val="24"/>
        </w:rPr>
        <w:t>values for estimating RNA integrity</w:t>
      </w:r>
      <w:r w:rsidR="007037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3775">
        <w:rPr>
          <w:rFonts w:ascii="Times New Roman" w:hAnsi="Times New Roman" w:cs="Times New Roman"/>
          <w:sz w:val="24"/>
          <w:szCs w:val="24"/>
        </w:rPr>
        <w:t>Prior to utilization of the PLN tissue blocks for analysis,</w:t>
      </w:r>
      <w:r w:rsidR="0010648F">
        <w:rPr>
          <w:rFonts w:ascii="Times New Roman" w:hAnsi="Times New Roman" w:cs="Times New Roman"/>
          <w:sz w:val="24"/>
          <w:szCs w:val="24"/>
        </w:rPr>
        <w:t xml:space="preserve"> ten</w:t>
      </w:r>
      <w:r w:rsidR="00654AE6">
        <w:rPr>
          <w:rFonts w:ascii="Times New Roman" w:hAnsi="Times New Roman" w:cs="Times New Roman"/>
          <w:sz w:val="24"/>
          <w:szCs w:val="24"/>
        </w:rPr>
        <w:t>-</w:t>
      </w:r>
      <w:r w:rsidR="00703775">
        <w:rPr>
          <w:rFonts w:ascii="Times New Roman" w:hAnsi="Times New Roman" w:cs="Times New Roman"/>
          <w:sz w:val="24"/>
          <w:szCs w:val="24"/>
        </w:rPr>
        <w:t>consecutive 10</w:t>
      </w:r>
      <w:r w:rsidR="0070377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03775">
        <w:rPr>
          <w:rFonts w:ascii="Times New Roman" w:hAnsi="Times New Roman" w:cs="Times New Roman"/>
          <w:sz w:val="24"/>
          <w:szCs w:val="24"/>
        </w:rPr>
        <w:t xml:space="preserve">m sections were collected to evaluate RNA quality through RIN quantification. We considered RIN values &gt;8.0 to be optimal for gene expression analysis, and all tissue showed RIN values in this range with an overall minimum </w:t>
      </w:r>
      <w:r w:rsidR="0010648F">
        <w:rPr>
          <w:rFonts w:ascii="Times New Roman" w:hAnsi="Times New Roman" w:cs="Times New Roman"/>
          <w:sz w:val="24"/>
          <w:szCs w:val="24"/>
        </w:rPr>
        <w:t xml:space="preserve">RIN value </w:t>
      </w:r>
      <w:r w:rsidR="00703775">
        <w:rPr>
          <w:rFonts w:ascii="Times New Roman" w:hAnsi="Times New Roman" w:cs="Times New Roman"/>
          <w:sz w:val="24"/>
          <w:szCs w:val="24"/>
        </w:rPr>
        <w:t>of 9.4 (Optimization)</w:t>
      </w:r>
      <w:r w:rsidR="0010648F">
        <w:rPr>
          <w:rFonts w:ascii="Times New Roman" w:hAnsi="Times New Roman" w:cs="Times New Roman"/>
          <w:sz w:val="24"/>
          <w:szCs w:val="24"/>
        </w:rPr>
        <w:t>.</w:t>
      </w:r>
      <w:r w:rsidR="00654AE6">
        <w:rPr>
          <w:rFonts w:ascii="Times New Roman" w:hAnsi="Times New Roman" w:cs="Times New Roman"/>
          <w:sz w:val="24"/>
          <w:szCs w:val="24"/>
        </w:rPr>
        <w:t xml:space="preserve"> There was</w:t>
      </w:r>
      <w:r w:rsidR="00703775">
        <w:rPr>
          <w:rFonts w:ascii="Times New Roman" w:hAnsi="Times New Roman" w:cs="Times New Roman"/>
          <w:sz w:val="24"/>
          <w:szCs w:val="24"/>
        </w:rPr>
        <w:t xml:space="preserve"> a minimum </w:t>
      </w:r>
      <w:r w:rsidR="00654AE6">
        <w:rPr>
          <w:rFonts w:ascii="Times New Roman" w:hAnsi="Times New Roman" w:cs="Times New Roman"/>
          <w:sz w:val="24"/>
          <w:szCs w:val="24"/>
        </w:rPr>
        <w:t xml:space="preserve">RIN value </w:t>
      </w:r>
      <w:r w:rsidR="00703775">
        <w:rPr>
          <w:rFonts w:ascii="Times New Roman" w:hAnsi="Times New Roman" w:cs="Times New Roman"/>
          <w:sz w:val="24"/>
          <w:szCs w:val="24"/>
        </w:rPr>
        <w:t xml:space="preserve">of 9.6 for </w:t>
      </w:r>
      <w:r w:rsidR="00654AE6">
        <w:rPr>
          <w:rFonts w:ascii="Times New Roman" w:hAnsi="Times New Roman" w:cs="Times New Roman"/>
          <w:sz w:val="24"/>
          <w:szCs w:val="24"/>
        </w:rPr>
        <w:t xml:space="preserve">the </w:t>
      </w:r>
      <w:r w:rsidR="00703775">
        <w:rPr>
          <w:rFonts w:ascii="Times New Roman" w:hAnsi="Times New Roman" w:cs="Times New Roman"/>
          <w:sz w:val="24"/>
          <w:szCs w:val="24"/>
        </w:rPr>
        <w:t>gene expression blocks (all TNF-</w:t>
      </w:r>
      <w:proofErr w:type="spellStart"/>
      <w:r w:rsidR="00703775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703775">
        <w:rPr>
          <w:rFonts w:ascii="Times New Roman" w:hAnsi="Times New Roman" w:cs="Times New Roman"/>
          <w:sz w:val="24"/>
          <w:szCs w:val="24"/>
        </w:rPr>
        <w:t xml:space="preserve">), and a maximum </w:t>
      </w:r>
      <w:r w:rsidR="00654AE6">
        <w:rPr>
          <w:rFonts w:ascii="Times New Roman" w:hAnsi="Times New Roman" w:cs="Times New Roman"/>
          <w:sz w:val="24"/>
          <w:szCs w:val="24"/>
        </w:rPr>
        <w:t xml:space="preserve">RIN value </w:t>
      </w:r>
      <w:r w:rsidR="00703775">
        <w:rPr>
          <w:rFonts w:ascii="Times New Roman" w:hAnsi="Times New Roman" w:cs="Times New Roman"/>
          <w:sz w:val="24"/>
          <w:szCs w:val="24"/>
        </w:rPr>
        <w:t>of 10.0 (WT)</w:t>
      </w:r>
      <w:r w:rsidR="00654AE6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703775">
        <w:rPr>
          <w:rFonts w:ascii="Times New Roman" w:hAnsi="Times New Roman" w:cs="Times New Roman"/>
          <w:sz w:val="24"/>
          <w:szCs w:val="24"/>
        </w:rPr>
        <w:t xml:space="preserve">the highest possible RIN value. </w:t>
      </w:r>
    </w:p>
    <w:p w14:paraId="2E50A94F" w14:textId="160D49F3" w:rsidR="00583183" w:rsidRDefault="00583183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E02EAC9" w14:textId="66A7EC58" w:rsidR="00516F8B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7A207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775">
        <w:rPr>
          <w:rFonts w:ascii="Times New Roman" w:hAnsi="Times New Roman" w:cs="Times New Roman"/>
          <w:b/>
          <w:bCs/>
          <w:sz w:val="24"/>
          <w:szCs w:val="24"/>
        </w:rPr>
        <w:t xml:space="preserve"> Single-cell cluster identity.</w:t>
      </w:r>
      <w:r w:rsidR="00703775">
        <w:rPr>
          <w:rFonts w:ascii="Times New Roman" w:hAnsi="Times New Roman" w:cs="Times New Roman"/>
          <w:sz w:val="24"/>
          <w:szCs w:val="24"/>
        </w:rPr>
        <w:t xml:space="preserve"> Corresponding with the 18 clusters shown by UMAP</w:t>
      </w:r>
      <w:r w:rsidR="0010648F">
        <w:rPr>
          <w:rFonts w:ascii="Times New Roman" w:hAnsi="Times New Roman" w:cs="Times New Roman"/>
          <w:sz w:val="24"/>
          <w:szCs w:val="24"/>
        </w:rPr>
        <w:t xml:space="preserve"> (</w:t>
      </w:r>
      <w:r w:rsidR="00703775">
        <w:rPr>
          <w:rFonts w:ascii="Times New Roman" w:hAnsi="Times New Roman" w:cs="Times New Roman"/>
          <w:sz w:val="24"/>
          <w:szCs w:val="24"/>
        </w:rPr>
        <w:t>Figure 5</w:t>
      </w:r>
      <w:r w:rsidR="0010648F">
        <w:rPr>
          <w:rFonts w:ascii="Times New Roman" w:hAnsi="Times New Roman" w:cs="Times New Roman"/>
          <w:sz w:val="24"/>
          <w:szCs w:val="24"/>
        </w:rPr>
        <w:t>)</w:t>
      </w:r>
      <w:r w:rsidR="00AA13DB">
        <w:rPr>
          <w:rFonts w:ascii="Times New Roman" w:hAnsi="Times New Roman" w:cs="Times New Roman"/>
          <w:sz w:val="24"/>
          <w:szCs w:val="24"/>
        </w:rPr>
        <w:t xml:space="preserve">, </w:t>
      </w:r>
      <w:r w:rsidR="00703775">
        <w:rPr>
          <w:rFonts w:ascii="Times New Roman" w:hAnsi="Times New Roman" w:cs="Times New Roman"/>
          <w:sz w:val="24"/>
          <w:szCs w:val="24"/>
        </w:rPr>
        <w:t xml:space="preserve">the </w:t>
      </w:r>
      <w:r w:rsidR="00AA13DB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3775">
        <w:rPr>
          <w:rFonts w:ascii="Times New Roman" w:hAnsi="Times New Roman" w:cs="Times New Roman"/>
          <w:sz w:val="24"/>
          <w:szCs w:val="24"/>
        </w:rPr>
        <w:t>cluster identities</w:t>
      </w:r>
      <w:r w:rsidR="00AA13DB">
        <w:rPr>
          <w:rFonts w:ascii="Times New Roman" w:hAnsi="Times New Roman" w:cs="Times New Roman"/>
          <w:sz w:val="24"/>
          <w:szCs w:val="24"/>
        </w:rPr>
        <w:t xml:space="preserve"> </w:t>
      </w:r>
      <w:r w:rsidR="00197E48">
        <w:rPr>
          <w:rFonts w:ascii="Times New Roman" w:hAnsi="Times New Roman" w:cs="Times New Roman"/>
          <w:sz w:val="24"/>
          <w:szCs w:val="24"/>
        </w:rPr>
        <w:t xml:space="preserve">and proportion of total cells for the Early and Advanced conditions </w:t>
      </w:r>
      <w:r w:rsidR="00AA13DB">
        <w:rPr>
          <w:rFonts w:ascii="Times New Roman" w:hAnsi="Times New Roman" w:cs="Times New Roman"/>
          <w:sz w:val="24"/>
          <w:szCs w:val="24"/>
        </w:rPr>
        <w:t>are</w:t>
      </w:r>
      <w:r w:rsidR="00703775">
        <w:rPr>
          <w:rFonts w:ascii="Times New Roman" w:hAnsi="Times New Roman" w:cs="Times New Roman"/>
          <w:sz w:val="24"/>
          <w:szCs w:val="24"/>
        </w:rPr>
        <w:t xml:space="preserve"> provided in this table</w:t>
      </w:r>
      <w:r w:rsidR="00197E48">
        <w:rPr>
          <w:rFonts w:ascii="Times New Roman" w:hAnsi="Times New Roman" w:cs="Times New Roman"/>
          <w:sz w:val="24"/>
          <w:szCs w:val="24"/>
        </w:rPr>
        <w:t>. The complete cluster identities</w:t>
      </w:r>
      <w:r w:rsidR="00703775">
        <w:rPr>
          <w:rFonts w:ascii="Times New Roman" w:hAnsi="Times New Roman" w:cs="Times New Roman"/>
          <w:sz w:val="24"/>
          <w:szCs w:val="24"/>
        </w:rPr>
        <w:t xml:space="preserve"> provide the associated genes and annotations of each cluster number.</w:t>
      </w:r>
      <w:r w:rsidR="00FF0E7A">
        <w:rPr>
          <w:rFonts w:ascii="Times New Roman" w:hAnsi="Times New Roman" w:cs="Times New Roman"/>
          <w:sz w:val="24"/>
          <w:szCs w:val="24"/>
        </w:rPr>
        <w:t xml:space="preserve"> Rows are highlighted by color corresponding with the populations used for cell-cell interaction analysis as in Figure 5D (yellow) and Supplementary Figure 6H (blue), while plasma cells are identified by bolded text.</w:t>
      </w:r>
    </w:p>
    <w:p w14:paraId="264BCC91" w14:textId="77777777" w:rsidR="00701C12" w:rsidRDefault="00701C12" w:rsidP="00974A1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420155" w14:textId="0670D56E" w:rsidR="00516F8B" w:rsidRPr="00884C1F" w:rsidRDefault="00583183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Videos.</w:t>
      </w:r>
      <w:r w:rsidR="00F87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37B">
        <w:rPr>
          <w:rFonts w:ascii="Times New Roman" w:hAnsi="Times New Roman" w:cs="Times New Roman"/>
          <w:sz w:val="24"/>
          <w:szCs w:val="24"/>
        </w:rPr>
        <w:t xml:space="preserve">The videos demonstrate a fly-through of an image-stack from the original Prussian </w:t>
      </w:r>
      <w:r w:rsidR="006E235C">
        <w:rPr>
          <w:rFonts w:ascii="Times New Roman" w:hAnsi="Times New Roman" w:cs="Times New Roman"/>
          <w:sz w:val="24"/>
          <w:szCs w:val="24"/>
        </w:rPr>
        <w:t>B</w:t>
      </w:r>
      <w:r w:rsidR="00F8737B">
        <w:rPr>
          <w:rFonts w:ascii="Times New Roman" w:hAnsi="Times New Roman" w:cs="Times New Roman"/>
          <w:sz w:val="24"/>
          <w:szCs w:val="24"/>
        </w:rPr>
        <w:t xml:space="preserve">lue and Nuclear Fast </w:t>
      </w:r>
      <w:proofErr w:type="gramStart"/>
      <w:r w:rsidR="00F8737B">
        <w:rPr>
          <w:rFonts w:ascii="Times New Roman" w:hAnsi="Times New Roman" w:cs="Times New Roman"/>
          <w:sz w:val="24"/>
          <w:szCs w:val="24"/>
        </w:rPr>
        <w:t>Red stained</w:t>
      </w:r>
      <w:proofErr w:type="gramEnd"/>
      <w:r w:rsidR="00F8737B">
        <w:rPr>
          <w:rFonts w:ascii="Times New Roman" w:hAnsi="Times New Roman" w:cs="Times New Roman"/>
          <w:sz w:val="24"/>
          <w:szCs w:val="24"/>
        </w:rPr>
        <w:t xml:space="preserve"> images. Note the rotation artifact of the </w:t>
      </w:r>
      <w:r w:rsidR="00F8737B">
        <w:rPr>
          <w:rFonts w:ascii="Times New Roman" w:hAnsi="Times New Roman" w:cs="Times New Roman"/>
          <w:sz w:val="24"/>
          <w:szCs w:val="24"/>
        </w:rPr>
        <w:lastRenderedPageBreak/>
        <w:t xml:space="preserve">images, which is a product of the alignment procedures performed in Amira software. Color segmentation was performed in ImageJ using the </w:t>
      </w:r>
      <w:r w:rsidR="00D460AD">
        <w:rPr>
          <w:rFonts w:ascii="Times New Roman" w:hAnsi="Times New Roman" w:cs="Times New Roman"/>
          <w:sz w:val="24"/>
          <w:szCs w:val="24"/>
        </w:rPr>
        <w:t>“</w:t>
      </w:r>
      <w:r w:rsidR="00F8737B">
        <w:rPr>
          <w:rFonts w:ascii="Times New Roman" w:hAnsi="Times New Roman" w:cs="Times New Roman"/>
          <w:sz w:val="24"/>
          <w:szCs w:val="24"/>
        </w:rPr>
        <w:t>Color Deconvolution 2</w:t>
      </w:r>
      <w:r w:rsidR="00D460AD">
        <w:rPr>
          <w:rFonts w:ascii="Times New Roman" w:hAnsi="Times New Roman" w:cs="Times New Roman"/>
          <w:sz w:val="24"/>
          <w:szCs w:val="24"/>
        </w:rPr>
        <w:t>”</w:t>
      </w:r>
      <w:r w:rsidR="00F8737B">
        <w:rPr>
          <w:rFonts w:ascii="Times New Roman" w:hAnsi="Times New Roman" w:cs="Times New Roman"/>
          <w:sz w:val="24"/>
          <w:szCs w:val="24"/>
        </w:rPr>
        <w:t xml:space="preserve"> plug-in </w:t>
      </w:r>
      <w:r w:rsidR="00FC2AAD">
        <w:rPr>
          <w:rFonts w:ascii="Times New Roman" w:hAnsi="Times New Roman" w:cs="Times New Roman"/>
          <w:sz w:val="24"/>
          <w:szCs w:val="24"/>
        </w:rPr>
        <w:t xml:space="preserve">with a threshold set on the </w:t>
      </w:r>
      <w:r w:rsidR="00D460AD">
        <w:rPr>
          <w:rFonts w:ascii="Times New Roman" w:hAnsi="Times New Roman" w:cs="Times New Roman"/>
          <w:sz w:val="24"/>
          <w:szCs w:val="24"/>
        </w:rPr>
        <w:t>“</w:t>
      </w:r>
      <w:r w:rsidR="00FC2AAD">
        <w:rPr>
          <w:rFonts w:ascii="Times New Roman" w:hAnsi="Times New Roman" w:cs="Times New Roman"/>
          <w:sz w:val="24"/>
          <w:szCs w:val="24"/>
        </w:rPr>
        <w:t xml:space="preserve">Feulgen </w:t>
      </w:r>
      <w:proofErr w:type="spellStart"/>
      <w:r w:rsidR="00FC2AAD">
        <w:rPr>
          <w:rFonts w:ascii="Times New Roman" w:hAnsi="Times New Roman" w:cs="Times New Roman"/>
          <w:sz w:val="24"/>
          <w:szCs w:val="24"/>
        </w:rPr>
        <w:t>LightGreen</w:t>
      </w:r>
      <w:proofErr w:type="spellEnd"/>
      <w:r w:rsidR="00D460AD">
        <w:rPr>
          <w:rFonts w:ascii="Times New Roman" w:hAnsi="Times New Roman" w:cs="Times New Roman"/>
          <w:sz w:val="24"/>
          <w:szCs w:val="24"/>
        </w:rPr>
        <w:t>”</w:t>
      </w:r>
      <w:r w:rsidR="00FC2AAD">
        <w:rPr>
          <w:rFonts w:ascii="Times New Roman" w:hAnsi="Times New Roman" w:cs="Times New Roman"/>
          <w:sz w:val="24"/>
          <w:szCs w:val="24"/>
        </w:rPr>
        <w:t xml:space="preserve"> vector. The resultant segmentations were imported into Amira, aligned with the histology, and rendered in 3D to depict the lymph node stromal cells (red/orange) and the iron-laden cells within the sinuses (blue). The video animations were </w:t>
      </w:r>
      <w:r w:rsidR="00FC2AAD" w:rsidRPr="00884C1F">
        <w:rPr>
          <w:rFonts w:ascii="Times New Roman" w:hAnsi="Times New Roman" w:cs="Times New Roman"/>
          <w:sz w:val="24"/>
          <w:szCs w:val="24"/>
        </w:rPr>
        <w:t>created in Amira software.</w:t>
      </w:r>
    </w:p>
    <w:p w14:paraId="2F11EE42" w14:textId="77777777" w:rsidR="00ED0F7E" w:rsidRPr="00884C1F" w:rsidRDefault="00ED0F7E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52811A" w14:textId="5B75302F" w:rsidR="00ED0F7E" w:rsidRPr="00884C1F" w:rsidRDefault="007A2071" w:rsidP="00974A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25C8262" w14:textId="77777777" w:rsidR="00A7115B" w:rsidRPr="00884C1F" w:rsidRDefault="00ED0F7E" w:rsidP="00A7115B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884C1F">
        <w:rPr>
          <w:rFonts w:ascii="Times New Roman" w:hAnsi="Times New Roman" w:cs="Times New Roman"/>
          <w:sz w:val="24"/>
          <w:szCs w:val="24"/>
        </w:rPr>
        <w:fldChar w:fldCharType="begin"/>
      </w:r>
      <w:r w:rsidRPr="00884C1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884C1F">
        <w:rPr>
          <w:rFonts w:ascii="Times New Roman" w:hAnsi="Times New Roman" w:cs="Times New Roman"/>
          <w:sz w:val="24"/>
          <w:szCs w:val="24"/>
        </w:rPr>
        <w:fldChar w:fldCharType="separate"/>
      </w:r>
      <w:r w:rsidR="00A7115B" w:rsidRPr="00884C1F">
        <w:rPr>
          <w:rFonts w:ascii="Times New Roman" w:hAnsi="Times New Roman" w:cs="Times New Roman"/>
          <w:sz w:val="24"/>
          <w:szCs w:val="24"/>
        </w:rPr>
        <w:t>1.</w:t>
      </w:r>
      <w:r w:rsidR="00A7115B" w:rsidRPr="00884C1F">
        <w:rPr>
          <w:rFonts w:ascii="Times New Roman" w:hAnsi="Times New Roman" w:cs="Times New Roman"/>
          <w:sz w:val="24"/>
          <w:szCs w:val="24"/>
        </w:rPr>
        <w:tab/>
        <w:t xml:space="preserve">DeRosa A, Leftin A. The Iron Curtain: Macrophages at the Interface of Systemic and Microenvironmental Iron Metabolism and Immune Response in Cancer. </w:t>
      </w:r>
      <w:r w:rsidR="00A7115B" w:rsidRPr="00884C1F">
        <w:rPr>
          <w:rFonts w:ascii="Times New Roman" w:hAnsi="Times New Roman" w:cs="Times New Roman"/>
          <w:i/>
          <w:sz w:val="24"/>
          <w:szCs w:val="24"/>
        </w:rPr>
        <w:t>Front Immunol</w:t>
      </w:r>
      <w:r w:rsidR="00A7115B" w:rsidRPr="00884C1F">
        <w:rPr>
          <w:rFonts w:ascii="Times New Roman" w:hAnsi="Times New Roman" w:cs="Times New Roman"/>
          <w:sz w:val="24"/>
          <w:szCs w:val="24"/>
        </w:rPr>
        <w:t xml:space="preserve"> (2021) 12(614294). doi: 10.3389/fimmu.2021.614294.</w:t>
      </w:r>
    </w:p>
    <w:p w14:paraId="6978F687" w14:textId="77777777" w:rsidR="00A7115B" w:rsidRPr="00884C1F" w:rsidRDefault="00A7115B" w:rsidP="00A7115B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884C1F">
        <w:rPr>
          <w:rFonts w:ascii="Times New Roman" w:hAnsi="Times New Roman" w:cs="Times New Roman"/>
          <w:sz w:val="24"/>
          <w:szCs w:val="24"/>
        </w:rPr>
        <w:t>2.</w:t>
      </w:r>
      <w:r w:rsidRPr="00884C1F">
        <w:rPr>
          <w:rFonts w:ascii="Times New Roman" w:hAnsi="Times New Roman" w:cs="Times New Roman"/>
          <w:sz w:val="24"/>
          <w:szCs w:val="24"/>
        </w:rPr>
        <w:tab/>
        <w:t xml:space="preserve">Klein-Schneegans A, Kuntz L, Fonteneau P, Loor F. Serum concentrations of IgM, IgG1, IgG2b, IgG3 and IgA in C57BL/6 mice and their congenics at the lpr (lymphoproliferation) locus. </w:t>
      </w:r>
      <w:r w:rsidRPr="00884C1F">
        <w:rPr>
          <w:rFonts w:ascii="Times New Roman" w:hAnsi="Times New Roman" w:cs="Times New Roman"/>
          <w:i/>
          <w:sz w:val="24"/>
          <w:szCs w:val="24"/>
        </w:rPr>
        <w:t>J Autoimmun</w:t>
      </w:r>
      <w:r w:rsidRPr="00884C1F">
        <w:rPr>
          <w:rFonts w:ascii="Times New Roman" w:hAnsi="Times New Roman" w:cs="Times New Roman"/>
          <w:sz w:val="24"/>
          <w:szCs w:val="24"/>
        </w:rPr>
        <w:t xml:space="preserve"> (1989) 2(6):869-75. doi: 10.1016/0896-8411(89)90013-9.</w:t>
      </w:r>
    </w:p>
    <w:p w14:paraId="019C576B" w14:textId="02D30F6C" w:rsidR="00130B08" w:rsidRDefault="00ED0F7E" w:rsidP="00974A19">
      <w:pPr>
        <w:spacing w:line="240" w:lineRule="auto"/>
        <w:contextualSpacing/>
      </w:pPr>
      <w:r w:rsidRPr="00884C1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30B08" w:rsidSect="00C855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2D5E" w14:textId="77777777" w:rsidR="00236D2E" w:rsidRDefault="00236D2E" w:rsidP="001423AD">
      <w:pPr>
        <w:spacing w:after="0" w:line="240" w:lineRule="auto"/>
      </w:pPr>
      <w:r>
        <w:separator/>
      </w:r>
    </w:p>
  </w:endnote>
  <w:endnote w:type="continuationSeparator" w:id="0">
    <w:p w14:paraId="7017CCC3" w14:textId="77777777" w:rsidR="00236D2E" w:rsidRDefault="00236D2E" w:rsidP="0014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978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AC8C" w14:textId="3F4DD5C0" w:rsidR="001423AD" w:rsidRDefault="00142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511CC" w14:textId="77777777" w:rsidR="001423AD" w:rsidRDefault="00142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55EC" w14:textId="77777777" w:rsidR="00236D2E" w:rsidRDefault="00236D2E" w:rsidP="001423AD">
      <w:pPr>
        <w:spacing w:after="0" w:line="240" w:lineRule="auto"/>
      </w:pPr>
      <w:r>
        <w:separator/>
      </w:r>
    </w:p>
  </w:footnote>
  <w:footnote w:type="continuationSeparator" w:id="0">
    <w:p w14:paraId="71517D6A" w14:textId="77777777" w:rsidR="00236D2E" w:rsidRDefault="00236D2E" w:rsidP="0014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052rr0lpzzx4eewx8xrevhxss9vtasw05d&quot;&gt;Manuscript References-Saved&lt;record-ids&gt;&lt;item&gt;329&lt;/item&gt;&lt;item&gt;331&lt;/item&gt;&lt;/record-ids&gt;&lt;/item&gt;&lt;/Libraries&gt;"/>
  </w:docVars>
  <w:rsids>
    <w:rsidRoot w:val="005E2DBF"/>
    <w:rsid w:val="00015A43"/>
    <w:rsid w:val="0001696B"/>
    <w:rsid w:val="00025C7C"/>
    <w:rsid w:val="0008030D"/>
    <w:rsid w:val="00084CFC"/>
    <w:rsid w:val="000E5253"/>
    <w:rsid w:val="000E5E9B"/>
    <w:rsid w:val="00101D56"/>
    <w:rsid w:val="0010648F"/>
    <w:rsid w:val="00111E15"/>
    <w:rsid w:val="00130B08"/>
    <w:rsid w:val="001423AD"/>
    <w:rsid w:val="00172510"/>
    <w:rsid w:val="00197E48"/>
    <w:rsid w:val="001A1BDC"/>
    <w:rsid w:val="001E00A6"/>
    <w:rsid w:val="001E6A72"/>
    <w:rsid w:val="001F416E"/>
    <w:rsid w:val="001F5D25"/>
    <w:rsid w:val="002044A8"/>
    <w:rsid w:val="00236D2E"/>
    <w:rsid w:val="002A4A16"/>
    <w:rsid w:val="002A68B2"/>
    <w:rsid w:val="002F7564"/>
    <w:rsid w:val="003471BC"/>
    <w:rsid w:val="00364C05"/>
    <w:rsid w:val="003A17DE"/>
    <w:rsid w:val="003A48FE"/>
    <w:rsid w:val="003C3A6A"/>
    <w:rsid w:val="00405546"/>
    <w:rsid w:val="004058DF"/>
    <w:rsid w:val="00413202"/>
    <w:rsid w:val="004927A3"/>
    <w:rsid w:val="004B0C77"/>
    <w:rsid w:val="004D66D6"/>
    <w:rsid w:val="004D6E24"/>
    <w:rsid w:val="004F2298"/>
    <w:rsid w:val="00511B87"/>
    <w:rsid w:val="00516F8B"/>
    <w:rsid w:val="005608F3"/>
    <w:rsid w:val="005635B1"/>
    <w:rsid w:val="005801ED"/>
    <w:rsid w:val="00583183"/>
    <w:rsid w:val="005B3256"/>
    <w:rsid w:val="005C7122"/>
    <w:rsid w:val="005D4992"/>
    <w:rsid w:val="005E29CA"/>
    <w:rsid w:val="005E2DBF"/>
    <w:rsid w:val="005F4B7C"/>
    <w:rsid w:val="006216A7"/>
    <w:rsid w:val="0065475E"/>
    <w:rsid w:val="00654AE6"/>
    <w:rsid w:val="006932EA"/>
    <w:rsid w:val="00693E5D"/>
    <w:rsid w:val="006B1529"/>
    <w:rsid w:val="006D5B6E"/>
    <w:rsid w:val="006E235C"/>
    <w:rsid w:val="00701C12"/>
    <w:rsid w:val="00703775"/>
    <w:rsid w:val="00704353"/>
    <w:rsid w:val="00705340"/>
    <w:rsid w:val="00717237"/>
    <w:rsid w:val="0072109F"/>
    <w:rsid w:val="00727881"/>
    <w:rsid w:val="00777306"/>
    <w:rsid w:val="007A2071"/>
    <w:rsid w:val="007C3D7A"/>
    <w:rsid w:val="008158BC"/>
    <w:rsid w:val="008270B4"/>
    <w:rsid w:val="00843574"/>
    <w:rsid w:val="00884C1F"/>
    <w:rsid w:val="00891BAE"/>
    <w:rsid w:val="008B6C9B"/>
    <w:rsid w:val="008D582B"/>
    <w:rsid w:val="008F4ACE"/>
    <w:rsid w:val="00914006"/>
    <w:rsid w:val="00933C44"/>
    <w:rsid w:val="00935F69"/>
    <w:rsid w:val="0096666F"/>
    <w:rsid w:val="009670F1"/>
    <w:rsid w:val="00974A19"/>
    <w:rsid w:val="009C10A4"/>
    <w:rsid w:val="009E0520"/>
    <w:rsid w:val="009E087C"/>
    <w:rsid w:val="009F3640"/>
    <w:rsid w:val="00A03796"/>
    <w:rsid w:val="00A273BC"/>
    <w:rsid w:val="00A40D1A"/>
    <w:rsid w:val="00A7115B"/>
    <w:rsid w:val="00A8016C"/>
    <w:rsid w:val="00A84F5D"/>
    <w:rsid w:val="00A94D97"/>
    <w:rsid w:val="00AA13DB"/>
    <w:rsid w:val="00AC45DC"/>
    <w:rsid w:val="00AE037C"/>
    <w:rsid w:val="00B06428"/>
    <w:rsid w:val="00B1347A"/>
    <w:rsid w:val="00B151EE"/>
    <w:rsid w:val="00B21A13"/>
    <w:rsid w:val="00B4580B"/>
    <w:rsid w:val="00B66A5B"/>
    <w:rsid w:val="00B86252"/>
    <w:rsid w:val="00B877C8"/>
    <w:rsid w:val="00B94478"/>
    <w:rsid w:val="00BC4BDC"/>
    <w:rsid w:val="00BD1E14"/>
    <w:rsid w:val="00C04404"/>
    <w:rsid w:val="00C61163"/>
    <w:rsid w:val="00C624AF"/>
    <w:rsid w:val="00C62E2D"/>
    <w:rsid w:val="00C71784"/>
    <w:rsid w:val="00C855E7"/>
    <w:rsid w:val="00CC1B19"/>
    <w:rsid w:val="00CF1C5F"/>
    <w:rsid w:val="00D00DE8"/>
    <w:rsid w:val="00D35F40"/>
    <w:rsid w:val="00D460AD"/>
    <w:rsid w:val="00D97AEF"/>
    <w:rsid w:val="00DB37FF"/>
    <w:rsid w:val="00DE7132"/>
    <w:rsid w:val="00E365A9"/>
    <w:rsid w:val="00E46023"/>
    <w:rsid w:val="00E5437D"/>
    <w:rsid w:val="00EA152C"/>
    <w:rsid w:val="00EA4AC4"/>
    <w:rsid w:val="00EC5C5C"/>
    <w:rsid w:val="00ED0F7E"/>
    <w:rsid w:val="00EF0301"/>
    <w:rsid w:val="00F2492E"/>
    <w:rsid w:val="00F547D9"/>
    <w:rsid w:val="00F557C3"/>
    <w:rsid w:val="00F65FCF"/>
    <w:rsid w:val="00F8426F"/>
    <w:rsid w:val="00F8737B"/>
    <w:rsid w:val="00FC2AAD"/>
    <w:rsid w:val="00FE22DB"/>
    <w:rsid w:val="00FE34F3"/>
    <w:rsid w:val="00FE79EB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B6E36"/>
  <w15:chartTrackingRefBased/>
  <w15:docId w15:val="{5D34D0DF-F1B1-49D7-B73A-00B4B9C7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E713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713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E713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E7132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9E08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A6A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423AD"/>
  </w:style>
  <w:style w:type="paragraph" w:styleId="Header">
    <w:name w:val="header"/>
    <w:basedOn w:val="Normal"/>
    <w:link w:val="HeaderChar"/>
    <w:uiPriority w:val="99"/>
    <w:unhideWhenUsed/>
    <w:rsid w:val="0014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AD"/>
  </w:style>
  <w:style w:type="paragraph" w:styleId="Footer">
    <w:name w:val="footer"/>
    <w:basedOn w:val="Normal"/>
    <w:link w:val="FooterChar"/>
    <w:uiPriority w:val="99"/>
    <w:unhideWhenUsed/>
    <w:rsid w:val="0014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134D-ED11-410D-AEE8-A910426B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Kenney</dc:creator>
  <cp:keywords/>
  <dc:description/>
  <cp:lastModifiedBy>Ellie Masterman</cp:lastModifiedBy>
  <cp:revision>4</cp:revision>
  <dcterms:created xsi:type="dcterms:W3CDTF">2023-07-22T11:56:00Z</dcterms:created>
  <dcterms:modified xsi:type="dcterms:W3CDTF">2023-08-04T10:55:00Z</dcterms:modified>
</cp:coreProperties>
</file>