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D11E9D2" w14:textId="77777777" w:rsidR="00FD41BB" w:rsidRPr="003C40C0" w:rsidRDefault="00FD41BB" w:rsidP="00FD41BB">
      <w:pPr>
        <w:pStyle w:val="Title"/>
      </w:pPr>
      <w:r w:rsidRPr="003C40C0">
        <w:t>On the Reliability of Motor Evoked Potentials in Hand Muscles of Healthy Adults: A Systematic Review</w:t>
      </w:r>
    </w:p>
    <w:p w14:paraId="7769A798" w14:textId="77777777" w:rsidR="00FD41BB" w:rsidRPr="0040454A" w:rsidRDefault="00FD41BB" w:rsidP="00FD41BB">
      <w:pPr>
        <w:spacing w:after="160" w:line="360" w:lineRule="auto"/>
        <w:jc w:val="both"/>
        <w:rPr>
          <w:b/>
          <w:color w:val="000000" w:themeColor="text1"/>
          <w:lang w:val="de-DE"/>
        </w:rPr>
      </w:pPr>
      <w:r w:rsidRPr="0040454A">
        <w:rPr>
          <w:b/>
          <w:color w:val="000000" w:themeColor="text1"/>
          <w:lang w:val="de-DE"/>
        </w:rPr>
        <w:t>Mirja Osnabruegge</w:t>
      </w:r>
      <w:r w:rsidRPr="0040454A">
        <w:rPr>
          <w:b/>
          <w:color w:val="000000" w:themeColor="text1"/>
          <w:vertAlign w:val="superscript"/>
          <w:lang w:val="de-DE"/>
        </w:rPr>
        <w:t>1,2*</w:t>
      </w:r>
      <w:r w:rsidRPr="0040454A">
        <w:rPr>
          <w:b/>
          <w:color w:val="000000" w:themeColor="text1"/>
          <w:lang w:val="de-DE"/>
        </w:rPr>
        <w:t>, Carolina Kanig</w:t>
      </w:r>
      <w:r w:rsidRPr="0040454A">
        <w:rPr>
          <w:b/>
          <w:color w:val="000000" w:themeColor="text1"/>
          <w:vertAlign w:val="superscript"/>
          <w:lang w:val="de-DE"/>
        </w:rPr>
        <w:t>1,2</w:t>
      </w:r>
      <w:r w:rsidRPr="0040454A">
        <w:rPr>
          <w:b/>
          <w:color w:val="000000" w:themeColor="text1"/>
          <w:lang w:val="de-DE"/>
        </w:rPr>
        <w:t>, Florian Schwitzgebel</w:t>
      </w:r>
      <w:r w:rsidRPr="0040454A">
        <w:rPr>
          <w:b/>
          <w:color w:val="000000" w:themeColor="text1"/>
          <w:vertAlign w:val="superscript"/>
          <w:lang w:val="de-DE"/>
        </w:rPr>
        <w:t>3</w:t>
      </w:r>
      <w:r w:rsidRPr="0040454A">
        <w:rPr>
          <w:b/>
          <w:color w:val="000000" w:themeColor="text1"/>
          <w:lang w:val="de-DE"/>
        </w:rPr>
        <w:t>, Karsten Litschel</w:t>
      </w:r>
      <w:r w:rsidRPr="0040454A">
        <w:rPr>
          <w:b/>
          <w:color w:val="000000" w:themeColor="text1"/>
          <w:vertAlign w:val="superscript"/>
          <w:lang w:val="de-DE"/>
        </w:rPr>
        <w:t>3</w:t>
      </w:r>
      <w:r w:rsidRPr="0040454A">
        <w:rPr>
          <w:b/>
          <w:color w:val="000000" w:themeColor="text1"/>
          <w:lang w:val="de-DE"/>
        </w:rPr>
        <w:t>, Wolfgang Seiberl</w:t>
      </w:r>
      <w:r w:rsidRPr="0040454A">
        <w:rPr>
          <w:b/>
          <w:color w:val="000000" w:themeColor="text1"/>
          <w:sz w:val="18"/>
          <w:szCs w:val="18"/>
          <w:vertAlign w:val="superscript"/>
          <w:lang w:val="de-DE"/>
        </w:rPr>
        <w:t>4</w:t>
      </w:r>
      <w:r w:rsidRPr="0040454A">
        <w:rPr>
          <w:b/>
          <w:color w:val="000000" w:themeColor="text1"/>
          <w:lang w:val="de-DE"/>
        </w:rPr>
        <w:t>, Wolfgang Mack</w:t>
      </w:r>
      <w:r w:rsidRPr="0040454A">
        <w:rPr>
          <w:b/>
          <w:color w:val="000000" w:themeColor="text1"/>
          <w:vertAlign w:val="superscript"/>
          <w:lang w:val="de-DE"/>
        </w:rPr>
        <w:t>1</w:t>
      </w:r>
      <w:r w:rsidRPr="0040454A">
        <w:rPr>
          <w:b/>
          <w:color w:val="000000" w:themeColor="text1"/>
          <w:lang w:val="de-DE"/>
        </w:rPr>
        <w:t>, Martin Schecklmann</w:t>
      </w:r>
      <w:r w:rsidRPr="0040454A">
        <w:rPr>
          <w:b/>
          <w:color w:val="000000" w:themeColor="text1"/>
          <w:vertAlign w:val="superscript"/>
          <w:lang w:val="de-DE"/>
        </w:rPr>
        <w:t>2</w:t>
      </w:r>
      <w:r w:rsidRPr="0040454A">
        <w:rPr>
          <w:b/>
          <w:color w:val="000000" w:themeColor="text1"/>
          <w:lang w:val="de-DE"/>
        </w:rPr>
        <w:t>, Stefan Schoisswohl</w:t>
      </w:r>
      <w:r w:rsidRPr="0040454A">
        <w:rPr>
          <w:b/>
          <w:color w:val="000000" w:themeColor="text1"/>
          <w:vertAlign w:val="superscript"/>
          <w:lang w:val="de-DE"/>
        </w:rPr>
        <w:t>1,2</w:t>
      </w:r>
    </w:p>
    <w:p w14:paraId="2B4F6589" w14:textId="77777777" w:rsidR="00FD41BB" w:rsidRPr="0040454A" w:rsidRDefault="00FD41BB" w:rsidP="00FD41BB">
      <w:pPr>
        <w:spacing w:after="160"/>
        <w:rPr>
          <w:color w:val="000000" w:themeColor="text1"/>
          <w:szCs w:val="24"/>
        </w:rPr>
      </w:pPr>
      <w:r w:rsidRPr="0040454A">
        <w:rPr>
          <w:color w:val="000000" w:themeColor="text1"/>
          <w:szCs w:val="24"/>
          <w:vertAlign w:val="superscript"/>
        </w:rPr>
        <w:t>1</w:t>
      </w:r>
      <w:r w:rsidRPr="0040454A">
        <w:rPr>
          <w:color w:val="000000" w:themeColor="text1"/>
          <w:szCs w:val="24"/>
        </w:rPr>
        <w:t>Institute of Psychology, University of the Bundeswehr Munich, Neubiberg, Germany.</w:t>
      </w:r>
    </w:p>
    <w:p w14:paraId="1FF7013A" w14:textId="77777777" w:rsidR="00FD41BB" w:rsidRPr="0040454A" w:rsidRDefault="00FD41BB" w:rsidP="00FD41BB">
      <w:pPr>
        <w:spacing w:after="160"/>
        <w:rPr>
          <w:color w:val="000000" w:themeColor="text1"/>
          <w:szCs w:val="24"/>
        </w:rPr>
      </w:pPr>
      <w:r w:rsidRPr="0040454A">
        <w:rPr>
          <w:color w:val="000000" w:themeColor="text1"/>
          <w:szCs w:val="24"/>
          <w:vertAlign w:val="superscript"/>
        </w:rPr>
        <w:t>2</w:t>
      </w:r>
      <w:r w:rsidRPr="0040454A">
        <w:rPr>
          <w:color w:val="000000" w:themeColor="text1"/>
          <w:szCs w:val="24"/>
        </w:rPr>
        <w:t>Department of Psychiatry and Psychotherapy, University of Regensburg, Regensburg, Germany.</w:t>
      </w:r>
    </w:p>
    <w:p w14:paraId="61F6DA58" w14:textId="77777777" w:rsidR="00FD41BB" w:rsidRPr="0040454A" w:rsidRDefault="00FD41BB" w:rsidP="00FD41BB">
      <w:pPr>
        <w:spacing w:after="160"/>
        <w:rPr>
          <w:color w:val="000000" w:themeColor="text1"/>
          <w:szCs w:val="24"/>
        </w:rPr>
      </w:pPr>
      <w:r w:rsidRPr="0040454A">
        <w:rPr>
          <w:color w:val="000000" w:themeColor="text1"/>
          <w:szCs w:val="24"/>
          <w:vertAlign w:val="superscript"/>
        </w:rPr>
        <w:t>3</w:t>
      </w:r>
      <w:r w:rsidRPr="0040454A">
        <w:rPr>
          <w:color w:val="000000" w:themeColor="text1"/>
          <w:szCs w:val="24"/>
        </w:rPr>
        <w:t>Department of Electrical Engineering, University of the Bundeswehr Munich, Neubiberg, Germany.</w:t>
      </w:r>
    </w:p>
    <w:p w14:paraId="56235EB9" w14:textId="77777777" w:rsidR="00FD41BB" w:rsidRPr="0040454A" w:rsidRDefault="00FD41BB" w:rsidP="00FD41BB">
      <w:pPr>
        <w:spacing w:after="160"/>
        <w:rPr>
          <w:color w:val="000000" w:themeColor="text1"/>
          <w:szCs w:val="24"/>
        </w:rPr>
      </w:pPr>
      <w:r w:rsidRPr="0040454A">
        <w:rPr>
          <w:color w:val="000000" w:themeColor="text1"/>
          <w:szCs w:val="24"/>
          <w:vertAlign w:val="superscript"/>
        </w:rPr>
        <w:t>4</w:t>
      </w:r>
      <w:r w:rsidRPr="0040454A">
        <w:rPr>
          <w:color w:val="000000" w:themeColor="text1"/>
          <w:szCs w:val="24"/>
        </w:rPr>
        <w:t>Institute of Sport Science, University of the Bundeswehr Munich, Neubiberg, Germany.</w:t>
      </w:r>
    </w:p>
    <w:p w14:paraId="217F3AE0" w14:textId="6DCE1A35" w:rsidR="002868E2" w:rsidRDefault="002868E2" w:rsidP="00994A3D">
      <w:pPr>
        <w:spacing w:before="240" w:after="0"/>
        <w:rPr>
          <w:rFonts w:cs="Times New Roman"/>
        </w:rPr>
      </w:pPr>
      <w:r w:rsidRPr="00994A3D">
        <w:rPr>
          <w:rFonts w:cs="Times New Roman"/>
          <w:b/>
        </w:rPr>
        <w:t xml:space="preserve">* Correspondence: </w:t>
      </w:r>
    </w:p>
    <w:p w14:paraId="16D06748" w14:textId="5416EABB" w:rsidR="00FD41BB" w:rsidRPr="00647207" w:rsidRDefault="00FD41BB" w:rsidP="00994A3D">
      <w:pPr>
        <w:spacing w:before="240" w:after="0"/>
        <w:rPr>
          <w:rFonts w:cs="Times New Roman"/>
          <w:lang w:val="en-GB"/>
        </w:rPr>
      </w:pPr>
      <w:r w:rsidRPr="00647207">
        <w:rPr>
          <w:rFonts w:cs="Times New Roman"/>
          <w:szCs w:val="24"/>
          <w:lang w:val="en-GB"/>
        </w:rPr>
        <w:t>Mirja Osnabruegge</w:t>
      </w:r>
      <w:r w:rsidRPr="00647207">
        <w:rPr>
          <w:rFonts w:cs="Times New Roman"/>
          <w:szCs w:val="24"/>
          <w:lang w:val="en-GB"/>
        </w:rPr>
        <w:br/>
        <w:t>mirja.osnabruegge@unibw.de</w:t>
      </w:r>
    </w:p>
    <w:p w14:paraId="29026311" w14:textId="7E793171" w:rsidR="00EA3D3C" w:rsidRPr="00994A3D" w:rsidRDefault="00654E8F" w:rsidP="0001436A">
      <w:pPr>
        <w:pStyle w:val="Heading1"/>
      </w:pPr>
      <w:r w:rsidRPr="00994A3D">
        <w:t xml:space="preserve">Supplementary </w:t>
      </w:r>
      <w:r w:rsidR="00FD41BB">
        <w:t>Results</w:t>
      </w:r>
    </w:p>
    <w:p w14:paraId="77241BB1" w14:textId="26D7A494" w:rsidR="00FD41BB" w:rsidRPr="00FD41BB" w:rsidRDefault="00FD41BB" w:rsidP="00FD41BB">
      <w:pPr>
        <w:pStyle w:val="Heading2"/>
        <w:spacing w:after="240" w:line="360" w:lineRule="auto"/>
        <w:jc w:val="both"/>
        <w:rPr>
          <w:color w:val="000000" w:themeColor="text1"/>
        </w:rPr>
      </w:pPr>
      <w:r w:rsidRPr="00FD41BB">
        <w:rPr>
          <w:color w:val="000000" w:themeColor="text1"/>
        </w:rPr>
        <w:t xml:space="preserve">Chipchase </w:t>
      </w:r>
      <w:r w:rsidR="00647207">
        <w:rPr>
          <w:color w:val="000000" w:themeColor="text1"/>
        </w:rPr>
        <w:t>r</w:t>
      </w:r>
      <w:r w:rsidRPr="00FD41BB">
        <w:rPr>
          <w:color w:val="000000" w:themeColor="text1"/>
        </w:rPr>
        <w:t xml:space="preserve">ating </w:t>
      </w:r>
      <w:r w:rsidR="00647207">
        <w:rPr>
          <w:color w:val="000000" w:themeColor="text1"/>
        </w:rPr>
        <w:t>f</w:t>
      </w:r>
      <w:r w:rsidRPr="00FD41BB">
        <w:rPr>
          <w:color w:val="000000" w:themeColor="text1"/>
        </w:rPr>
        <w:t>requencies &amp; Inter-rater agreement</w:t>
      </w:r>
    </w:p>
    <w:p w14:paraId="3F4745FE" w14:textId="32BAD39E" w:rsidR="00FD41BB" w:rsidRPr="00FD41BB" w:rsidRDefault="00FD41BB" w:rsidP="00FD41BB">
      <w:pPr>
        <w:spacing w:line="360" w:lineRule="auto"/>
        <w:jc w:val="both"/>
        <w:rPr>
          <w:rFonts w:eastAsia="Arial Unicode MS"/>
          <w:color w:val="000000" w:themeColor="text1"/>
          <w:szCs w:val="24"/>
        </w:rPr>
      </w:pPr>
      <w:r w:rsidRPr="00FD41BB">
        <w:rPr>
          <w:color w:val="000000" w:themeColor="text1"/>
          <w:szCs w:val="24"/>
        </w:rPr>
        <w:t xml:space="preserve">During the critical evaluation of 28 studies with the standardized checklist of Chipchase et al. (2012), a heterogeneity in the methods of the studies was found. This makes it difficult - in combination with the heterogeneity of statistical reliability and technical parameters - to compare the results of the individual subcategories. The absolute frequencies of either reported or controlled items of the Chipchase et al.’s checklist are depicted in </w:t>
      </w:r>
      <w:r w:rsidR="00647207">
        <w:rPr>
          <w:color w:val="000000" w:themeColor="text1"/>
          <w:szCs w:val="24"/>
        </w:rPr>
        <w:t xml:space="preserve">the supplementary </w:t>
      </w:r>
      <w:r w:rsidRPr="00FD41BB">
        <w:rPr>
          <w:b/>
          <w:color w:val="000000" w:themeColor="text1"/>
          <w:szCs w:val="24"/>
        </w:rPr>
        <w:t xml:space="preserve">Table </w:t>
      </w:r>
      <w:r>
        <w:rPr>
          <w:b/>
          <w:color w:val="000000" w:themeColor="text1"/>
          <w:szCs w:val="24"/>
        </w:rPr>
        <w:t>S</w:t>
      </w:r>
      <w:r w:rsidRPr="00FD41BB">
        <w:rPr>
          <w:b/>
          <w:color w:val="000000" w:themeColor="text1"/>
          <w:szCs w:val="24"/>
        </w:rPr>
        <w:t>3</w:t>
      </w:r>
      <w:r w:rsidRPr="00FD41BB">
        <w:rPr>
          <w:color w:val="000000" w:themeColor="text1"/>
          <w:szCs w:val="24"/>
        </w:rPr>
        <w:t xml:space="preserve"> as well as the inter-rater agreement of the ratings expressed via Cohen´s Kappa and corresponding confidence intervals in</w:t>
      </w:r>
      <w:r w:rsidR="00647207">
        <w:rPr>
          <w:color w:val="000000" w:themeColor="text1"/>
          <w:szCs w:val="24"/>
        </w:rPr>
        <w:t xml:space="preserve"> the supplementary</w:t>
      </w:r>
      <w:r w:rsidRPr="00FD41BB">
        <w:rPr>
          <w:color w:val="000000" w:themeColor="text1"/>
          <w:szCs w:val="24"/>
        </w:rPr>
        <w:t xml:space="preserve"> </w:t>
      </w:r>
      <w:r w:rsidRPr="00FD41BB">
        <w:rPr>
          <w:b/>
          <w:color w:val="000000" w:themeColor="text1"/>
          <w:szCs w:val="24"/>
        </w:rPr>
        <w:t xml:space="preserve">Table </w:t>
      </w:r>
      <w:r>
        <w:rPr>
          <w:b/>
          <w:color w:val="000000" w:themeColor="text1"/>
          <w:szCs w:val="24"/>
        </w:rPr>
        <w:t>S</w:t>
      </w:r>
      <w:r w:rsidRPr="00FD41BB">
        <w:rPr>
          <w:b/>
          <w:color w:val="000000" w:themeColor="text1"/>
          <w:szCs w:val="24"/>
        </w:rPr>
        <w:t>4</w:t>
      </w:r>
      <w:r>
        <w:rPr>
          <w:color w:val="000000" w:themeColor="text1"/>
          <w:szCs w:val="24"/>
        </w:rPr>
        <w:t xml:space="preserve">. </w:t>
      </w:r>
      <w:r w:rsidRPr="00FD41BB">
        <w:rPr>
          <w:szCs w:val="24"/>
        </w:rPr>
        <w:t xml:space="preserve">A mean amount of 68.3% (range 3.6-100%) of all items was rated as reported and a mean of 25% (range 0-61%) as controlled. </w:t>
      </w:r>
      <w:r w:rsidRPr="00FD41BB">
        <w:rPr>
          <w:rFonts w:eastAsia="Arial Unicode MS"/>
          <w:szCs w:val="24"/>
        </w:rPr>
        <w:t>The item with the lowest total score, therefore which was rated the least as reported or controlled, was the level of relaxation of muscles other than those being tested (1.8%). The item stimulation intensity had the highest total score (78.6%).</w:t>
      </w:r>
    </w:p>
    <w:p w14:paraId="2C55024F" w14:textId="77777777" w:rsidR="00FD41BB" w:rsidRPr="00FD41BB" w:rsidRDefault="00FD41BB" w:rsidP="00FD41BB">
      <w:pPr>
        <w:spacing w:line="360" w:lineRule="auto"/>
        <w:jc w:val="both"/>
        <w:rPr>
          <w:color w:val="000000" w:themeColor="text1"/>
          <w:szCs w:val="24"/>
        </w:rPr>
      </w:pPr>
      <w:r w:rsidRPr="00FD41BB">
        <w:rPr>
          <w:color w:val="000000" w:themeColor="text1"/>
          <w:szCs w:val="24"/>
        </w:rPr>
        <w:t xml:space="preserve">The mean relative sum of reported plus controlled items per study was 46.8% (29.2-74%) of the total applicable items. Of all 28 identified studies, 17 </w:t>
      </w:r>
      <w:r w:rsidRPr="00FD41BB">
        <w:rPr>
          <w:rFonts w:eastAsia="Arial Unicode MS"/>
          <w:color w:val="000000" w:themeColor="text1"/>
          <w:szCs w:val="24"/>
        </w:rPr>
        <w:t>reached a value of ≥ 50%. At this point, no ordinal scale exists to put the checklist scores in relation.</w:t>
      </w:r>
      <w:r w:rsidRPr="00FD41BB">
        <w:rPr>
          <w:color w:val="000000" w:themeColor="text1"/>
          <w:szCs w:val="24"/>
        </w:rPr>
        <w:t xml:space="preserve"> Since there is no classification or comparison of the </w:t>
      </w:r>
      <w:r w:rsidRPr="00FD41BB">
        <w:rPr>
          <w:color w:val="000000" w:themeColor="text1"/>
          <w:szCs w:val="24"/>
        </w:rPr>
        <w:lastRenderedPageBreak/>
        <w:t xml:space="preserve">number of fulfilled checklist criteria, an interpretation of the results is not possible and the results are merely descriptive. Cohen’s Kappa agreement ranged from −0.23, which can be classified as poor, to an almost perfect correlation of 1.00 (mean </w:t>
      </w:r>
      <w:r w:rsidRPr="00FD41BB">
        <w:rPr>
          <w:rFonts w:ascii="Cambria Math" w:hAnsi="Cambria Math" w:cs="Cambria Math"/>
          <w:color w:val="000000" w:themeColor="text1"/>
          <w:szCs w:val="24"/>
        </w:rPr>
        <w:t>𝜅</w:t>
      </w:r>
      <w:r w:rsidRPr="00FD41BB">
        <w:rPr>
          <w:color w:val="000000" w:themeColor="text1"/>
          <w:szCs w:val="24"/>
        </w:rPr>
        <w:t xml:space="preserve"> = .87) (Landis and Koch, 1977). The average </w:t>
      </w:r>
      <w:r w:rsidRPr="00FD41BB">
        <w:rPr>
          <w:rFonts w:ascii="Cambria Math" w:hAnsi="Cambria Math" w:cs="Cambria Math"/>
          <w:color w:val="000000" w:themeColor="text1"/>
          <w:szCs w:val="24"/>
        </w:rPr>
        <w:t>𝜅</w:t>
      </w:r>
      <w:r w:rsidRPr="00FD41BB">
        <w:rPr>
          <w:color w:val="000000" w:themeColor="text1"/>
          <w:szCs w:val="24"/>
        </w:rPr>
        <w:t>-value indicates a high degree of agreement, thus increasing the transparency and objectivity of the rating procedure.</w:t>
      </w:r>
    </w:p>
    <w:p w14:paraId="58F1AED1" w14:textId="08604560" w:rsidR="00DE23E8" w:rsidRDefault="00FD41BB" w:rsidP="00FD41BB">
      <w:pPr>
        <w:spacing w:line="360" w:lineRule="auto"/>
        <w:jc w:val="both"/>
        <w:rPr>
          <w:color w:val="000000" w:themeColor="text1"/>
          <w:szCs w:val="24"/>
        </w:rPr>
      </w:pPr>
      <w:r w:rsidRPr="00FD41BB">
        <w:rPr>
          <w:color w:val="000000" w:themeColor="text1"/>
          <w:szCs w:val="24"/>
        </w:rPr>
        <w:t>Due to technological development and research advancements, it was assumed that more criteria of the Chipchase checklist are met, the later the study was published. No significant correlation was evident between the publication year and the number of fulfilled Chipchase’ criteria (</w:t>
      </w:r>
      <w:r w:rsidRPr="00FD41BB">
        <w:rPr>
          <w:i/>
          <w:color w:val="000000" w:themeColor="text1"/>
          <w:szCs w:val="24"/>
        </w:rPr>
        <w:t>r</w:t>
      </w:r>
      <w:r w:rsidRPr="00FD41BB">
        <w:rPr>
          <w:color w:val="000000" w:themeColor="text1"/>
          <w:szCs w:val="24"/>
        </w:rPr>
        <w:t xml:space="preserve"> = .052, </w:t>
      </w:r>
      <w:r w:rsidRPr="00FD41BB">
        <w:rPr>
          <w:i/>
          <w:color w:val="000000" w:themeColor="text1"/>
          <w:szCs w:val="24"/>
        </w:rPr>
        <w:t xml:space="preserve">p = </w:t>
      </w:r>
      <w:r w:rsidRPr="00FD41BB">
        <w:rPr>
          <w:color w:val="000000" w:themeColor="text1"/>
          <w:szCs w:val="24"/>
        </w:rPr>
        <w:t>.794</w:t>
      </w:r>
      <w:r w:rsidRPr="00FD41BB">
        <w:rPr>
          <w:i/>
          <w:color w:val="000000" w:themeColor="text1"/>
          <w:szCs w:val="24"/>
        </w:rPr>
        <w:t>)</w:t>
      </w:r>
      <w:r w:rsidRPr="00FD41BB">
        <w:rPr>
          <w:color w:val="000000" w:themeColor="text1"/>
          <w:szCs w:val="24"/>
        </w:rPr>
        <w:t xml:space="preserve"> or between publication year and mean intra-class correlation coefficient (ICC) values (</w:t>
      </w:r>
      <w:r w:rsidRPr="00FD41BB">
        <w:rPr>
          <w:i/>
          <w:color w:val="000000" w:themeColor="text1"/>
          <w:szCs w:val="24"/>
        </w:rPr>
        <w:t>r</w:t>
      </w:r>
      <w:r w:rsidRPr="00FD41BB">
        <w:rPr>
          <w:color w:val="000000" w:themeColor="text1"/>
          <w:szCs w:val="24"/>
        </w:rPr>
        <w:t xml:space="preserve"> = .054, </w:t>
      </w:r>
      <w:r w:rsidRPr="00FD41BB">
        <w:rPr>
          <w:i/>
          <w:color w:val="000000" w:themeColor="text1"/>
          <w:szCs w:val="24"/>
        </w:rPr>
        <w:t xml:space="preserve">p = </w:t>
      </w:r>
      <w:r w:rsidRPr="00FD41BB">
        <w:rPr>
          <w:color w:val="000000" w:themeColor="text1"/>
          <w:szCs w:val="24"/>
        </w:rPr>
        <w:t>.808). Due to the lack of significant correlations, no further analyses were carried out.</w:t>
      </w:r>
    </w:p>
    <w:p w14:paraId="705228C6" w14:textId="1AF316EA" w:rsidR="002360AA" w:rsidRDefault="002360AA" w:rsidP="00FD41BB">
      <w:pPr>
        <w:spacing w:line="360" w:lineRule="auto"/>
        <w:jc w:val="both"/>
        <w:rPr>
          <w:color w:val="000000" w:themeColor="text1"/>
          <w:szCs w:val="24"/>
        </w:rPr>
      </w:pPr>
    </w:p>
    <w:p w14:paraId="7AC2C088" w14:textId="1C612415" w:rsidR="002360AA" w:rsidRDefault="002360AA" w:rsidP="00FD41BB">
      <w:pPr>
        <w:spacing w:line="360" w:lineRule="auto"/>
        <w:jc w:val="both"/>
        <w:rPr>
          <w:color w:val="000000" w:themeColor="text1"/>
          <w:szCs w:val="24"/>
        </w:rPr>
      </w:pPr>
    </w:p>
    <w:p w14:paraId="55B20B13" w14:textId="2A5FC2C0" w:rsidR="002360AA" w:rsidRDefault="002360AA" w:rsidP="00FD41BB">
      <w:pPr>
        <w:spacing w:line="360" w:lineRule="auto"/>
        <w:jc w:val="both"/>
        <w:rPr>
          <w:color w:val="000000" w:themeColor="text1"/>
          <w:szCs w:val="24"/>
        </w:rPr>
      </w:pPr>
    </w:p>
    <w:p w14:paraId="36BF1A57" w14:textId="5C62463C" w:rsidR="002360AA" w:rsidRDefault="002360AA" w:rsidP="00FD41BB">
      <w:pPr>
        <w:spacing w:line="360" w:lineRule="auto"/>
        <w:jc w:val="both"/>
        <w:rPr>
          <w:color w:val="000000" w:themeColor="text1"/>
          <w:szCs w:val="24"/>
        </w:rPr>
      </w:pPr>
    </w:p>
    <w:p w14:paraId="412D4257" w14:textId="0056D595" w:rsidR="002360AA" w:rsidRDefault="002360AA" w:rsidP="00FD41BB">
      <w:pPr>
        <w:spacing w:line="360" w:lineRule="auto"/>
        <w:jc w:val="both"/>
        <w:rPr>
          <w:color w:val="000000" w:themeColor="text1"/>
          <w:szCs w:val="24"/>
        </w:rPr>
      </w:pPr>
    </w:p>
    <w:p w14:paraId="1E4C5DAB" w14:textId="72B226DC" w:rsidR="002360AA" w:rsidRDefault="002360AA" w:rsidP="00FD41BB">
      <w:pPr>
        <w:spacing w:line="360" w:lineRule="auto"/>
        <w:jc w:val="both"/>
        <w:rPr>
          <w:color w:val="000000" w:themeColor="text1"/>
          <w:szCs w:val="24"/>
        </w:rPr>
      </w:pPr>
    </w:p>
    <w:p w14:paraId="3789C7EC" w14:textId="3BC78845" w:rsidR="002360AA" w:rsidRDefault="002360AA" w:rsidP="00FD41BB">
      <w:pPr>
        <w:spacing w:line="360" w:lineRule="auto"/>
        <w:jc w:val="both"/>
        <w:rPr>
          <w:color w:val="000000" w:themeColor="text1"/>
          <w:szCs w:val="24"/>
        </w:rPr>
      </w:pPr>
    </w:p>
    <w:p w14:paraId="70C3893E" w14:textId="187508FC" w:rsidR="002360AA" w:rsidRDefault="002360AA" w:rsidP="00FD41BB">
      <w:pPr>
        <w:spacing w:line="360" w:lineRule="auto"/>
        <w:jc w:val="both"/>
        <w:rPr>
          <w:color w:val="000000" w:themeColor="text1"/>
          <w:szCs w:val="24"/>
        </w:rPr>
      </w:pPr>
    </w:p>
    <w:p w14:paraId="5CE66FF4" w14:textId="0F61DDA1" w:rsidR="002360AA" w:rsidRDefault="002360AA" w:rsidP="00FD41BB">
      <w:pPr>
        <w:spacing w:line="360" w:lineRule="auto"/>
        <w:jc w:val="both"/>
        <w:rPr>
          <w:color w:val="000000" w:themeColor="text1"/>
          <w:szCs w:val="24"/>
        </w:rPr>
      </w:pPr>
    </w:p>
    <w:p w14:paraId="388011E0" w14:textId="243A948B" w:rsidR="002360AA" w:rsidRDefault="002360AA" w:rsidP="00FD41BB">
      <w:pPr>
        <w:spacing w:line="360" w:lineRule="auto"/>
        <w:jc w:val="both"/>
        <w:rPr>
          <w:color w:val="000000" w:themeColor="text1"/>
          <w:szCs w:val="24"/>
        </w:rPr>
      </w:pPr>
    </w:p>
    <w:p w14:paraId="76616DFC" w14:textId="12C5666B" w:rsidR="002360AA" w:rsidRDefault="002360AA" w:rsidP="00FD41BB">
      <w:pPr>
        <w:spacing w:line="360" w:lineRule="auto"/>
        <w:jc w:val="both"/>
        <w:rPr>
          <w:color w:val="000000" w:themeColor="text1"/>
          <w:szCs w:val="24"/>
        </w:rPr>
      </w:pPr>
    </w:p>
    <w:p w14:paraId="39F6D2BD" w14:textId="4CFF7B85" w:rsidR="002360AA" w:rsidRDefault="002360AA" w:rsidP="00FD41BB">
      <w:pPr>
        <w:spacing w:line="360" w:lineRule="auto"/>
        <w:jc w:val="both"/>
        <w:rPr>
          <w:color w:val="000000" w:themeColor="text1"/>
          <w:szCs w:val="24"/>
        </w:rPr>
      </w:pPr>
    </w:p>
    <w:p w14:paraId="00327583" w14:textId="77777777" w:rsidR="002360AA" w:rsidRDefault="002360AA" w:rsidP="00FD41BB">
      <w:pPr>
        <w:spacing w:line="360" w:lineRule="auto"/>
        <w:jc w:val="both"/>
        <w:rPr>
          <w:color w:val="000000" w:themeColor="text1"/>
          <w:szCs w:val="24"/>
        </w:rPr>
      </w:pPr>
    </w:p>
    <w:p w14:paraId="44962FCD" w14:textId="2F191F11" w:rsidR="002360AA" w:rsidRPr="002360AA" w:rsidRDefault="00647207" w:rsidP="002360AA">
      <w:pPr>
        <w:rPr>
          <w:rFonts w:cs="Times New Roman"/>
          <w:b/>
          <w:lang w:val="en-GB"/>
        </w:rPr>
      </w:pPr>
      <w:r>
        <w:rPr>
          <w:rFonts w:cs="Times New Roman"/>
          <w:b/>
          <w:lang w:val="en-GB"/>
        </w:rPr>
        <w:lastRenderedPageBreak/>
        <w:t xml:space="preserve">Supplementary </w:t>
      </w:r>
      <w:r w:rsidR="002360AA" w:rsidRPr="002360AA">
        <w:rPr>
          <w:rFonts w:cs="Times New Roman"/>
          <w:b/>
          <w:lang w:val="en-GB"/>
        </w:rPr>
        <w:t>Table S3</w:t>
      </w:r>
    </w:p>
    <w:p w14:paraId="51977074" w14:textId="09ED5C8A" w:rsidR="002360AA" w:rsidRDefault="002360AA" w:rsidP="002360AA">
      <w:pPr>
        <w:rPr>
          <w:rFonts w:cs="Times New Roman"/>
          <w:i/>
          <w:lang w:val="en-GB"/>
        </w:rPr>
      </w:pPr>
      <w:r>
        <w:rPr>
          <w:rFonts w:cs="Times New Roman"/>
          <w:i/>
          <w:lang w:val="en-GB"/>
        </w:rPr>
        <w:t xml:space="preserve">Absolute &amp; </w:t>
      </w:r>
      <w:r w:rsidR="005B0856">
        <w:rPr>
          <w:rFonts w:cs="Times New Roman"/>
          <w:i/>
          <w:lang w:val="en-GB"/>
        </w:rPr>
        <w:t>r</w:t>
      </w:r>
      <w:r>
        <w:rPr>
          <w:rFonts w:cs="Times New Roman"/>
          <w:i/>
          <w:lang w:val="en-GB"/>
        </w:rPr>
        <w:t xml:space="preserve">elative </w:t>
      </w:r>
      <w:r w:rsidR="005B0856">
        <w:rPr>
          <w:rFonts w:cs="Times New Roman"/>
          <w:i/>
          <w:lang w:val="en-GB"/>
        </w:rPr>
        <w:t>f</w:t>
      </w:r>
      <w:r>
        <w:rPr>
          <w:rFonts w:cs="Times New Roman"/>
          <w:i/>
          <w:lang w:val="en-GB"/>
        </w:rPr>
        <w:t xml:space="preserve">requencies of the Chipchase’ </w:t>
      </w:r>
      <w:r w:rsidR="005B0856">
        <w:rPr>
          <w:rFonts w:cs="Times New Roman"/>
          <w:i/>
          <w:lang w:val="en-GB"/>
        </w:rPr>
        <w:t>i</w:t>
      </w:r>
      <w:r>
        <w:rPr>
          <w:rFonts w:cs="Times New Roman"/>
          <w:i/>
          <w:lang w:val="en-GB"/>
        </w:rPr>
        <w:t>tems</w:t>
      </w:r>
    </w:p>
    <w:tbl>
      <w:tblPr>
        <w:tblStyle w:val="TableGrid"/>
        <w:tblW w:w="8995" w:type="dxa"/>
        <w:tblInd w:w="-5" w:type="dxa"/>
        <w:tblLayout w:type="fixed"/>
        <w:tblLook w:val="04A0" w:firstRow="1" w:lastRow="0" w:firstColumn="1" w:lastColumn="0" w:noHBand="0" w:noVBand="1"/>
      </w:tblPr>
      <w:tblGrid>
        <w:gridCol w:w="5240"/>
        <w:gridCol w:w="335"/>
        <w:gridCol w:w="941"/>
        <w:gridCol w:w="319"/>
        <w:gridCol w:w="1240"/>
        <w:gridCol w:w="20"/>
        <w:gridCol w:w="900"/>
      </w:tblGrid>
      <w:tr w:rsidR="002360AA" w:rsidRPr="00744514" w14:paraId="015DFE15" w14:textId="77777777" w:rsidTr="002E3FFE">
        <w:trPr>
          <w:trHeight w:val="624"/>
        </w:trPr>
        <w:tc>
          <w:tcPr>
            <w:tcW w:w="5240" w:type="dxa"/>
            <w:tcBorders>
              <w:top w:val="single" w:sz="8" w:space="0" w:color="auto"/>
              <w:left w:val="single" w:sz="8" w:space="0" w:color="FFFFFF" w:themeColor="background1"/>
              <w:bottom w:val="single" w:sz="8" w:space="0" w:color="auto"/>
              <w:right w:val="single" w:sz="8" w:space="0" w:color="FFFFFF" w:themeColor="background1"/>
            </w:tcBorders>
            <w:vAlign w:val="center"/>
          </w:tcPr>
          <w:p w14:paraId="17762618" w14:textId="77777777" w:rsidR="002360AA" w:rsidRPr="00406F02" w:rsidRDefault="002360AA" w:rsidP="002360AA">
            <w:pPr>
              <w:spacing w:after="0"/>
              <w:jc w:val="center"/>
              <w:rPr>
                <w:rFonts w:cs="Times New Roman"/>
                <w:b/>
              </w:rPr>
            </w:pPr>
          </w:p>
        </w:tc>
        <w:tc>
          <w:tcPr>
            <w:tcW w:w="1276" w:type="dxa"/>
            <w:gridSpan w:val="2"/>
            <w:tcBorders>
              <w:top w:val="single" w:sz="8" w:space="0" w:color="auto"/>
              <w:left w:val="single" w:sz="8" w:space="0" w:color="FFFFFF" w:themeColor="background1"/>
              <w:bottom w:val="single" w:sz="8" w:space="0" w:color="auto"/>
              <w:right w:val="single" w:sz="8" w:space="0" w:color="FFFFFF" w:themeColor="background1"/>
            </w:tcBorders>
            <w:vAlign w:val="center"/>
          </w:tcPr>
          <w:p w14:paraId="2AA01D91" w14:textId="77777777" w:rsidR="002360AA" w:rsidRPr="00EA64EE" w:rsidRDefault="002360AA" w:rsidP="002360AA">
            <w:pPr>
              <w:spacing w:after="0"/>
              <w:jc w:val="center"/>
              <w:rPr>
                <w:rFonts w:cs="Times New Roman"/>
                <w:b/>
                <w:sz w:val="20"/>
                <w:lang w:val="en-GB"/>
              </w:rPr>
            </w:pPr>
            <w:r w:rsidRPr="00EA64EE">
              <w:rPr>
                <w:rFonts w:cs="Times New Roman"/>
                <w:b/>
                <w:sz w:val="20"/>
                <w:lang w:val="en-GB"/>
              </w:rPr>
              <w:t>Reported</w:t>
            </w:r>
          </w:p>
          <w:p w14:paraId="5B9B1C04" w14:textId="77777777" w:rsidR="002360AA" w:rsidRPr="00EA64EE" w:rsidRDefault="002360AA" w:rsidP="002360AA">
            <w:pPr>
              <w:spacing w:after="0"/>
              <w:jc w:val="center"/>
              <w:rPr>
                <w:rFonts w:cs="Times New Roman"/>
                <w:b/>
                <w:sz w:val="20"/>
                <w:lang w:val="en-GB"/>
              </w:rPr>
            </w:pPr>
            <w:r w:rsidRPr="00EA64EE">
              <w:rPr>
                <w:rFonts w:cs="Times New Roman"/>
                <w:b/>
                <w:sz w:val="20"/>
                <w:lang w:val="en-GB"/>
              </w:rPr>
              <w:t>(n/N)</w:t>
            </w:r>
          </w:p>
        </w:tc>
        <w:tc>
          <w:tcPr>
            <w:tcW w:w="1559" w:type="dxa"/>
            <w:gridSpan w:val="2"/>
            <w:tcBorders>
              <w:top w:val="single" w:sz="8" w:space="0" w:color="auto"/>
              <w:left w:val="single" w:sz="8" w:space="0" w:color="FFFFFF" w:themeColor="background1"/>
              <w:bottom w:val="single" w:sz="8" w:space="0" w:color="auto"/>
              <w:right w:val="single" w:sz="8" w:space="0" w:color="FFFFFF"/>
            </w:tcBorders>
            <w:vAlign w:val="center"/>
          </w:tcPr>
          <w:p w14:paraId="688EA536" w14:textId="77777777" w:rsidR="002360AA" w:rsidRPr="00EA64EE" w:rsidRDefault="002360AA" w:rsidP="002360AA">
            <w:pPr>
              <w:spacing w:after="0"/>
              <w:jc w:val="center"/>
              <w:rPr>
                <w:rFonts w:cs="Times New Roman"/>
                <w:b/>
                <w:sz w:val="20"/>
                <w:lang w:val="en-GB"/>
              </w:rPr>
            </w:pPr>
            <w:r w:rsidRPr="00EA64EE">
              <w:rPr>
                <w:rFonts w:cs="Times New Roman"/>
                <w:b/>
                <w:sz w:val="20"/>
                <w:lang w:val="en-GB"/>
              </w:rPr>
              <w:t>Controlled</w:t>
            </w:r>
          </w:p>
          <w:p w14:paraId="4364E7B4" w14:textId="77777777" w:rsidR="002360AA" w:rsidRPr="00EA64EE" w:rsidRDefault="002360AA" w:rsidP="002360AA">
            <w:pPr>
              <w:spacing w:after="0"/>
              <w:jc w:val="center"/>
              <w:rPr>
                <w:rFonts w:cs="Times New Roman"/>
                <w:b/>
                <w:sz w:val="20"/>
                <w:lang w:val="en-GB"/>
              </w:rPr>
            </w:pPr>
            <w:r w:rsidRPr="00EA64EE">
              <w:rPr>
                <w:rFonts w:cs="Times New Roman"/>
                <w:b/>
                <w:sz w:val="20"/>
                <w:lang w:val="en-GB"/>
              </w:rPr>
              <w:t>(n/N)</w:t>
            </w:r>
          </w:p>
        </w:tc>
        <w:tc>
          <w:tcPr>
            <w:tcW w:w="920" w:type="dxa"/>
            <w:gridSpan w:val="2"/>
            <w:tcBorders>
              <w:top w:val="single" w:sz="8" w:space="0" w:color="auto"/>
              <w:left w:val="single" w:sz="8" w:space="0" w:color="FFFFFF"/>
              <w:bottom w:val="single" w:sz="8" w:space="0" w:color="auto"/>
              <w:right w:val="single" w:sz="8" w:space="0" w:color="FFFFFF"/>
            </w:tcBorders>
            <w:vAlign w:val="center"/>
          </w:tcPr>
          <w:p w14:paraId="1119AB20" w14:textId="77777777" w:rsidR="002360AA" w:rsidRPr="009A21D6" w:rsidRDefault="002360AA" w:rsidP="002360AA">
            <w:pPr>
              <w:spacing w:after="0"/>
              <w:jc w:val="center"/>
              <w:rPr>
                <w:rFonts w:cs="Times New Roman"/>
                <w:b/>
                <w:sz w:val="20"/>
                <w:lang w:val="en-GB"/>
              </w:rPr>
            </w:pPr>
            <w:r w:rsidRPr="009A21D6">
              <w:rPr>
                <w:rFonts w:cs="Times New Roman"/>
                <w:b/>
                <w:sz w:val="20"/>
                <w:lang w:val="en-GB"/>
              </w:rPr>
              <w:t>Total</w:t>
            </w:r>
          </w:p>
          <w:p w14:paraId="20C6B016" w14:textId="77777777" w:rsidR="002360AA" w:rsidRPr="00744514" w:rsidRDefault="002360AA" w:rsidP="002360AA">
            <w:pPr>
              <w:spacing w:after="0"/>
              <w:jc w:val="center"/>
              <w:rPr>
                <w:rFonts w:cs="Times New Roman"/>
                <w:b/>
                <w:sz w:val="20"/>
                <w:highlight w:val="yellow"/>
                <w:lang w:val="en-GB"/>
              </w:rPr>
            </w:pPr>
            <w:r w:rsidRPr="009A21D6">
              <w:rPr>
                <w:rFonts w:cs="Times New Roman"/>
                <w:b/>
                <w:sz w:val="20"/>
                <w:lang w:val="en-GB"/>
              </w:rPr>
              <w:t>(%)</w:t>
            </w:r>
          </w:p>
        </w:tc>
      </w:tr>
      <w:tr w:rsidR="002360AA" w:rsidRPr="00E32F97" w14:paraId="448BD2C6" w14:textId="77777777" w:rsidTr="002E3FFE">
        <w:trPr>
          <w:trHeight w:val="283"/>
        </w:trPr>
        <w:tc>
          <w:tcPr>
            <w:tcW w:w="8995" w:type="dxa"/>
            <w:gridSpan w:val="7"/>
            <w:tcBorders>
              <w:top w:val="single" w:sz="8" w:space="0" w:color="auto"/>
              <w:left w:val="single" w:sz="8" w:space="0" w:color="FFFFFF" w:themeColor="background1"/>
              <w:bottom w:val="single" w:sz="8" w:space="0" w:color="FFFFFF"/>
              <w:right w:val="single" w:sz="8" w:space="0" w:color="FFFFFF"/>
            </w:tcBorders>
          </w:tcPr>
          <w:p w14:paraId="0DE9270D" w14:textId="77777777" w:rsidR="002360AA" w:rsidRPr="00EA64EE" w:rsidRDefault="002360AA" w:rsidP="002360AA">
            <w:pPr>
              <w:spacing w:after="0"/>
              <w:rPr>
                <w:rFonts w:cs="Times New Roman"/>
                <w:sz w:val="20"/>
                <w:lang w:val="en-GB"/>
              </w:rPr>
            </w:pPr>
            <w:r w:rsidRPr="00EA64EE">
              <w:rPr>
                <w:rFonts w:cs="Times New Roman"/>
                <w:b/>
                <w:sz w:val="20"/>
              </w:rPr>
              <w:t>Participant factors</w:t>
            </w:r>
          </w:p>
        </w:tc>
      </w:tr>
      <w:tr w:rsidR="002360AA" w:rsidRPr="00E32F97" w14:paraId="4F92F480" w14:textId="77777777" w:rsidTr="002E3FFE">
        <w:trPr>
          <w:trHeight w:val="283"/>
        </w:trPr>
        <w:tc>
          <w:tcPr>
            <w:tcW w:w="5575" w:type="dxa"/>
            <w:gridSpan w:val="2"/>
            <w:tcBorders>
              <w:top w:val="single" w:sz="8" w:space="0" w:color="FFFFFF"/>
              <w:left w:val="single" w:sz="8" w:space="0" w:color="FFFFFF" w:themeColor="background1"/>
              <w:bottom w:val="single" w:sz="8" w:space="0" w:color="FFFFFF" w:themeColor="background1"/>
              <w:right w:val="single" w:sz="8" w:space="0" w:color="FFFFFF" w:themeColor="background1"/>
            </w:tcBorders>
          </w:tcPr>
          <w:p w14:paraId="4321CBFC" w14:textId="77777777" w:rsidR="002360AA" w:rsidRPr="00EA64EE" w:rsidRDefault="002360AA" w:rsidP="002360AA">
            <w:pPr>
              <w:spacing w:after="0"/>
              <w:rPr>
                <w:rFonts w:cs="Times New Roman"/>
                <w:sz w:val="20"/>
              </w:rPr>
            </w:pPr>
            <w:r w:rsidRPr="00EA64EE">
              <w:rPr>
                <w:rFonts w:cs="Times New Roman"/>
                <w:sz w:val="20"/>
              </w:rPr>
              <w:t>Age of subjects</w:t>
            </w:r>
          </w:p>
        </w:tc>
        <w:tc>
          <w:tcPr>
            <w:tcW w:w="1260" w:type="dxa"/>
            <w:gridSpan w:val="2"/>
            <w:tcBorders>
              <w:top w:val="single" w:sz="8" w:space="0" w:color="FFFFFF"/>
              <w:left w:val="single" w:sz="8" w:space="0" w:color="FFFFFF" w:themeColor="background1"/>
              <w:bottom w:val="single" w:sz="8" w:space="0" w:color="FFFFFF" w:themeColor="background1"/>
              <w:right w:val="single" w:sz="8" w:space="0" w:color="FFFFFF" w:themeColor="background1"/>
            </w:tcBorders>
          </w:tcPr>
          <w:p w14:paraId="029B60D0" w14:textId="77777777" w:rsidR="002360AA" w:rsidRDefault="002360AA" w:rsidP="002360AA">
            <w:pPr>
              <w:spacing w:after="0"/>
            </w:pPr>
            <w:r>
              <w:rPr>
                <w:rFonts w:cs="Times New Roman"/>
                <w:sz w:val="20"/>
              </w:rPr>
              <w:t>27</w:t>
            </w:r>
            <w:r w:rsidRPr="00E8062B">
              <w:rPr>
                <w:rFonts w:cs="Times New Roman"/>
                <w:sz w:val="20"/>
              </w:rPr>
              <w:t>/28</w:t>
            </w:r>
          </w:p>
        </w:tc>
        <w:tc>
          <w:tcPr>
            <w:tcW w:w="1260" w:type="dxa"/>
            <w:gridSpan w:val="2"/>
            <w:tcBorders>
              <w:top w:val="single" w:sz="8" w:space="0" w:color="FFFFFF"/>
              <w:left w:val="single" w:sz="8" w:space="0" w:color="FFFFFF" w:themeColor="background1"/>
              <w:bottom w:val="single" w:sz="8" w:space="0" w:color="FFFFFF" w:themeColor="background1"/>
              <w:right w:val="single" w:sz="8" w:space="0" w:color="FFFFFF"/>
            </w:tcBorders>
          </w:tcPr>
          <w:p w14:paraId="1DDDAC02" w14:textId="77777777" w:rsidR="002360AA" w:rsidRDefault="002360AA" w:rsidP="002360AA">
            <w:pPr>
              <w:spacing w:after="0"/>
            </w:pPr>
            <w:r>
              <w:rPr>
                <w:rFonts w:cs="Times New Roman"/>
                <w:sz w:val="20"/>
              </w:rPr>
              <w:t>2</w:t>
            </w:r>
            <w:r w:rsidRPr="00E8062B">
              <w:rPr>
                <w:rFonts w:cs="Times New Roman"/>
                <w:sz w:val="20"/>
              </w:rPr>
              <w:t>/28</w:t>
            </w:r>
          </w:p>
        </w:tc>
        <w:tc>
          <w:tcPr>
            <w:tcW w:w="900" w:type="dxa"/>
            <w:tcBorders>
              <w:top w:val="single" w:sz="8" w:space="0" w:color="FFFFFF"/>
              <w:left w:val="single" w:sz="8" w:space="0" w:color="FFFFFF"/>
              <w:bottom w:val="single" w:sz="8" w:space="0" w:color="FFFFFF" w:themeColor="background1"/>
              <w:right w:val="single" w:sz="8" w:space="0" w:color="FFFFFF"/>
            </w:tcBorders>
          </w:tcPr>
          <w:p w14:paraId="5C1C9528" w14:textId="77777777" w:rsidR="002360AA" w:rsidRPr="00CB7CB6" w:rsidRDefault="002360AA" w:rsidP="002360AA">
            <w:pPr>
              <w:spacing w:after="0"/>
              <w:jc w:val="center"/>
              <w:rPr>
                <w:rFonts w:cs="Times New Roman"/>
                <w:sz w:val="20"/>
              </w:rPr>
            </w:pPr>
            <w:r w:rsidRPr="00CB7CB6">
              <w:rPr>
                <w:rFonts w:cs="Times New Roman"/>
                <w:sz w:val="20"/>
              </w:rPr>
              <w:t>51.8%</w:t>
            </w:r>
          </w:p>
        </w:tc>
      </w:tr>
      <w:tr w:rsidR="002360AA" w:rsidRPr="00E32F97" w14:paraId="33299909" w14:textId="77777777" w:rsidTr="002E3FFE">
        <w:trPr>
          <w:trHeight w:val="283"/>
        </w:trPr>
        <w:tc>
          <w:tcPr>
            <w:tcW w:w="5575" w:type="dxa"/>
            <w:gridSpan w:val="2"/>
            <w:tcBorders>
              <w:top w:val="single" w:sz="8" w:space="0" w:color="FFFFFF"/>
              <w:left w:val="single" w:sz="8" w:space="0" w:color="FFFFFF" w:themeColor="background1"/>
              <w:bottom w:val="single" w:sz="8" w:space="0" w:color="FFFFFF" w:themeColor="background1"/>
              <w:right w:val="single" w:sz="8" w:space="0" w:color="FFFFFF" w:themeColor="background1"/>
            </w:tcBorders>
          </w:tcPr>
          <w:p w14:paraId="53BAAB97" w14:textId="77777777" w:rsidR="002360AA" w:rsidRPr="00EA64EE" w:rsidRDefault="002360AA" w:rsidP="002360AA">
            <w:pPr>
              <w:spacing w:after="0"/>
              <w:rPr>
                <w:rFonts w:cs="Times New Roman"/>
                <w:sz w:val="20"/>
              </w:rPr>
            </w:pPr>
            <w:r w:rsidRPr="00EA64EE">
              <w:rPr>
                <w:rFonts w:cs="Times New Roman"/>
                <w:sz w:val="20"/>
              </w:rPr>
              <w:t>Gender of subjects</w:t>
            </w:r>
          </w:p>
        </w:tc>
        <w:tc>
          <w:tcPr>
            <w:tcW w:w="1260" w:type="dxa"/>
            <w:gridSpan w:val="2"/>
            <w:tcBorders>
              <w:top w:val="single" w:sz="8" w:space="0" w:color="FFFFFF"/>
              <w:left w:val="single" w:sz="8" w:space="0" w:color="FFFFFF" w:themeColor="background1"/>
              <w:bottom w:val="single" w:sz="8" w:space="0" w:color="FFFFFF" w:themeColor="background1"/>
              <w:right w:val="single" w:sz="8" w:space="0" w:color="FFFFFF" w:themeColor="background1"/>
            </w:tcBorders>
          </w:tcPr>
          <w:p w14:paraId="3B559892" w14:textId="77777777" w:rsidR="002360AA" w:rsidRDefault="002360AA" w:rsidP="002360AA">
            <w:pPr>
              <w:spacing w:after="0"/>
            </w:pPr>
            <w:r>
              <w:rPr>
                <w:rFonts w:cs="Times New Roman"/>
                <w:sz w:val="20"/>
              </w:rPr>
              <w:t>28</w:t>
            </w:r>
            <w:r w:rsidRPr="00E8062B">
              <w:rPr>
                <w:rFonts w:cs="Times New Roman"/>
                <w:sz w:val="20"/>
              </w:rPr>
              <w:t>/28</w:t>
            </w:r>
          </w:p>
        </w:tc>
        <w:tc>
          <w:tcPr>
            <w:tcW w:w="1260" w:type="dxa"/>
            <w:gridSpan w:val="2"/>
            <w:tcBorders>
              <w:top w:val="single" w:sz="8" w:space="0" w:color="FFFFFF"/>
              <w:left w:val="single" w:sz="8" w:space="0" w:color="FFFFFF" w:themeColor="background1"/>
              <w:bottom w:val="single" w:sz="8" w:space="0" w:color="FFFFFF" w:themeColor="background1"/>
              <w:right w:val="single" w:sz="8" w:space="0" w:color="FFFFFF"/>
            </w:tcBorders>
          </w:tcPr>
          <w:p w14:paraId="5DCAF546" w14:textId="77777777" w:rsidR="002360AA" w:rsidRDefault="002360AA" w:rsidP="002360AA">
            <w:pPr>
              <w:spacing w:after="0"/>
            </w:pPr>
            <w:r>
              <w:rPr>
                <w:rFonts w:cs="Times New Roman"/>
                <w:sz w:val="20"/>
              </w:rPr>
              <w:t>14</w:t>
            </w:r>
            <w:r w:rsidRPr="00E8062B">
              <w:rPr>
                <w:rFonts w:cs="Times New Roman"/>
                <w:sz w:val="20"/>
              </w:rPr>
              <w:t>/28</w:t>
            </w:r>
          </w:p>
        </w:tc>
        <w:tc>
          <w:tcPr>
            <w:tcW w:w="900" w:type="dxa"/>
            <w:tcBorders>
              <w:top w:val="single" w:sz="8" w:space="0" w:color="FFFFFF"/>
              <w:left w:val="single" w:sz="8" w:space="0" w:color="FFFFFF"/>
              <w:bottom w:val="single" w:sz="8" w:space="0" w:color="FFFFFF" w:themeColor="background1"/>
              <w:right w:val="single" w:sz="8" w:space="0" w:color="FFFFFF"/>
            </w:tcBorders>
          </w:tcPr>
          <w:p w14:paraId="4E306F45" w14:textId="77777777" w:rsidR="002360AA" w:rsidRPr="00CB7CB6" w:rsidRDefault="002360AA" w:rsidP="002360AA">
            <w:pPr>
              <w:spacing w:after="0"/>
              <w:jc w:val="center"/>
              <w:rPr>
                <w:rFonts w:cs="Times New Roman"/>
                <w:sz w:val="20"/>
              </w:rPr>
            </w:pPr>
            <w:r w:rsidRPr="00CB7CB6">
              <w:rPr>
                <w:rFonts w:cs="Times New Roman"/>
                <w:sz w:val="20"/>
              </w:rPr>
              <w:t>75.0%</w:t>
            </w:r>
          </w:p>
        </w:tc>
      </w:tr>
      <w:tr w:rsidR="002360AA" w:rsidRPr="00E32F97" w14:paraId="07FF267B"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DE0C87B" w14:textId="77777777" w:rsidR="002360AA" w:rsidRPr="00EA64EE" w:rsidRDefault="002360AA" w:rsidP="002360AA">
            <w:pPr>
              <w:spacing w:after="0"/>
              <w:rPr>
                <w:rFonts w:cs="Times New Roman"/>
                <w:sz w:val="20"/>
              </w:rPr>
            </w:pPr>
            <w:r w:rsidRPr="00EA64EE">
              <w:rPr>
                <w:rFonts w:cs="Times New Roman"/>
                <w:sz w:val="20"/>
              </w:rPr>
              <w:t>Handedness of subjects</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3780B33" w14:textId="77777777" w:rsidR="002360AA" w:rsidRDefault="002360AA" w:rsidP="002360AA">
            <w:pPr>
              <w:spacing w:after="0"/>
            </w:pPr>
            <w:r>
              <w:rPr>
                <w:rFonts w:cs="Times New Roman"/>
                <w:sz w:val="20"/>
              </w:rPr>
              <w:t>26</w:t>
            </w:r>
            <w:r w:rsidRPr="00E8062B">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7F52684F" w14:textId="77777777" w:rsidR="002360AA" w:rsidRDefault="002360AA" w:rsidP="002360AA">
            <w:pPr>
              <w:spacing w:after="0"/>
            </w:pPr>
            <w:r>
              <w:rPr>
                <w:rFonts w:cs="Times New Roman"/>
                <w:sz w:val="20"/>
              </w:rPr>
              <w:t>15</w:t>
            </w:r>
            <w:r w:rsidRPr="00E8062B">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1778952A" w14:textId="77777777" w:rsidR="002360AA" w:rsidRPr="00CB7CB6" w:rsidRDefault="002360AA" w:rsidP="002360AA">
            <w:pPr>
              <w:spacing w:after="0"/>
              <w:jc w:val="center"/>
              <w:rPr>
                <w:rFonts w:cs="Times New Roman"/>
                <w:sz w:val="20"/>
              </w:rPr>
            </w:pPr>
            <w:r w:rsidRPr="00CB7CB6">
              <w:rPr>
                <w:rFonts w:cs="Times New Roman"/>
                <w:sz w:val="20"/>
              </w:rPr>
              <w:t>73.2%</w:t>
            </w:r>
          </w:p>
        </w:tc>
      </w:tr>
      <w:tr w:rsidR="002360AA" w:rsidRPr="00E32F97" w14:paraId="6195EBB4"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273F554" w14:textId="77777777" w:rsidR="002360AA" w:rsidRPr="00EA64EE" w:rsidRDefault="002360AA" w:rsidP="002360AA">
            <w:pPr>
              <w:spacing w:after="0"/>
              <w:rPr>
                <w:rFonts w:cs="Times New Roman"/>
                <w:sz w:val="20"/>
              </w:rPr>
            </w:pPr>
            <w:r w:rsidRPr="00EA64EE">
              <w:rPr>
                <w:rFonts w:cs="Times New Roman"/>
                <w:sz w:val="20"/>
              </w:rPr>
              <w:t>Use of CNS active drugs</w:t>
            </w:r>
            <w:r>
              <w:rPr>
                <w:rFonts w:cs="Times New Roman"/>
                <w:sz w:val="20"/>
              </w:rPr>
              <w:t>/prescribed medication</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5977DA5" w14:textId="77777777" w:rsidR="002360AA" w:rsidRDefault="002360AA" w:rsidP="002360AA">
            <w:pPr>
              <w:spacing w:after="0"/>
            </w:pPr>
            <w:r>
              <w:rPr>
                <w:rFonts w:cs="Times New Roman"/>
                <w:sz w:val="20"/>
              </w:rPr>
              <w:t>9</w:t>
            </w:r>
            <w:r w:rsidRPr="00E8062B">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6FBBEC85" w14:textId="77777777" w:rsidR="002360AA" w:rsidRDefault="002360AA" w:rsidP="002360AA">
            <w:pPr>
              <w:spacing w:after="0"/>
            </w:pPr>
            <w:r>
              <w:rPr>
                <w:rFonts w:cs="Times New Roman"/>
                <w:sz w:val="20"/>
              </w:rPr>
              <w:t>2</w:t>
            </w:r>
            <w:r w:rsidRPr="00E8062B">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176D9265" w14:textId="77777777" w:rsidR="002360AA" w:rsidRPr="00CB7CB6" w:rsidRDefault="002360AA" w:rsidP="002360AA">
            <w:pPr>
              <w:spacing w:after="0"/>
              <w:jc w:val="center"/>
              <w:rPr>
                <w:rFonts w:cs="Times New Roman"/>
                <w:sz w:val="20"/>
              </w:rPr>
            </w:pPr>
            <w:r w:rsidRPr="00CB7CB6">
              <w:rPr>
                <w:rFonts w:cs="Times New Roman"/>
                <w:sz w:val="20"/>
              </w:rPr>
              <w:t>19.6%</w:t>
            </w:r>
          </w:p>
        </w:tc>
      </w:tr>
      <w:tr w:rsidR="002360AA" w:rsidRPr="00E32F97" w14:paraId="3E6B743B"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804F60" w14:textId="77777777" w:rsidR="002360AA" w:rsidRPr="00EA64EE" w:rsidRDefault="002360AA" w:rsidP="002360AA">
            <w:pPr>
              <w:spacing w:after="0"/>
              <w:rPr>
                <w:rFonts w:cs="Times New Roman"/>
                <w:sz w:val="20"/>
              </w:rPr>
            </w:pPr>
            <w:r w:rsidRPr="00EA64EE">
              <w:rPr>
                <w:rFonts w:cs="Times New Roman"/>
                <w:sz w:val="20"/>
              </w:rPr>
              <w:t>Presence of neurological/psychiatric disorders when</w:t>
            </w:r>
          </w:p>
          <w:p w14:paraId="087200CD" w14:textId="77777777" w:rsidR="002360AA" w:rsidRPr="00EA64EE" w:rsidRDefault="002360AA" w:rsidP="002360AA">
            <w:pPr>
              <w:spacing w:after="0"/>
              <w:rPr>
                <w:rFonts w:cs="Times New Roman"/>
                <w:sz w:val="20"/>
              </w:rPr>
            </w:pPr>
            <w:r>
              <w:rPr>
                <w:rFonts w:cs="Times New Roman"/>
                <w:sz w:val="20"/>
              </w:rPr>
              <w:t xml:space="preserve">    </w:t>
            </w:r>
            <w:r w:rsidRPr="00EA64EE">
              <w:rPr>
                <w:rFonts w:cs="Times New Roman"/>
                <w:sz w:val="20"/>
              </w:rPr>
              <w:t>studying healthy subjects</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89573AB" w14:textId="77777777" w:rsidR="002360AA" w:rsidRDefault="002360AA" w:rsidP="002360AA">
            <w:pPr>
              <w:spacing w:after="0"/>
            </w:pPr>
            <w:r>
              <w:rPr>
                <w:rFonts w:cs="Times New Roman"/>
                <w:sz w:val="20"/>
              </w:rPr>
              <w:t>13</w:t>
            </w:r>
            <w:r w:rsidRPr="00E8062B">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38832DA1" w14:textId="77777777" w:rsidR="002360AA" w:rsidRDefault="002360AA" w:rsidP="002360AA">
            <w:pPr>
              <w:spacing w:after="0"/>
            </w:pPr>
            <w:r>
              <w:rPr>
                <w:rFonts w:cs="Times New Roman"/>
                <w:sz w:val="20"/>
              </w:rPr>
              <w:t>2</w:t>
            </w:r>
            <w:r w:rsidRPr="00E8062B">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1B7A5068" w14:textId="77777777" w:rsidR="002360AA" w:rsidRPr="00CB7CB6" w:rsidRDefault="002360AA" w:rsidP="002360AA">
            <w:pPr>
              <w:spacing w:after="0"/>
              <w:jc w:val="center"/>
              <w:rPr>
                <w:rFonts w:cs="Times New Roman"/>
                <w:sz w:val="20"/>
              </w:rPr>
            </w:pPr>
            <w:r w:rsidRPr="00CB7CB6">
              <w:rPr>
                <w:rFonts w:cs="Times New Roman"/>
                <w:sz w:val="20"/>
              </w:rPr>
              <w:t>26.8%</w:t>
            </w:r>
          </w:p>
        </w:tc>
      </w:tr>
      <w:tr w:rsidR="002360AA" w:rsidRPr="00E32F97" w14:paraId="38F4256D"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B56DC17" w14:textId="77777777" w:rsidR="002360AA" w:rsidRPr="00EA64EE" w:rsidRDefault="002360AA" w:rsidP="002360AA">
            <w:pPr>
              <w:spacing w:after="0"/>
              <w:rPr>
                <w:rFonts w:cs="Times New Roman"/>
                <w:sz w:val="20"/>
              </w:rPr>
            </w:pPr>
            <w:r w:rsidRPr="00EA64EE">
              <w:rPr>
                <w:rFonts w:cs="Times New Roman"/>
                <w:sz w:val="20"/>
              </w:rPr>
              <w:t>Any medical condition</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E464456" w14:textId="77777777" w:rsidR="002360AA" w:rsidRDefault="002360AA" w:rsidP="002360AA">
            <w:pPr>
              <w:spacing w:after="0"/>
            </w:pPr>
            <w:r>
              <w:rPr>
                <w:rFonts w:cs="Times New Roman"/>
                <w:sz w:val="20"/>
              </w:rPr>
              <w:t>5</w:t>
            </w:r>
            <w:r w:rsidRPr="00E8062B">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38B852E3" w14:textId="77777777" w:rsidR="002360AA" w:rsidRDefault="002360AA" w:rsidP="002360AA">
            <w:pPr>
              <w:spacing w:after="0"/>
            </w:pPr>
            <w:r>
              <w:rPr>
                <w:rFonts w:cs="Times New Roman"/>
                <w:sz w:val="20"/>
              </w:rPr>
              <w:t>2</w:t>
            </w:r>
            <w:r w:rsidRPr="00E8062B">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1250986C" w14:textId="77777777" w:rsidR="002360AA" w:rsidRPr="00CB7CB6" w:rsidRDefault="002360AA" w:rsidP="002360AA">
            <w:pPr>
              <w:spacing w:after="0"/>
              <w:jc w:val="center"/>
              <w:rPr>
                <w:rFonts w:cs="Times New Roman"/>
                <w:sz w:val="20"/>
              </w:rPr>
            </w:pPr>
            <w:r w:rsidRPr="00CB7CB6">
              <w:rPr>
                <w:rFonts w:cs="Times New Roman"/>
                <w:sz w:val="20"/>
              </w:rPr>
              <w:t>12.5%</w:t>
            </w:r>
          </w:p>
        </w:tc>
      </w:tr>
      <w:tr w:rsidR="002360AA" w:rsidRPr="00E32F97" w14:paraId="29C9B71F"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94C974D" w14:textId="77777777" w:rsidR="002360AA" w:rsidRPr="00EA64EE" w:rsidRDefault="002360AA" w:rsidP="002360AA">
            <w:pPr>
              <w:spacing w:after="0"/>
              <w:rPr>
                <w:rFonts w:cs="Times New Roman"/>
                <w:sz w:val="20"/>
              </w:rPr>
            </w:pPr>
            <w:r w:rsidRPr="00EA64EE">
              <w:rPr>
                <w:rFonts w:cs="Times New Roman"/>
                <w:sz w:val="20"/>
              </w:rPr>
              <w:t>History of specific repetitive motor activity</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A550A23" w14:textId="77777777" w:rsidR="002360AA" w:rsidRDefault="002360AA" w:rsidP="002360AA">
            <w:pPr>
              <w:spacing w:after="0"/>
            </w:pPr>
            <w:r>
              <w:rPr>
                <w:rFonts w:cs="Times New Roman"/>
                <w:sz w:val="20"/>
              </w:rPr>
              <w:t>2</w:t>
            </w:r>
            <w:r w:rsidRPr="00E8062B">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0B72BE27" w14:textId="77777777" w:rsidR="002360AA" w:rsidRDefault="002360AA" w:rsidP="002360AA">
            <w:pPr>
              <w:spacing w:after="0"/>
            </w:pPr>
            <w:r>
              <w:rPr>
                <w:rFonts w:cs="Times New Roman"/>
                <w:sz w:val="20"/>
              </w:rPr>
              <w:t>0</w:t>
            </w:r>
            <w:r w:rsidRPr="00E8062B">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4BF5A50D" w14:textId="77777777" w:rsidR="002360AA" w:rsidRPr="00CB7CB6" w:rsidRDefault="002360AA" w:rsidP="002360AA">
            <w:pPr>
              <w:spacing w:after="0"/>
              <w:jc w:val="center"/>
              <w:rPr>
                <w:rFonts w:cs="Times New Roman"/>
                <w:sz w:val="20"/>
              </w:rPr>
            </w:pPr>
            <w:r w:rsidRPr="00CB7CB6">
              <w:rPr>
                <w:rFonts w:cs="Times New Roman"/>
                <w:sz w:val="20"/>
              </w:rPr>
              <w:t>3.6%</w:t>
            </w:r>
          </w:p>
        </w:tc>
      </w:tr>
      <w:tr w:rsidR="002360AA" w:rsidRPr="00E32F97" w14:paraId="48F62057" w14:textId="77777777" w:rsidTr="002E3FFE">
        <w:trPr>
          <w:trHeight w:val="283"/>
        </w:trPr>
        <w:tc>
          <w:tcPr>
            <w:tcW w:w="899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3A82DA1B" w14:textId="77777777" w:rsidR="002360AA" w:rsidRPr="00FE5BF8" w:rsidRDefault="002360AA" w:rsidP="002360AA">
            <w:pPr>
              <w:spacing w:after="0"/>
              <w:rPr>
                <w:rFonts w:cs="Times New Roman"/>
                <w:sz w:val="20"/>
              </w:rPr>
            </w:pPr>
            <w:r w:rsidRPr="00FE5BF8">
              <w:rPr>
                <w:rFonts w:cs="Times New Roman"/>
                <w:b/>
                <w:sz w:val="20"/>
              </w:rPr>
              <w:t>Methodological factors</w:t>
            </w:r>
          </w:p>
        </w:tc>
      </w:tr>
      <w:tr w:rsidR="002360AA" w:rsidRPr="00E32F97" w14:paraId="29B812D5"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437DFA" w14:textId="77777777" w:rsidR="002360AA" w:rsidRPr="00EA64EE" w:rsidRDefault="002360AA" w:rsidP="002360AA">
            <w:pPr>
              <w:spacing w:after="0"/>
              <w:rPr>
                <w:rFonts w:cs="Times New Roman"/>
                <w:sz w:val="20"/>
              </w:rPr>
            </w:pPr>
            <w:r w:rsidRPr="00EA64EE">
              <w:rPr>
                <w:rFonts w:cs="Times New Roman"/>
                <w:sz w:val="20"/>
              </w:rPr>
              <w:t>Position and contact of EMG electrodes</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944A787" w14:textId="77777777" w:rsidR="002360AA" w:rsidRDefault="002360AA" w:rsidP="002360AA">
            <w:pPr>
              <w:spacing w:after="0"/>
            </w:pPr>
            <w:r>
              <w:rPr>
                <w:rFonts w:cs="Times New Roman"/>
                <w:sz w:val="20"/>
              </w:rPr>
              <w:t>22</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49DBB95D" w14:textId="77777777" w:rsidR="002360AA" w:rsidRDefault="002360AA" w:rsidP="002360AA">
            <w:pPr>
              <w:spacing w:after="0"/>
            </w:pPr>
            <w:r>
              <w:rPr>
                <w:rFonts w:cs="Times New Roman"/>
                <w:sz w:val="20"/>
              </w:rPr>
              <w:t>6</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0D62FE07" w14:textId="77777777" w:rsidR="002360AA" w:rsidRPr="00CB7CB6" w:rsidRDefault="002360AA" w:rsidP="002360AA">
            <w:pPr>
              <w:spacing w:after="0"/>
              <w:jc w:val="center"/>
              <w:rPr>
                <w:rFonts w:cs="Times New Roman"/>
                <w:sz w:val="20"/>
              </w:rPr>
            </w:pPr>
            <w:r w:rsidRPr="00CB7CB6">
              <w:rPr>
                <w:rFonts w:cs="Times New Roman"/>
                <w:sz w:val="20"/>
              </w:rPr>
              <w:t>50.0%</w:t>
            </w:r>
          </w:p>
        </w:tc>
      </w:tr>
      <w:tr w:rsidR="002360AA" w:rsidRPr="00E32F97" w14:paraId="59D9E4A2"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5B74960" w14:textId="77777777" w:rsidR="002360AA" w:rsidRPr="00EA64EE" w:rsidRDefault="002360AA" w:rsidP="002360AA">
            <w:pPr>
              <w:spacing w:after="0"/>
              <w:rPr>
                <w:rFonts w:cs="Times New Roman"/>
                <w:sz w:val="20"/>
              </w:rPr>
            </w:pPr>
            <w:r w:rsidRPr="00EA64EE">
              <w:rPr>
                <w:rFonts w:cs="Times New Roman"/>
                <w:sz w:val="20"/>
              </w:rPr>
              <w:t>Amount of relaxation/contraction of target muscles</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386B31B" w14:textId="77777777" w:rsidR="002360AA" w:rsidRDefault="002360AA" w:rsidP="002360AA">
            <w:pPr>
              <w:spacing w:after="0"/>
            </w:pPr>
            <w:r>
              <w:rPr>
                <w:rFonts w:cs="Times New Roman"/>
                <w:sz w:val="20"/>
              </w:rPr>
              <w:t>16</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5191D45F" w14:textId="77777777" w:rsidR="002360AA" w:rsidRDefault="002360AA" w:rsidP="002360AA">
            <w:pPr>
              <w:spacing w:after="0"/>
            </w:pPr>
            <w:r>
              <w:rPr>
                <w:rFonts w:cs="Times New Roman"/>
                <w:sz w:val="20"/>
              </w:rPr>
              <w:t>9</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628D17E0" w14:textId="77777777" w:rsidR="002360AA" w:rsidRPr="00CB7CB6" w:rsidRDefault="002360AA" w:rsidP="002360AA">
            <w:pPr>
              <w:spacing w:after="0"/>
              <w:jc w:val="center"/>
              <w:rPr>
                <w:rFonts w:cs="Times New Roman"/>
                <w:sz w:val="20"/>
              </w:rPr>
            </w:pPr>
            <w:r w:rsidRPr="00CB7CB6">
              <w:rPr>
                <w:rFonts w:cs="Times New Roman"/>
                <w:sz w:val="20"/>
              </w:rPr>
              <w:t>44.6%</w:t>
            </w:r>
          </w:p>
        </w:tc>
      </w:tr>
      <w:tr w:rsidR="002360AA" w:rsidRPr="00E32F97" w14:paraId="7C190CF0"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7250926" w14:textId="77777777" w:rsidR="002360AA" w:rsidRPr="00EA64EE" w:rsidRDefault="002360AA" w:rsidP="002360AA">
            <w:pPr>
              <w:spacing w:after="0"/>
              <w:rPr>
                <w:rFonts w:cs="Times New Roman"/>
                <w:sz w:val="20"/>
              </w:rPr>
            </w:pPr>
            <w:r w:rsidRPr="00EA64EE">
              <w:rPr>
                <w:rFonts w:cs="Times New Roman"/>
                <w:sz w:val="20"/>
              </w:rPr>
              <w:t>Prior motor activity of the muscle to be tested</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2DCB8AC" w14:textId="77777777" w:rsidR="002360AA" w:rsidRDefault="002360AA" w:rsidP="002360AA">
            <w:pPr>
              <w:spacing w:after="0"/>
            </w:pPr>
            <w:r>
              <w:rPr>
                <w:rFonts w:cs="Times New Roman"/>
                <w:sz w:val="20"/>
              </w:rPr>
              <w:t>10</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68A544FF" w14:textId="77777777" w:rsidR="002360AA" w:rsidRDefault="002360AA" w:rsidP="002360AA">
            <w:pPr>
              <w:spacing w:after="0"/>
            </w:pPr>
            <w:r>
              <w:rPr>
                <w:rFonts w:cs="Times New Roman"/>
                <w:sz w:val="20"/>
              </w:rPr>
              <w:t>10</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2754D26B" w14:textId="77777777" w:rsidR="002360AA" w:rsidRPr="00CB7CB6" w:rsidRDefault="002360AA" w:rsidP="002360AA">
            <w:pPr>
              <w:spacing w:after="0"/>
              <w:jc w:val="center"/>
              <w:rPr>
                <w:rFonts w:cs="Times New Roman"/>
                <w:sz w:val="20"/>
              </w:rPr>
            </w:pPr>
            <w:r w:rsidRPr="00CB7CB6">
              <w:rPr>
                <w:rFonts w:cs="Times New Roman"/>
                <w:sz w:val="20"/>
              </w:rPr>
              <w:t>35.7%</w:t>
            </w:r>
          </w:p>
        </w:tc>
      </w:tr>
      <w:tr w:rsidR="002360AA" w:rsidRPr="00E32F97" w14:paraId="746DD192"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8124A9F" w14:textId="77777777" w:rsidR="002360AA" w:rsidRPr="00EA64EE" w:rsidRDefault="002360AA" w:rsidP="002360AA">
            <w:pPr>
              <w:spacing w:after="0"/>
              <w:rPr>
                <w:rFonts w:cs="Times New Roman"/>
                <w:sz w:val="20"/>
              </w:rPr>
            </w:pPr>
            <w:r w:rsidRPr="00EA64EE">
              <w:rPr>
                <w:rFonts w:cs="Times New Roman"/>
                <w:sz w:val="20"/>
              </w:rPr>
              <w:t>Level of relaxation of muscles other than those being tested</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0C5A448" w14:textId="77777777" w:rsidR="002360AA" w:rsidRDefault="002360AA" w:rsidP="002360AA">
            <w:pPr>
              <w:spacing w:after="0"/>
            </w:pPr>
            <w:r>
              <w:rPr>
                <w:rFonts w:cs="Times New Roman"/>
                <w:sz w:val="20"/>
              </w:rPr>
              <w:t>1</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593C34EC" w14:textId="77777777" w:rsidR="002360AA" w:rsidRDefault="002360AA" w:rsidP="002360AA">
            <w:pPr>
              <w:spacing w:after="0"/>
            </w:pPr>
            <w:r>
              <w:rPr>
                <w:rFonts w:cs="Times New Roman"/>
                <w:sz w:val="20"/>
              </w:rPr>
              <w:t>0</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75C7289C" w14:textId="77777777" w:rsidR="002360AA" w:rsidRPr="00CB7CB6" w:rsidRDefault="002360AA" w:rsidP="002360AA">
            <w:pPr>
              <w:spacing w:after="0"/>
              <w:jc w:val="center"/>
              <w:rPr>
                <w:rFonts w:cs="Times New Roman"/>
                <w:sz w:val="20"/>
              </w:rPr>
            </w:pPr>
            <w:r w:rsidRPr="00CB7CB6">
              <w:rPr>
                <w:rFonts w:cs="Times New Roman"/>
                <w:sz w:val="20"/>
              </w:rPr>
              <w:t>1.8%</w:t>
            </w:r>
          </w:p>
        </w:tc>
      </w:tr>
      <w:tr w:rsidR="002360AA" w:rsidRPr="00E32F97" w14:paraId="157214AF"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40DB345" w14:textId="77777777" w:rsidR="002360AA" w:rsidRPr="00EA64EE" w:rsidRDefault="002360AA" w:rsidP="002360AA">
            <w:pPr>
              <w:spacing w:after="0"/>
              <w:rPr>
                <w:rFonts w:cs="Times New Roman"/>
                <w:sz w:val="20"/>
              </w:rPr>
            </w:pPr>
            <w:r w:rsidRPr="00EA64EE">
              <w:rPr>
                <w:rFonts w:cs="Times New Roman"/>
                <w:sz w:val="20"/>
              </w:rPr>
              <w:t>Coil type</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CA320D5" w14:textId="77777777" w:rsidR="002360AA" w:rsidRDefault="002360AA" w:rsidP="002360AA">
            <w:pPr>
              <w:spacing w:after="0"/>
            </w:pPr>
            <w:r>
              <w:rPr>
                <w:rFonts w:cs="Times New Roman"/>
                <w:sz w:val="20"/>
              </w:rPr>
              <w:t>25</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692F38C9" w14:textId="77777777" w:rsidR="002360AA" w:rsidRDefault="002360AA" w:rsidP="002360AA">
            <w:pPr>
              <w:spacing w:after="0"/>
            </w:pPr>
            <w:r>
              <w:rPr>
                <w:rFonts w:cs="Times New Roman"/>
                <w:sz w:val="20"/>
              </w:rPr>
              <w:t>1</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53A253B4" w14:textId="77777777" w:rsidR="002360AA" w:rsidRPr="00CB7CB6" w:rsidRDefault="002360AA" w:rsidP="002360AA">
            <w:pPr>
              <w:spacing w:after="0"/>
              <w:jc w:val="center"/>
              <w:rPr>
                <w:rFonts w:cs="Times New Roman"/>
                <w:sz w:val="20"/>
              </w:rPr>
            </w:pPr>
            <w:r w:rsidRPr="00CB7CB6">
              <w:rPr>
                <w:rFonts w:cs="Times New Roman"/>
                <w:sz w:val="20"/>
              </w:rPr>
              <w:t>46.4%</w:t>
            </w:r>
          </w:p>
        </w:tc>
      </w:tr>
      <w:tr w:rsidR="002360AA" w:rsidRPr="00E32F97" w14:paraId="4FC03399"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4902D74" w14:textId="77777777" w:rsidR="002360AA" w:rsidRPr="00EA64EE" w:rsidRDefault="002360AA" w:rsidP="002360AA">
            <w:pPr>
              <w:spacing w:after="0"/>
              <w:rPr>
                <w:rFonts w:cs="Times New Roman"/>
                <w:sz w:val="20"/>
              </w:rPr>
            </w:pPr>
            <w:r w:rsidRPr="00EA64EE">
              <w:rPr>
                <w:rFonts w:cs="Times New Roman"/>
                <w:sz w:val="20"/>
              </w:rPr>
              <w:t>Coil orientation</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A2C979A" w14:textId="77777777" w:rsidR="002360AA" w:rsidRDefault="002360AA" w:rsidP="002360AA">
            <w:pPr>
              <w:spacing w:after="0"/>
            </w:pPr>
            <w:r>
              <w:rPr>
                <w:rFonts w:cs="Times New Roman"/>
                <w:sz w:val="20"/>
              </w:rPr>
              <w:t>24</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5BC0CE54" w14:textId="77777777" w:rsidR="002360AA" w:rsidRDefault="002360AA" w:rsidP="002360AA">
            <w:pPr>
              <w:spacing w:after="0"/>
            </w:pPr>
            <w:r>
              <w:rPr>
                <w:rFonts w:cs="Times New Roman"/>
                <w:sz w:val="20"/>
              </w:rPr>
              <w:t>2</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0EB84F20" w14:textId="77777777" w:rsidR="002360AA" w:rsidRPr="00CB7CB6" w:rsidRDefault="002360AA" w:rsidP="002360AA">
            <w:pPr>
              <w:spacing w:after="0"/>
              <w:jc w:val="center"/>
              <w:rPr>
                <w:rFonts w:cs="Times New Roman"/>
                <w:sz w:val="20"/>
              </w:rPr>
            </w:pPr>
            <w:r w:rsidRPr="00CB7CB6">
              <w:rPr>
                <w:rFonts w:cs="Times New Roman"/>
                <w:sz w:val="20"/>
              </w:rPr>
              <w:t>46.4%</w:t>
            </w:r>
          </w:p>
        </w:tc>
      </w:tr>
      <w:tr w:rsidR="002360AA" w:rsidRPr="00E32F97" w14:paraId="26BEA935"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B885E88" w14:textId="77777777" w:rsidR="002360AA" w:rsidRPr="00EA64EE" w:rsidRDefault="002360AA" w:rsidP="002360AA">
            <w:pPr>
              <w:spacing w:after="0"/>
              <w:rPr>
                <w:rFonts w:cs="Times New Roman"/>
                <w:sz w:val="20"/>
              </w:rPr>
            </w:pPr>
            <w:r w:rsidRPr="00EA64EE">
              <w:rPr>
                <w:rFonts w:cs="Times New Roman"/>
                <w:sz w:val="20"/>
              </w:rPr>
              <w:t>Direction of induced current in the brain</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9F5B1A" w14:textId="77777777" w:rsidR="002360AA" w:rsidRDefault="002360AA" w:rsidP="002360AA">
            <w:pPr>
              <w:spacing w:after="0"/>
            </w:pPr>
            <w:r>
              <w:rPr>
                <w:rFonts w:cs="Times New Roman"/>
                <w:sz w:val="20"/>
              </w:rPr>
              <w:t>18</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5176CA2A" w14:textId="77777777" w:rsidR="002360AA" w:rsidRDefault="002360AA" w:rsidP="002360AA">
            <w:pPr>
              <w:spacing w:after="0"/>
            </w:pPr>
            <w:r>
              <w:rPr>
                <w:rFonts w:cs="Times New Roman"/>
                <w:sz w:val="20"/>
              </w:rPr>
              <w:t>2</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55367F4E" w14:textId="77777777" w:rsidR="002360AA" w:rsidRPr="00CB7CB6" w:rsidRDefault="002360AA" w:rsidP="002360AA">
            <w:pPr>
              <w:spacing w:after="0"/>
              <w:jc w:val="center"/>
              <w:rPr>
                <w:rFonts w:cs="Times New Roman"/>
                <w:sz w:val="20"/>
              </w:rPr>
            </w:pPr>
            <w:r w:rsidRPr="00CB7CB6">
              <w:rPr>
                <w:rFonts w:cs="Times New Roman"/>
                <w:sz w:val="20"/>
              </w:rPr>
              <w:t>35.7%</w:t>
            </w:r>
          </w:p>
        </w:tc>
      </w:tr>
      <w:tr w:rsidR="002360AA" w:rsidRPr="00E32F97" w14:paraId="6779799F"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B6E0FDF" w14:textId="77777777" w:rsidR="002360AA" w:rsidRPr="00EA64EE" w:rsidRDefault="002360AA" w:rsidP="002360AA">
            <w:pPr>
              <w:spacing w:after="0"/>
              <w:rPr>
                <w:rFonts w:cs="Times New Roman"/>
                <w:sz w:val="20"/>
              </w:rPr>
            </w:pPr>
            <w:r w:rsidRPr="00EA64EE">
              <w:rPr>
                <w:rFonts w:cs="Times New Roman"/>
                <w:sz w:val="20"/>
              </w:rPr>
              <w:t>Coil location and stability</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863D200" w14:textId="77777777" w:rsidR="002360AA" w:rsidRDefault="002360AA" w:rsidP="002360AA">
            <w:pPr>
              <w:spacing w:after="0"/>
            </w:pPr>
            <w:r>
              <w:rPr>
                <w:rFonts w:cs="Times New Roman"/>
                <w:sz w:val="20"/>
              </w:rPr>
              <w:t>27</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387C2ABC" w14:textId="77777777" w:rsidR="002360AA" w:rsidRDefault="002360AA" w:rsidP="002360AA">
            <w:pPr>
              <w:spacing w:after="0"/>
            </w:pPr>
            <w:r>
              <w:rPr>
                <w:rFonts w:cs="Times New Roman"/>
                <w:sz w:val="20"/>
              </w:rPr>
              <w:t>13</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0E8034E2" w14:textId="77777777" w:rsidR="002360AA" w:rsidRPr="00CB7CB6" w:rsidRDefault="002360AA" w:rsidP="002360AA">
            <w:pPr>
              <w:spacing w:after="0"/>
              <w:jc w:val="center"/>
              <w:rPr>
                <w:rFonts w:cs="Times New Roman"/>
                <w:sz w:val="20"/>
              </w:rPr>
            </w:pPr>
            <w:r w:rsidRPr="00CB7CB6">
              <w:rPr>
                <w:rFonts w:cs="Times New Roman"/>
                <w:sz w:val="20"/>
              </w:rPr>
              <w:t>71.4%</w:t>
            </w:r>
          </w:p>
        </w:tc>
      </w:tr>
      <w:tr w:rsidR="002360AA" w:rsidRPr="00E32F97" w14:paraId="1F509BF8"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A3BB974" w14:textId="77777777" w:rsidR="002360AA" w:rsidRPr="00EA64EE" w:rsidRDefault="002360AA" w:rsidP="002360AA">
            <w:pPr>
              <w:spacing w:after="0"/>
              <w:rPr>
                <w:rFonts w:cs="Times New Roman"/>
                <w:sz w:val="20"/>
              </w:rPr>
            </w:pPr>
            <w:r w:rsidRPr="00EA64EE">
              <w:rPr>
                <w:rFonts w:cs="Times New Roman"/>
                <w:sz w:val="20"/>
              </w:rPr>
              <w:t>Type of stimulator used</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046782D" w14:textId="77777777" w:rsidR="002360AA" w:rsidRDefault="002360AA" w:rsidP="002360AA">
            <w:pPr>
              <w:spacing w:after="0"/>
            </w:pPr>
            <w:r>
              <w:rPr>
                <w:rFonts w:cs="Times New Roman"/>
                <w:sz w:val="20"/>
              </w:rPr>
              <w:t>25</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4A7D1271" w14:textId="77777777" w:rsidR="002360AA" w:rsidRDefault="002360AA" w:rsidP="002360AA">
            <w:pPr>
              <w:spacing w:after="0"/>
            </w:pPr>
            <w:r>
              <w:rPr>
                <w:rFonts w:cs="Times New Roman"/>
                <w:sz w:val="20"/>
              </w:rPr>
              <w:t>2</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3B394674" w14:textId="77777777" w:rsidR="002360AA" w:rsidRPr="00CB7CB6" w:rsidRDefault="002360AA" w:rsidP="002360AA">
            <w:pPr>
              <w:spacing w:after="0"/>
              <w:jc w:val="center"/>
              <w:rPr>
                <w:rFonts w:cs="Times New Roman"/>
                <w:sz w:val="20"/>
              </w:rPr>
            </w:pPr>
            <w:r w:rsidRPr="00CB7CB6">
              <w:rPr>
                <w:rFonts w:cs="Times New Roman"/>
                <w:sz w:val="20"/>
              </w:rPr>
              <w:t>48.2%</w:t>
            </w:r>
          </w:p>
        </w:tc>
      </w:tr>
      <w:tr w:rsidR="002360AA" w:rsidRPr="00E32F97" w14:paraId="55519ACD"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27C4C09" w14:textId="77777777" w:rsidR="002360AA" w:rsidRPr="00EA64EE" w:rsidRDefault="002360AA" w:rsidP="002360AA">
            <w:pPr>
              <w:spacing w:after="0"/>
              <w:rPr>
                <w:rFonts w:cs="Times New Roman"/>
                <w:sz w:val="20"/>
              </w:rPr>
            </w:pPr>
            <w:r w:rsidRPr="00EA64EE">
              <w:rPr>
                <w:rFonts w:cs="Times New Roman"/>
                <w:sz w:val="20"/>
              </w:rPr>
              <w:t>Stimulation intensity</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57DF865" w14:textId="77777777" w:rsidR="002360AA" w:rsidRDefault="002360AA" w:rsidP="002360AA">
            <w:pPr>
              <w:spacing w:after="0"/>
            </w:pPr>
            <w:r>
              <w:rPr>
                <w:rFonts w:cs="Times New Roman"/>
                <w:sz w:val="20"/>
              </w:rPr>
              <w:t>28</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6CAF0FBC" w14:textId="77777777" w:rsidR="002360AA" w:rsidRDefault="002360AA" w:rsidP="002360AA">
            <w:pPr>
              <w:spacing w:after="0"/>
            </w:pPr>
            <w:r>
              <w:rPr>
                <w:rFonts w:cs="Times New Roman"/>
                <w:sz w:val="20"/>
              </w:rPr>
              <w:t>16</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12FB7F5C" w14:textId="77777777" w:rsidR="002360AA" w:rsidRPr="00CB7CB6" w:rsidRDefault="002360AA" w:rsidP="002360AA">
            <w:pPr>
              <w:spacing w:after="0"/>
              <w:jc w:val="center"/>
              <w:rPr>
                <w:rFonts w:cs="Times New Roman"/>
                <w:sz w:val="20"/>
              </w:rPr>
            </w:pPr>
            <w:r w:rsidRPr="00CB7CB6">
              <w:rPr>
                <w:rFonts w:cs="Times New Roman"/>
                <w:sz w:val="20"/>
              </w:rPr>
              <w:t>78.6%</w:t>
            </w:r>
          </w:p>
        </w:tc>
      </w:tr>
      <w:tr w:rsidR="002360AA" w:rsidRPr="00E32F97" w14:paraId="24841F60"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AC9506" w14:textId="77777777" w:rsidR="002360AA" w:rsidRPr="00EA64EE" w:rsidRDefault="002360AA" w:rsidP="002360AA">
            <w:pPr>
              <w:spacing w:after="0"/>
              <w:rPr>
                <w:rFonts w:cs="Times New Roman"/>
                <w:sz w:val="20"/>
              </w:rPr>
            </w:pPr>
            <w:r w:rsidRPr="00EA64EE">
              <w:rPr>
                <w:rFonts w:cs="Times New Roman"/>
                <w:sz w:val="20"/>
              </w:rPr>
              <w:t>Pulse shape (monophasic/biphasic)</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5DDC5E6" w14:textId="77777777" w:rsidR="002360AA" w:rsidRDefault="002360AA" w:rsidP="002360AA">
            <w:pPr>
              <w:spacing w:after="0"/>
            </w:pPr>
            <w:r>
              <w:rPr>
                <w:rFonts w:cs="Times New Roman"/>
                <w:sz w:val="20"/>
              </w:rPr>
              <w:t>11</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77FDBD4D" w14:textId="77777777" w:rsidR="002360AA" w:rsidRDefault="002360AA" w:rsidP="002360AA">
            <w:pPr>
              <w:spacing w:after="0"/>
            </w:pPr>
            <w:r>
              <w:rPr>
                <w:rFonts w:cs="Times New Roman"/>
                <w:sz w:val="20"/>
              </w:rPr>
              <w:t>2</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5C542E61" w14:textId="77777777" w:rsidR="002360AA" w:rsidRPr="00CB7CB6" w:rsidRDefault="002360AA" w:rsidP="002360AA">
            <w:pPr>
              <w:spacing w:after="0"/>
              <w:jc w:val="center"/>
              <w:rPr>
                <w:rFonts w:cs="Times New Roman"/>
                <w:sz w:val="20"/>
              </w:rPr>
            </w:pPr>
            <w:r w:rsidRPr="00CB7CB6">
              <w:rPr>
                <w:rFonts w:cs="Times New Roman"/>
                <w:sz w:val="20"/>
              </w:rPr>
              <w:t>23.2%</w:t>
            </w:r>
          </w:p>
        </w:tc>
      </w:tr>
      <w:tr w:rsidR="002360AA" w:rsidRPr="00E32F97" w14:paraId="7D7E3A8C"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BB45B12" w14:textId="77777777" w:rsidR="002360AA" w:rsidRPr="00FE5BF8" w:rsidRDefault="002360AA" w:rsidP="002360AA">
            <w:pPr>
              <w:spacing w:after="0"/>
              <w:rPr>
                <w:rFonts w:cs="Times New Roman"/>
                <w:sz w:val="20"/>
              </w:rPr>
            </w:pPr>
            <w:r w:rsidRPr="00FE5BF8">
              <w:rPr>
                <w:rFonts w:cs="Times New Roman"/>
                <w:sz w:val="20"/>
              </w:rPr>
              <w:t>Determination of optimal hotspot</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116C064" w14:textId="77777777" w:rsidR="002360AA" w:rsidRDefault="002360AA" w:rsidP="002360AA">
            <w:pPr>
              <w:spacing w:after="0"/>
            </w:pPr>
            <w:r>
              <w:rPr>
                <w:rFonts w:cs="Times New Roman"/>
                <w:sz w:val="20"/>
              </w:rPr>
              <w:t>21</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70DFAA18" w14:textId="77777777" w:rsidR="002360AA" w:rsidRDefault="002360AA" w:rsidP="002360AA">
            <w:pPr>
              <w:spacing w:after="0"/>
            </w:pPr>
            <w:r>
              <w:rPr>
                <w:rFonts w:cs="Times New Roman"/>
                <w:sz w:val="20"/>
              </w:rPr>
              <w:t>9</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4F8D5EE4" w14:textId="77777777" w:rsidR="002360AA" w:rsidRPr="00CB7CB6" w:rsidRDefault="002360AA" w:rsidP="002360AA">
            <w:pPr>
              <w:spacing w:after="0"/>
              <w:jc w:val="center"/>
              <w:rPr>
                <w:rFonts w:cs="Times New Roman"/>
                <w:sz w:val="20"/>
              </w:rPr>
            </w:pPr>
            <w:r w:rsidRPr="00CB7CB6">
              <w:rPr>
                <w:rFonts w:cs="Times New Roman"/>
                <w:sz w:val="20"/>
              </w:rPr>
              <w:t>53.6%</w:t>
            </w:r>
          </w:p>
        </w:tc>
      </w:tr>
      <w:tr w:rsidR="002360AA" w:rsidRPr="00E32F97" w14:paraId="074792C8"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E991860" w14:textId="77777777" w:rsidR="002360AA" w:rsidRPr="00EA64EE" w:rsidRDefault="002360AA" w:rsidP="002360AA">
            <w:pPr>
              <w:spacing w:after="0"/>
              <w:rPr>
                <w:rFonts w:cs="Times New Roman"/>
                <w:sz w:val="20"/>
              </w:rPr>
            </w:pPr>
            <w:r w:rsidRPr="00EA64EE">
              <w:rPr>
                <w:rFonts w:cs="Times New Roman"/>
                <w:sz w:val="20"/>
              </w:rPr>
              <w:t>Time between MEP trials</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248FD1C" w14:textId="77777777" w:rsidR="002360AA" w:rsidRDefault="002360AA" w:rsidP="002360AA">
            <w:pPr>
              <w:spacing w:after="0"/>
            </w:pPr>
            <w:r>
              <w:rPr>
                <w:rFonts w:cs="Times New Roman"/>
                <w:sz w:val="20"/>
              </w:rPr>
              <w:t>26</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4522D3BE" w14:textId="77777777" w:rsidR="002360AA" w:rsidRDefault="002360AA" w:rsidP="002360AA">
            <w:pPr>
              <w:spacing w:after="0"/>
            </w:pPr>
            <w:r>
              <w:rPr>
                <w:rFonts w:cs="Times New Roman"/>
                <w:sz w:val="20"/>
              </w:rPr>
              <w:t>17</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6421FF2F" w14:textId="77777777" w:rsidR="002360AA" w:rsidRPr="00CB7CB6" w:rsidRDefault="002360AA" w:rsidP="002360AA">
            <w:pPr>
              <w:spacing w:after="0"/>
              <w:jc w:val="center"/>
              <w:rPr>
                <w:rFonts w:cs="Times New Roman"/>
                <w:sz w:val="20"/>
              </w:rPr>
            </w:pPr>
            <w:r w:rsidRPr="00CB7CB6">
              <w:rPr>
                <w:rFonts w:cs="Times New Roman"/>
                <w:sz w:val="20"/>
              </w:rPr>
              <w:t>76.8%</w:t>
            </w:r>
          </w:p>
        </w:tc>
      </w:tr>
      <w:tr w:rsidR="002360AA" w:rsidRPr="00E32F97" w14:paraId="6F5C8612"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D6BAED" w14:textId="77777777" w:rsidR="002360AA" w:rsidRPr="00EA64EE" w:rsidRDefault="002360AA" w:rsidP="002360AA">
            <w:pPr>
              <w:spacing w:after="0"/>
              <w:rPr>
                <w:rFonts w:cs="Times New Roman"/>
                <w:sz w:val="20"/>
              </w:rPr>
            </w:pPr>
            <w:r w:rsidRPr="00EA64EE">
              <w:rPr>
                <w:rFonts w:cs="Times New Roman"/>
                <w:sz w:val="20"/>
              </w:rPr>
              <w:t>Time between days of testing</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BCDFFBF" w14:textId="77777777" w:rsidR="002360AA" w:rsidRDefault="002360AA" w:rsidP="002360AA">
            <w:pPr>
              <w:spacing w:after="0"/>
            </w:pPr>
            <w:r>
              <w:rPr>
                <w:rFonts w:cs="Times New Roman"/>
                <w:sz w:val="20"/>
              </w:rPr>
              <w:t>21</w:t>
            </w:r>
            <w:r w:rsidRPr="00077CD1">
              <w:rPr>
                <w:rFonts w:cs="Times New Roman"/>
                <w:sz w:val="20"/>
              </w:rPr>
              <w:t>/2</w:t>
            </w:r>
            <w:r>
              <w:rPr>
                <w:rFonts w:cs="Times New Roman"/>
                <w:sz w:val="20"/>
              </w:rPr>
              <w:t>1</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38D92093" w14:textId="77777777" w:rsidR="002360AA" w:rsidRDefault="002360AA" w:rsidP="002360AA">
            <w:pPr>
              <w:spacing w:after="0"/>
            </w:pPr>
            <w:r>
              <w:rPr>
                <w:rFonts w:cs="Times New Roman"/>
                <w:sz w:val="20"/>
              </w:rPr>
              <w:t>11</w:t>
            </w:r>
            <w:r w:rsidRPr="00077CD1">
              <w:rPr>
                <w:rFonts w:cs="Times New Roman"/>
                <w:sz w:val="20"/>
              </w:rPr>
              <w:t>/2</w:t>
            </w:r>
            <w:r>
              <w:rPr>
                <w:rFonts w:cs="Times New Roman"/>
                <w:sz w:val="20"/>
              </w:rPr>
              <w:t>1</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7CC3673D" w14:textId="77777777" w:rsidR="002360AA" w:rsidRPr="00CB7CB6" w:rsidRDefault="002360AA" w:rsidP="002360AA">
            <w:pPr>
              <w:spacing w:after="0"/>
              <w:jc w:val="center"/>
              <w:rPr>
                <w:rFonts w:cs="Times New Roman"/>
                <w:sz w:val="20"/>
              </w:rPr>
            </w:pPr>
            <w:r w:rsidRPr="00CB7CB6">
              <w:rPr>
                <w:rFonts w:cs="Times New Roman"/>
                <w:sz w:val="20"/>
              </w:rPr>
              <w:t>76.2%</w:t>
            </w:r>
          </w:p>
        </w:tc>
      </w:tr>
      <w:tr w:rsidR="002360AA" w:rsidRPr="00E32F97" w14:paraId="75F57904"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B904491" w14:textId="77777777" w:rsidR="002360AA" w:rsidRPr="00EA64EE" w:rsidRDefault="002360AA" w:rsidP="002360AA">
            <w:pPr>
              <w:spacing w:after="0"/>
              <w:rPr>
                <w:rFonts w:cs="Times New Roman"/>
                <w:sz w:val="20"/>
              </w:rPr>
            </w:pPr>
            <w:r w:rsidRPr="00EA64EE">
              <w:rPr>
                <w:rFonts w:cs="Times New Roman"/>
                <w:sz w:val="20"/>
              </w:rPr>
              <w:t>Subject attention (level of arousal) during testing</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8A35B65" w14:textId="77777777" w:rsidR="002360AA" w:rsidRDefault="002360AA" w:rsidP="002360AA">
            <w:pPr>
              <w:spacing w:after="0"/>
            </w:pPr>
            <w:r>
              <w:rPr>
                <w:rFonts w:cs="Times New Roman"/>
                <w:sz w:val="20"/>
              </w:rPr>
              <w:t>8</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2DF62109" w14:textId="77777777" w:rsidR="002360AA" w:rsidRDefault="002360AA" w:rsidP="002360AA">
            <w:pPr>
              <w:spacing w:after="0"/>
            </w:pPr>
            <w:r>
              <w:rPr>
                <w:rFonts w:cs="Times New Roman"/>
                <w:sz w:val="20"/>
              </w:rPr>
              <w:t>4</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565E2D1C" w14:textId="77777777" w:rsidR="002360AA" w:rsidRPr="00CB7CB6" w:rsidRDefault="002360AA" w:rsidP="002360AA">
            <w:pPr>
              <w:spacing w:after="0"/>
              <w:jc w:val="center"/>
              <w:rPr>
                <w:rFonts w:cs="Times New Roman"/>
                <w:sz w:val="20"/>
              </w:rPr>
            </w:pPr>
            <w:r w:rsidRPr="00CB7CB6">
              <w:rPr>
                <w:rFonts w:cs="Times New Roman"/>
                <w:sz w:val="20"/>
              </w:rPr>
              <w:t>21.4%</w:t>
            </w:r>
          </w:p>
        </w:tc>
      </w:tr>
      <w:tr w:rsidR="002360AA" w:rsidRPr="00E32F97" w14:paraId="38B6C501"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530733B" w14:textId="77777777" w:rsidR="002360AA" w:rsidRPr="00EA64EE" w:rsidRDefault="002360AA" w:rsidP="002360AA">
            <w:pPr>
              <w:spacing w:after="0"/>
              <w:rPr>
                <w:rFonts w:cs="Times New Roman"/>
                <w:sz w:val="20"/>
              </w:rPr>
            </w:pPr>
            <w:r w:rsidRPr="00EA64EE">
              <w:rPr>
                <w:rFonts w:cs="Times New Roman"/>
                <w:sz w:val="20"/>
              </w:rPr>
              <w:t>Method for determining threshold</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EC1841D" w14:textId="77777777" w:rsidR="002360AA" w:rsidRDefault="002360AA" w:rsidP="002360AA">
            <w:pPr>
              <w:spacing w:after="0"/>
            </w:pPr>
            <w:r>
              <w:rPr>
                <w:rFonts w:cs="Times New Roman"/>
                <w:sz w:val="20"/>
              </w:rPr>
              <w:t>25</w:t>
            </w:r>
            <w:r w:rsidRPr="00077CD1">
              <w:rPr>
                <w:rFonts w:cs="Times New Roman"/>
                <w:sz w:val="20"/>
              </w:rPr>
              <w:t>/2</w:t>
            </w:r>
            <w:r>
              <w:rPr>
                <w:rFonts w:cs="Times New Roman"/>
                <w:sz w:val="20"/>
              </w:rPr>
              <w:t>6</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30F612AB" w14:textId="77777777" w:rsidR="002360AA" w:rsidRDefault="002360AA" w:rsidP="002360AA">
            <w:pPr>
              <w:spacing w:after="0"/>
            </w:pPr>
            <w:r>
              <w:rPr>
                <w:rFonts w:cs="Times New Roman"/>
                <w:sz w:val="20"/>
              </w:rPr>
              <w:t>4</w:t>
            </w:r>
            <w:r w:rsidRPr="00077CD1">
              <w:rPr>
                <w:rFonts w:cs="Times New Roman"/>
                <w:sz w:val="20"/>
              </w:rPr>
              <w:t>/2</w:t>
            </w:r>
            <w:r>
              <w:rPr>
                <w:rFonts w:cs="Times New Roman"/>
                <w:sz w:val="20"/>
              </w:rPr>
              <w:t>6</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6B37048F" w14:textId="77777777" w:rsidR="002360AA" w:rsidRPr="00CB7CB6" w:rsidRDefault="002360AA" w:rsidP="002360AA">
            <w:pPr>
              <w:spacing w:after="0"/>
              <w:jc w:val="center"/>
              <w:rPr>
                <w:rFonts w:cs="Times New Roman"/>
                <w:sz w:val="20"/>
              </w:rPr>
            </w:pPr>
            <w:r w:rsidRPr="00CB7CB6">
              <w:rPr>
                <w:rFonts w:cs="Times New Roman"/>
                <w:sz w:val="20"/>
              </w:rPr>
              <w:t>55.8%</w:t>
            </w:r>
          </w:p>
        </w:tc>
      </w:tr>
      <w:tr w:rsidR="002360AA" w:rsidRPr="00E32F97" w14:paraId="541FFB3E" w14:textId="77777777" w:rsidTr="002E3FFE">
        <w:trPr>
          <w:trHeight w:val="283"/>
        </w:trPr>
        <w:tc>
          <w:tcPr>
            <w:tcW w:w="557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6B0964C" w14:textId="77777777" w:rsidR="002360AA" w:rsidRPr="00EA64EE" w:rsidRDefault="002360AA" w:rsidP="002360AA">
            <w:pPr>
              <w:spacing w:after="0"/>
              <w:rPr>
                <w:rFonts w:cs="Times New Roman"/>
                <w:sz w:val="20"/>
              </w:rPr>
            </w:pPr>
            <w:r w:rsidRPr="00EA64EE">
              <w:rPr>
                <w:rFonts w:cs="Times New Roman"/>
                <w:sz w:val="20"/>
              </w:rPr>
              <w:t>Number of MEP measures made</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F82C0C5" w14:textId="77777777" w:rsidR="002360AA" w:rsidRDefault="002360AA" w:rsidP="002360AA">
            <w:pPr>
              <w:spacing w:after="0"/>
            </w:pPr>
            <w:r>
              <w:rPr>
                <w:rFonts w:cs="Times New Roman"/>
                <w:sz w:val="20"/>
              </w:rPr>
              <w:t>24</w:t>
            </w:r>
            <w:r w:rsidRPr="00077CD1">
              <w:rPr>
                <w:rFonts w:cs="Times New Roman"/>
                <w:sz w:val="20"/>
              </w:rPr>
              <w:t>/28</w:t>
            </w:r>
          </w:p>
        </w:tc>
        <w:tc>
          <w:tcPr>
            <w:tcW w:w="12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662A1344" w14:textId="77777777" w:rsidR="002360AA" w:rsidRDefault="002360AA" w:rsidP="002360AA">
            <w:pPr>
              <w:spacing w:after="0"/>
            </w:pPr>
            <w:r>
              <w:rPr>
                <w:rFonts w:cs="Times New Roman"/>
                <w:sz w:val="20"/>
              </w:rPr>
              <w:t>13</w:t>
            </w:r>
            <w:r w:rsidRPr="00077CD1">
              <w:rPr>
                <w:rFonts w:cs="Times New Roman"/>
                <w:sz w:val="20"/>
              </w:rPr>
              <w:t>/28</w:t>
            </w:r>
          </w:p>
        </w:tc>
        <w:tc>
          <w:tcPr>
            <w:tcW w:w="900" w:type="dxa"/>
            <w:tcBorders>
              <w:top w:val="single" w:sz="8" w:space="0" w:color="FFFFFF" w:themeColor="background1"/>
              <w:left w:val="single" w:sz="8" w:space="0" w:color="FFFFFF"/>
              <w:bottom w:val="single" w:sz="8" w:space="0" w:color="FFFFFF" w:themeColor="background1"/>
              <w:right w:val="single" w:sz="8" w:space="0" w:color="FFFFFF"/>
            </w:tcBorders>
          </w:tcPr>
          <w:p w14:paraId="7731FF67" w14:textId="77777777" w:rsidR="002360AA" w:rsidRPr="00CB7CB6" w:rsidRDefault="002360AA" w:rsidP="002360AA">
            <w:pPr>
              <w:spacing w:after="0"/>
              <w:jc w:val="center"/>
              <w:rPr>
                <w:rFonts w:cs="Times New Roman"/>
                <w:sz w:val="20"/>
              </w:rPr>
            </w:pPr>
            <w:r w:rsidRPr="00CB7CB6">
              <w:rPr>
                <w:rFonts w:cs="Times New Roman"/>
                <w:sz w:val="20"/>
              </w:rPr>
              <w:t>66.1%</w:t>
            </w:r>
          </w:p>
        </w:tc>
      </w:tr>
      <w:tr w:rsidR="002360AA" w:rsidRPr="00E32F97" w14:paraId="2A9560B3" w14:textId="77777777" w:rsidTr="002E3FFE">
        <w:trPr>
          <w:trHeight w:val="283"/>
        </w:trPr>
        <w:tc>
          <w:tcPr>
            <w:tcW w:w="8995"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cBorders>
          </w:tcPr>
          <w:p w14:paraId="69F657DB" w14:textId="77777777" w:rsidR="002360AA" w:rsidRPr="00FE5BF8" w:rsidRDefault="002360AA" w:rsidP="002360AA">
            <w:pPr>
              <w:spacing w:after="0"/>
              <w:rPr>
                <w:rFonts w:cs="Times New Roman"/>
                <w:sz w:val="20"/>
              </w:rPr>
            </w:pPr>
            <w:r w:rsidRPr="00FE5BF8">
              <w:rPr>
                <w:rFonts w:cs="Times New Roman"/>
                <w:b/>
                <w:sz w:val="20"/>
              </w:rPr>
              <w:t>Analytical factors</w:t>
            </w:r>
          </w:p>
        </w:tc>
      </w:tr>
      <w:tr w:rsidR="002360AA" w:rsidRPr="00E32F97" w14:paraId="6CCAC598" w14:textId="77777777" w:rsidTr="002E3FFE">
        <w:trPr>
          <w:trHeight w:val="283"/>
        </w:trPr>
        <w:tc>
          <w:tcPr>
            <w:tcW w:w="5575" w:type="dxa"/>
            <w:gridSpan w:val="2"/>
            <w:tcBorders>
              <w:top w:val="single" w:sz="8" w:space="0" w:color="FFFFFF" w:themeColor="background1"/>
              <w:left w:val="single" w:sz="8" w:space="0" w:color="FFFFFF" w:themeColor="background1"/>
              <w:bottom w:val="single" w:sz="4" w:space="0" w:color="000000" w:themeColor="text1"/>
              <w:right w:val="single" w:sz="8" w:space="0" w:color="FFFFFF" w:themeColor="background1"/>
            </w:tcBorders>
          </w:tcPr>
          <w:p w14:paraId="3FAB7B55" w14:textId="77777777" w:rsidR="002360AA" w:rsidRPr="00EA64EE" w:rsidRDefault="002360AA" w:rsidP="002360AA">
            <w:pPr>
              <w:spacing w:after="0"/>
              <w:rPr>
                <w:rFonts w:cs="Times New Roman"/>
                <w:sz w:val="20"/>
              </w:rPr>
            </w:pPr>
            <w:r w:rsidRPr="00EA64EE">
              <w:rPr>
                <w:rFonts w:cs="Times New Roman"/>
                <w:sz w:val="20"/>
              </w:rPr>
              <w:t>Method for determining MEP size during analysis</w:t>
            </w:r>
          </w:p>
        </w:tc>
        <w:tc>
          <w:tcPr>
            <w:tcW w:w="1260" w:type="dxa"/>
            <w:gridSpan w:val="2"/>
            <w:tcBorders>
              <w:top w:val="single" w:sz="8" w:space="0" w:color="FFFFFF" w:themeColor="background1"/>
              <w:left w:val="single" w:sz="8" w:space="0" w:color="FFFFFF" w:themeColor="background1"/>
              <w:bottom w:val="single" w:sz="4" w:space="0" w:color="000000" w:themeColor="text1"/>
              <w:right w:val="single" w:sz="8" w:space="0" w:color="FFFFFF" w:themeColor="background1"/>
            </w:tcBorders>
          </w:tcPr>
          <w:p w14:paraId="30A75095" w14:textId="77777777" w:rsidR="002360AA" w:rsidRDefault="002360AA" w:rsidP="002360AA">
            <w:pPr>
              <w:spacing w:after="0"/>
            </w:pPr>
            <w:r>
              <w:rPr>
                <w:rFonts w:cs="Times New Roman"/>
                <w:sz w:val="20"/>
              </w:rPr>
              <w:t>27</w:t>
            </w:r>
            <w:r w:rsidRPr="008275C8">
              <w:rPr>
                <w:rFonts w:cs="Times New Roman"/>
                <w:sz w:val="20"/>
              </w:rPr>
              <w:t>/28</w:t>
            </w:r>
          </w:p>
        </w:tc>
        <w:tc>
          <w:tcPr>
            <w:tcW w:w="1260" w:type="dxa"/>
            <w:gridSpan w:val="2"/>
            <w:tcBorders>
              <w:top w:val="single" w:sz="8" w:space="0" w:color="FFFFFF" w:themeColor="background1"/>
              <w:left w:val="single" w:sz="8" w:space="0" w:color="FFFFFF" w:themeColor="background1"/>
              <w:bottom w:val="single" w:sz="4" w:space="0" w:color="000000" w:themeColor="text1"/>
              <w:right w:val="single" w:sz="8" w:space="0" w:color="FFFFFF"/>
            </w:tcBorders>
          </w:tcPr>
          <w:p w14:paraId="1DCB42C4" w14:textId="77777777" w:rsidR="002360AA" w:rsidRDefault="002360AA" w:rsidP="002360AA">
            <w:pPr>
              <w:spacing w:after="0"/>
            </w:pPr>
            <w:r>
              <w:rPr>
                <w:rFonts w:cs="Times New Roman"/>
                <w:sz w:val="20"/>
              </w:rPr>
              <w:t>13</w:t>
            </w:r>
            <w:r w:rsidRPr="008275C8">
              <w:rPr>
                <w:rFonts w:cs="Times New Roman"/>
                <w:sz w:val="20"/>
              </w:rPr>
              <w:t>/28</w:t>
            </w:r>
          </w:p>
        </w:tc>
        <w:tc>
          <w:tcPr>
            <w:tcW w:w="900" w:type="dxa"/>
            <w:tcBorders>
              <w:top w:val="single" w:sz="8" w:space="0" w:color="FFFFFF" w:themeColor="background1"/>
              <w:left w:val="single" w:sz="8" w:space="0" w:color="FFFFFF"/>
              <w:bottom w:val="single" w:sz="4" w:space="0" w:color="000000" w:themeColor="text1"/>
              <w:right w:val="single" w:sz="8" w:space="0" w:color="FFFFFF"/>
            </w:tcBorders>
          </w:tcPr>
          <w:p w14:paraId="19CD1C7E" w14:textId="77777777" w:rsidR="002360AA" w:rsidRPr="00FE5BF8" w:rsidRDefault="002360AA" w:rsidP="002360AA">
            <w:pPr>
              <w:spacing w:after="0"/>
              <w:jc w:val="center"/>
              <w:rPr>
                <w:rFonts w:cs="Times New Roman"/>
                <w:sz w:val="20"/>
              </w:rPr>
            </w:pPr>
            <w:r>
              <w:rPr>
                <w:rFonts w:cs="Times New Roman"/>
                <w:sz w:val="20"/>
              </w:rPr>
              <w:t>71.4%</w:t>
            </w:r>
          </w:p>
        </w:tc>
      </w:tr>
    </w:tbl>
    <w:p w14:paraId="2224ED96" w14:textId="0B9A2C96" w:rsidR="002360AA" w:rsidRDefault="002360AA" w:rsidP="002360AA">
      <w:pPr>
        <w:spacing w:after="0"/>
        <w:jc w:val="both"/>
        <w:rPr>
          <w:rFonts w:cs="Times New Roman"/>
          <w:sz w:val="18"/>
          <w:szCs w:val="20"/>
          <w:lang w:val="en-GB"/>
        </w:rPr>
      </w:pPr>
      <w:r>
        <w:rPr>
          <w:rFonts w:cs="Times New Roman"/>
          <w:sz w:val="18"/>
          <w:szCs w:val="20"/>
          <w:lang w:val="en-GB"/>
        </w:rPr>
        <w:t>CNS = central nervous system; EMG = electromyography; MEP = motor evoked potential; n = number of times that the item was rated as reported or controlled; N = number of times that the item was applicable over all studies</w:t>
      </w:r>
      <w:r w:rsidR="00CB1CBF">
        <w:rPr>
          <w:rFonts w:cs="Times New Roman"/>
          <w:sz w:val="18"/>
          <w:szCs w:val="20"/>
          <w:lang w:val="en-GB"/>
        </w:rPr>
        <w:t>.</w:t>
      </w:r>
    </w:p>
    <w:p w14:paraId="3CD10FD8" w14:textId="18588370" w:rsidR="002360AA" w:rsidRPr="002360AA" w:rsidRDefault="00647207" w:rsidP="002360AA">
      <w:pPr>
        <w:spacing w:after="0"/>
        <w:jc w:val="both"/>
        <w:rPr>
          <w:rFonts w:cs="Times New Roman"/>
          <w:sz w:val="18"/>
          <w:szCs w:val="20"/>
          <w:lang w:val="en-GB"/>
        </w:rPr>
      </w:pPr>
      <w:r>
        <w:rPr>
          <w:rFonts w:cs="Times New Roman"/>
          <w:b/>
          <w:lang w:val="en-GB"/>
        </w:rPr>
        <w:lastRenderedPageBreak/>
        <w:t xml:space="preserve">Supplementary </w:t>
      </w:r>
      <w:r w:rsidR="002360AA" w:rsidRPr="002360AA">
        <w:rPr>
          <w:rFonts w:cs="Times New Roman"/>
          <w:b/>
          <w:lang w:val="en-GB"/>
        </w:rPr>
        <w:t>Table S4</w:t>
      </w:r>
    </w:p>
    <w:p w14:paraId="48EFCB2B" w14:textId="7BC0CF2D" w:rsidR="002360AA" w:rsidRPr="00EE5310" w:rsidRDefault="002360AA" w:rsidP="002360AA">
      <w:pPr>
        <w:rPr>
          <w:rFonts w:cs="Times New Roman"/>
          <w:i/>
          <w:lang w:val="en-GB"/>
        </w:rPr>
      </w:pPr>
      <w:r w:rsidRPr="00EE5310">
        <w:rPr>
          <w:rFonts w:cs="Times New Roman"/>
          <w:i/>
          <w:lang w:val="en-GB"/>
        </w:rPr>
        <w:t>Inter-rater</w:t>
      </w:r>
      <w:r w:rsidR="005B0856">
        <w:rPr>
          <w:rFonts w:cs="Times New Roman"/>
          <w:i/>
          <w:lang w:val="en-GB"/>
        </w:rPr>
        <w:t xml:space="preserve"> a</w:t>
      </w:r>
      <w:r w:rsidRPr="00EE5310">
        <w:rPr>
          <w:rFonts w:cs="Times New Roman"/>
          <w:i/>
          <w:lang w:val="en-GB"/>
        </w:rPr>
        <w:t>greement of Chipchase</w:t>
      </w:r>
      <w:r w:rsidR="005B0856">
        <w:rPr>
          <w:rFonts w:cs="Times New Roman"/>
          <w:i/>
          <w:lang w:val="en-GB"/>
        </w:rPr>
        <w:t>’</w:t>
      </w:r>
      <w:r w:rsidRPr="00EE5310">
        <w:rPr>
          <w:rFonts w:cs="Times New Roman"/>
          <w:i/>
          <w:lang w:val="en-GB"/>
        </w:rPr>
        <w:t xml:space="preserve"> </w:t>
      </w:r>
      <w:r w:rsidR="005B0856">
        <w:rPr>
          <w:rFonts w:cs="Times New Roman"/>
          <w:i/>
          <w:lang w:val="en-GB"/>
        </w:rPr>
        <w:t>r</w:t>
      </w:r>
      <w:r w:rsidRPr="00EE5310">
        <w:rPr>
          <w:rFonts w:cs="Times New Roman"/>
          <w:i/>
          <w:lang w:val="en-GB"/>
        </w:rPr>
        <w:t>ating</w:t>
      </w:r>
      <w:r>
        <w:rPr>
          <w:rFonts w:cs="Times New Roman"/>
          <w:i/>
          <w:lang w:val="en-GB"/>
        </w:rPr>
        <w:t xml:space="preserve"> per </w:t>
      </w:r>
      <w:r w:rsidR="005B0856">
        <w:rPr>
          <w:rFonts w:cs="Times New Roman"/>
          <w:i/>
          <w:lang w:val="en-GB"/>
        </w:rPr>
        <w:t>s</w:t>
      </w:r>
      <w:r>
        <w:rPr>
          <w:rFonts w:cs="Times New Roman"/>
          <w:i/>
          <w:lang w:val="en-GB"/>
        </w:rPr>
        <w:t>tudy</w:t>
      </w:r>
    </w:p>
    <w:tbl>
      <w:tblPr>
        <w:tblStyle w:val="TableGrid"/>
        <w:tblW w:w="9351" w:type="dxa"/>
        <w:tblInd w:w="-5" w:type="dxa"/>
        <w:tblLayout w:type="fixed"/>
        <w:tblLook w:val="04A0" w:firstRow="1" w:lastRow="0" w:firstColumn="1" w:lastColumn="0" w:noHBand="0" w:noVBand="1"/>
      </w:tblPr>
      <w:tblGrid>
        <w:gridCol w:w="846"/>
        <w:gridCol w:w="709"/>
        <w:gridCol w:w="708"/>
        <w:gridCol w:w="851"/>
        <w:gridCol w:w="650"/>
        <w:gridCol w:w="59"/>
        <w:gridCol w:w="1134"/>
        <w:gridCol w:w="850"/>
        <w:gridCol w:w="992"/>
        <w:gridCol w:w="851"/>
        <w:gridCol w:w="1517"/>
        <w:gridCol w:w="184"/>
      </w:tblGrid>
      <w:tr w:rsidR="002360AA" w:rsidRPr="00CB67D1" w14:paraId="3BF1AD80" w14:textId="77777777" w:rsidTr="002360AA">
        <w:trPr>
          <w:gridAfter w:val="1"/>
          <w:wAfter w:w="184" w:type="dxa"/>
          <w:trHeight w:val="611"/>
        </w:trPr>
        <w:tc>
          <w:tcPr>
            <w:tcW w:w="846" w:type="dxa"/>
            <w:tcBorders>
              <w:top w:val="single" w:sz="8" w:space="0" w:color="auto"/>
              <w:left w:val="single" w:sz="8" w:space="0" w:color="FFFFFF" w:themeColor="background1"/>
              <w:bottom w:val="single" w:sz="8" w:space="0" w:color="auto"/>
              <w:right w:val="single" w:sz="8" w:space="0" w:color="FFFFFF" w:themeColor="background1"/>
            </w:tcBorders>
            <w:vAlign w:val="center"/>
          </w:tcPr>
          <w:p w14:paraId="11F09A69" w14:textId="77777777" w:rsidR="002360AA" w:rsidRPr="00CB67D1" w:rsidRDefault="002360AA" w:rsidP="002360AA">
            <w:pPr>
              <w:spacing w:before="0"/>
              <w:rPr>
                <w:rFonts w:cs="Times New Roman"/>
                <w:b/>
                <w:sz w:val="20"/>
                <w:szCs w:val="20"/>
              </w:rPr>
            </w:pPr>
            <w:r w:rsidRPr="00CB67D1">
              <w:rPr>
                <w:rFonts w:cs="Times New Roman"/>
                <w:b/>
                <w:sz w:val="20"/>
                <w:szCs w:val="20"/>
              </w:rPr>
              <w:t>Study</w:t>
            </w:r>
          </w:p>
        </w:tc>
        <w:tc>
          <w:tcPr>
            <w:tcW w:w="709" w:type="dxa"/>
            <w:tcBorders>
              <w:top w:val="single" w:sz="8" w:space="0" w:color="auto"/>
              <w:left w:val="single" w:sz="8" w:space="0" w:color="FFFFFF" w:themeColor="background1"/>
              <w:bottom w:val="single" w:sz="8" w:space="0" w:color="auto"/>
              <w:right w:val="single" w:sz="8" w:space="0" w:color="FFFFFF" w:themeColor="background1"/>
            </w:tcBorders>
            <w:vAlign w:val="center"/>
          </w:tcPr>
          <w:p w14:paraId="566069DD" w14:textId="77777777" w:rsidR="002360AA" w:rsidRPr="00CB67D1" w:rsidRDefault="002360AA" w:rsidP="002360AA">
            <w:pPr>
              <w:spacing w:before="0"/>
              <w:jc w:val="center"/>
              <w:rPr>
                <w:rFonts w:cs="Times New Roman"/>
                <w:b/>
                <w:sz w:val="20"/>
                <w:szCs w:val="20"/>
                <w:lang w:val="en-GB"/>
              </w:rPr>
            </w:pPr>
            <w:r w:rsidRPr="00CB67D1">
              <w:rPr>
                <w:rFonts w:cs="Times New Roman"/>
                <w:b/>
                <w:sz w:val="20"/>
                <w:szCs w:val="20"/>
                <w:lang w:val="en-GB"/>
              </w:rPr>
              <w:t>R -R</w:t>
            </w:r>
            <w:r w:rsidRPr="00CB67D1">
              <w:rPr>
                <w:rFonts w:cs="Times New Roman"/>
                <w:b/>
                <w:sz w:val="20"/>
                <w:szCs w:val="20"/>
                <w:vertAlign w:val="subscript"/>
                <w:lang w:val="en-GB"/>
              </w:rPr>
              <w:t>1</w:t>
            </w:r>
          </w:p>
        </w:tc>
        <w:tc>
          <w:tcPr>
            <w:tcW w:w="708" w:type="dxa"/>
            <w:tcBorders>
              <w:top w:val="single" w:sz="8" w:space="0" w:color="auto"/>
              <w:left w:val="single" w:sz="8" w:space="0" w:color="FFFFFF" w:themeColor="background1"/>
              <w:bottom w:val="single" w:sz="8" w:space="0" w:color="auto"/>
              <w:right w:val="single" w:sz="8" w:space="0" w:color="FFFFFF" w:themeColor="background1"/>
            </w:tcBorders>
            <w:vAlign w:val="center"/>
          </w:tcPr>
          <w:p w14:paraId="4BCA1435" w14:textId="77777777" w:rsidR="002360AA" w:rsidRPr="00CB67D1" w:rsidRDefault="002360AA" w:rsidP="002360AA">
            <w:pPr>
              <w:spacing w:before="0"/>
              <w:jc w:val="center"/>
              <w:rPr>
                <w:rFonts w:cs="Times New Roman"/>
                <w:b/>
                <w:sz w:val="20"/>
                <w:szCs w:val="20"/>
                <w:lang w:val="en-GB"/>
              </w:rPr>
            </w:pPr>
            <w:r w:rsidRPr="00CB67D1">
              <w:rPr>
                <w:rFonts w:cs="Times New Roman"/>
                <w:b/>
                <w:sz w:val="20"/>
                <w:szCs w:val="20"/>
                <w:lang w:val="en-GB"/>
              </w:rPr>
              <w:t>C-R</w:t>
            </w:r>
            <w:r w:rsidRPr="00CB67D1">
              <w:rPr>
                <w:rFonts w:cs="Times New Roman"/>
                <w:b/>
                <w:sz w:val="20"/>
                <w:szCs w:val="20"/>
                <w:vertAlign w:val="subscript"/>
                <w:lang w:val="en-GB"/>
              </w:rPr>
              <w:t>1</w:t>
            </w:r>
          </w:p>
        </w:tc>
        <w:tc>
          <w:tcPr>
            <w:tcW w:w="851" w:type="dxa"/>
            <w:tcBorders>
              <w:top w:val="single" w:sz="8" w:space="0" w:color="auto"/>
              <w:left w:val="single" w:sz="8" w:space="0" w:color="FFFFFF" w:themeColor="background1"/>
              <w:bottom w:val="single" w:sz="8" w:space="0" w:color="auto"/>
              <w:right w:val="single" w:sz="8" w:space="0" w:color="FFFFFF" w:themeColor="background1"/>
            </w:tcBorders>
            <w:vAlign w:val="center"/>
          </w:tcPr>
          <w:p w14:paraId="227615B0" w14:textId="77777777" w:rsidR="002360AA" w:rsidRPr="00CB67D1" w:rsidRDefault="002360AA" w:rsidP="002360AA">
            <w:pPr>
              <w:spacing w:before="0"/>
              <w:jc w:val="center"/>
              <w:rPr>
                <w:rFonts w:cs="Times New Roman"/>
                <w:b/>
                <w:sz w:val="20"/>
                <w:szCs w:val="20"/>
                <w:lang w:val="en-GB"/>
              </w:rPr>
            </w:pPr>
            <w:r w:rsidRPr="00CB67D1">
              <w:rPr>
                <w:rFonts w:cs="Times New Roman"/>
                <w:b/>
                <w:sz w:val="20"/>
                <w:szCs w:val="20"/>
                <w:lang w:val="en-GB"/>
              </w:rPr>
              <w:t>R-R</w:t>
            </w:r>
            <w:r w:rsidRPr="00CB67D1">
              <w:rPr>
                <w:rFonts w:cs="Times New Roman"/>
                <w:b/>
                <w:sz w:val="20"/>
                <w:szCs w:val="20"/>
                <w:vertAlign w:val="subscript"/>
                <w:lang w:val="en-GB"/>
              </w:rPr>
              <w:t>2</w:t>
            </w:r>
          </w:p>
        </w:tc>
        <w:tc>
          <w:tcPr>
            <w:tcW w:w="709" w:type="dxa"/>
            <w:gridSpan w:val="2"/>
            <w:tcBorders>
              <w:top w:val="single" w:sz="8" w:space="0" w:color="auto"/>
              <w:left w:val="single" w:sz="8" w:space="0" w:color="FFFFFF" w:themeColor="background1"/>
              <w:bottom w:val="single" w:sz="8" w:space="0" w:color="auto"/>
              <w:right w:val="single" w:sz="8" w:space="0" w:color="FFFFFF" w:themeColor="background1"/>
            </w:tcBorders>
            <w:vAlign w:val="center"/>
          </w:tcPr>
          <w:p w14:paraId="272AD203" w14:textId="77777777" w:rsidR="002360AA" w:rsidRPr="00CB67D1" w:rsidRDefault="002360AA" w:rsidP="002360AA">
            <w:pPr>
              <w:spacing w:before="0"/>
              <w:jc w:val="center"/>
              <w:rPr>
                <w:rFonts w:cs="Times New Roman"/>
                <w:b/>
                <w:sz w:val="20"/>
                <w:szCs w:val="20"/>
                <w:lang w:val="en-GB"/>
              </w:rPr>
            </w:pPr>
            <w:r w:rsidRPr="00CB67D1">
              <w:rPr>
                <w:rFonts w:cs="Times New Roman"/>
                <w:b/>
                <w:sz w:val="20"/>
                <w:szCs w:val="20"/>
                <w:lang w:val="en-GB"/>
              </w:rPr>
              <w:t>C-R</w:t>
            </w:r>
            <w:r w:rsidRPr="00CB67D1">
              <w:rPr>
                <w:rFonts w:cs="Times New Roman"/>
                <w:b/>
                <w:sz w:val="20"/>
                <w:szCs w:val="20"/>
                <w:vertAlign w:val="subscript"/>
                <w:lang w:val="en-GB"/>
              </w:rPr>
              <w:t>2</w:t>
            </w:r>
          </w:p>
        </w:tc>
        <w:tc>
          <w:tcPr>
            <w:tcW w:w="1134" w:type="dxa"/>
            <w:tcBorders>
              <w:top w:val="single" w:sz="8" w:space="0" w:color="auto"/>
              <w:left w:val="single" w:sz="8" w:space="0" w:color="FFFFFF" w:themeColor="background1"/>
              <w:bottom w:val="single" w:sz="8" w:space="0" w:color="auto"/>
              <w:right w:val="single" w:sz="8" w:space="0" w:color="FFFFFF" w:themeColor="background1"/>
            </w:tcBorders>
            <w:vAlign w:val="center"/>
          </w:tcPr>
          <w:p w14:paraId="7149D8E9" w14:textId="4B83CE93" w:rsidR="002360AA" w:rsidRPr="00CB67D1" w:rsidRDefault="002360AA" w:rsidP="002360AA">
            <w:pPr>
              <w:spacing w:before="0"/>
              <w:jc w:val="center"/>
              <w:rPr>
                <w:rFonts w:cs="Times New Roman"/>
                <w:b/>
                <w:sz w:val="20"/>
                <w:szCs w:val="20"/>
                <w:lang w:val="en-GB"/>
              </w:rPr>
            </w:pPr>
            <w:r w:rsidRPr="00CB67D1">
              <w:rPr>
                <w:rFonts w:cs="Times New Roman"/>
                <w:b/>
                <w:sz w:val="20"/>
                <w:szCs w:val="20"/>
                <w:lang w:val="en-GB"/>
              </w:rPr>
              <w:t>Total Score</w:t>
            </w:r>
          </w:p>
        </w:tc>
        <w:tc>
          <w:tcPr>
            <w:tcW w:w="850" w:type="dxa"/>
            <w:tcBorders>
              <w:top w:val="single" w:sz="8" w:space="0" w:color="auto"/>
              <w:left w:val="single" w:sz="8" w:space="0" w:color="FFFFFF" w:themeColor="background1"/>
              <w:bottom w:val="single" w:sz="8" w:space="0" w:color="auto"/>
              <w:right w:val="single" w:sz="8" w:space="0" w:color="FFFFFF" w:themeColor="background1"/>
            </w:tcBorders>
            <w:vAlign w:val="center"/>
          </w:tcPr>
          <w:p w14:paraId="391351C4" w14:textId="77777777" w:rsidR="002360AA" w:rsidRPr="00CB67D1" w:rsidRDefault="002360AA" w:rsidP="002360AA">
            <w:pPr>
              <w:spacing w:before="0"/>
              <w:jc w:val="center"/>
              <w:rPr>
                <w:rFonts w:cs="Times New Roman"/>
                <w:b/>
                <w:sz w:val="20"/>
                <w:szCs w:val="20"/>
                <w:lang w:val="en-GB"/>
              </w:rPr>
            </w:pPr>
            <w:bookmarkStart w:id="0" w:name="_Hlk94609736"/>
            <w:r w:rsidRPr="00CB67D1">
              <w:rPr>
                <w:rFonts w:cs="Times New Roman"/>
                <w:b/>
                <w:sz w:val="20"/>
                <w:szCs w:val="20"/>
                <w:lang w:val="en-GB"/>
              </w:rPr>
              <w:t>κ</w:t>
            </w:r>
            <w:bookmarkEnd w:id="0"/>
          </w:p>
        </w:tc>
        <w:tc>
          <w:tcPr>
            <w:tcW w:w="1843" w:type="dxa"/>
            <w:gridSpan w:val="2"/>
            <w:tcBorders>
              <w:top w:val="single" w:sz="8" w:space="0" w:color="auto"/>
              <w:left w:val="single" w:sz="8" w:space="0" w:color="FFFFFF" w:themeColor="background1"/>
              <w:bottom w:val="single" w:sz="8" w:space="0" w:color="auto"/>
              <w:right w:val="single" w:sz="8" w:space="0" w:color="FFFFFF"/>
            </w:tcBorders>
            <w:vAlign w:val="center"/>
          </w:tcPr>
          <w:p w14:paraId="35348E11" w14:textId="77777777" w:rsidR="002360AA" w:rsidRPr="00CB67D1" w:rsidRDefault="002360AA" w:rsidP="002360AA">
            <w:pPr>
              <w:spacing w:before="0"/>
              <w:jc w:val="center"/>
              <w:rPr>
                <w:rFonts w:cs="Times New Roman"/>
                <w:b/>
                <w:sz w:val="20"/>
                <w:szCs w:val="20"/>
                <w:lang w:val="en-GB"/>
              </w:rPr>
            </w:pPr>
            <w:r w:rsidRPr="00CB67D1">
              <w:rPr>
                <w:rFonts w:cs="Times New Roman"/>
                <w:b/>
                <w:sz w:val="20"/>
                <w:szCs w:val="20"/>
                <w:lang w:val="en-GB"/>
              </w:rPr>
              <w:t>Confidence Interval</w:t>
            </w:r>
          </w:p>
        </w:tc>
        <w:tc>
          <w:tcPr>
            <w:tcW w:w="1517" w:type="dxa"/>
            <w:tcBorders>
              <w:top w:val="single" w:sz="8" w:space="0" w:color="auto"/>
              <w:left w:val="single" w:sz="8" w:space="0" w:color="FFFFFF"/>
              <w:bottom w:val="single" w:sz="8" w:space="0" w:color="auto"/>
              <w:right w:val="single" w:sz="8" w:space="0" w:color="FFFFFF"/>
            </w:tcBorders>
            <w:vAlign w:val="center"/>
          </w:tcPr>
          <w:p w14:paraId="3C3AEF0E" w14:textId="77777777" w:rsidR="002360AA" w:rsidRPr="00CB67D1" w:rsidRDefault="002360AA" w:rsidP="002360AA">
            <w:pPr>
              <w:spacing w:before="0"/>
              <w:jc w:val="center"/>
              <w:rPr>
                <w:rFonts w:cs="Times New Roman"/>
                <w:b/>
                <w:sz w:val="20"/>
                <w:szCs w:val="20"/>
                <w:lang w:val="en-GB"/>
              </w:rPr>
            </w:pPr>
            <w:r w:rsidRPr="00CB67D1">
              <w:rPr>
                <w:rFonts w:cs="Times New Roman"/>
                <w:b/>
                <w:sz w:val="20"/>
                <w:szCs w:val="20"/>
                <w:lang w:val="en-GB"/>
              </w:rPr>
              <w:t>Limits of Agreement</w:t>
            </w:r>
          </w:p>
        </w:tc>
      </w:tr>
      <w:tr w:rsidR="002360AA" w:rsidRPr="00CB67D1" w14:paraId="47C23888" w14:textId="77777777" w:rsidTr="002360AA">
        <w:trPr>
          <w:trHeight w:val="277"/>
        </w:trPr>
        <w:tc>
          <w:tcPr>
            <w:tcW w:w="846" w:type="dxa"/>
            <w:tcBorders>
              <w:top w:val="single" w:sz="8" w:space="0" w:color="auto"/>
              <w:left w:val="single" w:sz="8" w:space="0" w:color="FFFFFF" w:themeColor="background1"/>
              <w:bottom w:val="single" w:sz="8" w:space="0" w:color="FFFFFF" w:themeColor="background1"/>
              <w:right w:val="single" w:sz="8" w:space="0" w:color="FFFFFF" w:themeColor="background1"/>
            </w:tcBorders>
            <w:vAlign w:val="center"/>
          </w:tcPr>
          <w:p w14:paraId="4199D0EE" w14:textId="77777777" w:rsidR="002360AA" w:rsidRPr="00CB67D1" w:rsidRDefault="002360AA" w:rsidP="002360AA">
            <w:pPr>
              <w:spacing w:after="0"/>
              <w:rPr>
                <w:rFonts w:cs="Times New Roman"/>
                <w:sz w:val="20"/>
                <w:szCs w:val="20"/>
              </w:rPr>
            </w:pPr>
            <w:r w:rsidRPr="00CB67D1">
              <w:rPr>
                <w:rFonts w:cs="Times New Roman"/>
                <w:sz w:val="20"/>
                <w:szCs w:val="20"/>
              </w:rPr>
              <w:t>[1]</w:t>
            </w:r>
          </w:p>
        </w:tc>
        <w:tc>
          <w:tcPr>
            <w:tcW w:w="709" w:type="dxa"/>
            <w:tcBorders>
              <w:top w:val="single" w:sz="8" w:space="0" w:color="auto"/>
              <w:left w:val="single" w:sz="8" w:space="0" w:color="FFFFFF" w:themeColor="background1"/>
              <w:bottom w:val="single" w:sz="8" w:space="0" w:color="FFFFFF" w:themeColor="background1"/>
              <w:right w:val="single" w:sz="8" w:space="0" w:color="FFFFFF" w:themeColor="background1"/>
            </w:tcBorders>
            <w:vAlign w:val="center"/>
          </w:tcPr>
          <w:p w14:paraId="44F1149A"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20</w:t>
            </w:r>
          </w:p>
        </w:tc>
        <w:tc>
          <w:tcPr>
            <w:tcW w:w="708" w:type="dxa"/>
            <w:tcBorders>
              <w:top w:val="single" w:sz="8" w:space="0" w:color="auto"/>
              <w:left w:val="single" w:sz="8" w:space="0" w:color="FFFFFF" w:themeColor="background1"/>
              <w:bottom w:val="single" w:sz="8" w:space="0" w:color="FFFFFF" w:themeColor="background1"/>
              <w:right w:val="single" w:sz="8" w:space="0" w:color="FFFFFF" w:themeColor="background1"/>
            </w:tcBorders>
            <w:vAlign w:val="center"/>
          </w:tcPr>
          <w:p w14:paraId="6FB01F2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851" w:type="dxa"/>
            <w:tcBorders>
              <w:top w:val="single" w:sz="8" w:space="0" w:color="auto"/>
              <w:left w:val="single" w:sz="8" w:space="0" w:color="FFFFFF" w:themeColor="background1"/>
              <w:bottom w:val="single" w:sz="8" w:space="0" w:color="FFFFFF" w:themeColor="background1"/>
              <w:right w:val="single" w:sz="8" w:space="0" w:color="FFFFFF" w:themeColor="background1"/>
            </w:tcBorders>
            <w:vAlign w:val="center"/>
          </w:tcPr>
          <w:p w14:paraId="52A6FDE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650" w:type="dxa"/>
            <w:tcBorders>
              <w:top w:val="single" w:sz="8" w:space="0" w:color="auto"/>
              <w:left w:val="single" w:sz="8" w:space="0" w:color="FFFFFF" w:themeColor="background1"/>
              <w:bottom w:val="single" w:sz="8" w:space="0" w:color="FFFFFF" w:themeColor="background1"/>
              <w:right w:val="single" w:sz="8" w:space="0" w:color="FFFFFF" w:themeColor="background1"/>
            </w:tcBorders>
            <w:vAlign w:val="center"/>
          </w:tcPr>
          <w:p w14:paraId="6B6709F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1193" w:type="dxa"/>
            <w:gridSpan w:val="2"/>
            <w:tcBorders>
              <w:top w:val="single" w:sz="8" w:space="0" w:color="auto"/>
              <w:left w:val="single" w:sz="8" w:space="0" w:color="FFFFFF" w:themeColor="background1"/>
              <w:bottom w:val="single" w:sz="8" w:space="0" w:color="FFFFFF" w:themeColor="background1"/>
              <w:right w:val="single" w:sz="8" w:space="0" w:color="FFFFFF" w:themeColor="background1"/>
            </w:tcBorders>
            <w:vAlign w:val="center"/>
          </w:tcPr>
          <w:p w14:paraId="6AF719E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50.0 %</w:t>
            </w:r>
          </w:p>
        </w:tc>
        <w:tc>
          <w:tcPr>
            <w:tcW w:w="850" w:type="dxa"/>
            <w:tcBorders>
              <w:top w:val="single" w:sz="8" w:space="0" w:color="auto"/>
              <w:left w:val="single" w:sz="8" w:space="0" w:color="FFFFFF" w:themeColor="background1"/>
              <w:bottom w:val="single" w:sz="8" w:space="0" w:color="FFFFFF" w:themeColor="background1"/>
              <w:right w:val="single" w:sz="8" w:space="0" w:color="FFFFFF" w:themeColor="background1"/>
            </w:tcBorders>
            <w:vAlign w:val="center"/>
          </w:tcPr>
          <w:p w14:paraId="24A9C1C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auto"/>
              <w:left w:val="single" w:sz="8" w:space="0" w:color="FFFFFF" w:themeColor="background1"/>
              <w:bottom w:val="single" w:sz="8" w:space="0" w:color="FFFFFF" w:themeColor="background1"/>
              <w:right w:val="single" w:sz="8" w:space="0" w:color="FFFFFF"/>
            </w:tcBorders>
            <w:vAlign w:val="center"/>
          </w:tcPr>
          <w:p w14:paraId="1F7CE4AA" w14:textId="77777777" w:rsidR="002360AA" w:rsidRPr="00CB67D1" w:rsidRDefault="002360AA" w:rsidP="002360AA">
            <w:pPr>
              <w:spacing w:after="0"/>
              <w:jc w:val="right"/>
              <w:rPr>
                <w:rFonts w:cs="Times New Roman"/>
                <w:sz w:val="20"/>
                <w:szCs w:val="20"/>
              </w:rPr>
            </w:pPr>
            <w:r w:rsidRPr="00CB67D1">
              <w:rPr>
                <w:rFonts w:cs="Times New Roman"/>
                <w:sz w:val="20"/>
                <w:szCs w:val="20"/>
              </w:rPr>
              <w:t>[0.86</w:t>
            </w:r>
          </w:p>
        </w:tc>
        <w:tc>
          <w:tcPr>
            <w:tcW w:w="851" w:type="dxa"/>
            <w:tcBorders>
              <w:top w:val="single" w:sz="8" w:space="0" w:color="auto"/>
              <w:left w:val="single" w:sz="8" w:space="0" w:color="FFFFFF"/>
              <w:bottom w:val="single" w:sz="4" w:space="0" w:color="FFFFFF" w:themeColor="background1"/>
              <w:right w:val="single" w:sz="8" w:space="0" w:color="FFFFFF"/>
            </w:tcBorders>
            <w:vAlign w:val="center"/>
          </w:tcPr>
          <w:p w14:paraId="155D05A8"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8" w:space="0" w:color="auto"/>
              <w:left w:val="single" w:sz="8" w:space="0" w:color="FFFFFF"/>
              <w:bottom w:val="single" w:sz="4" w:space="0" w:color="FFFFFF" w:themeColor="background1"/>
              <w:right w:val="single" w:sz="8" w:space="0" w:color="FFFFFF"/>
            </w:tcBorders>
            <w:vAlign w:val="center"/>
          </w:tcPr>
          <w:p w14:paraId="2CAEC4D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211682C6" w14:textId="77777777" w:rsidTr="002360AA">
        <w:trPr>
          <w:trHeight w:val="277"/>
        </w:trPr>
        <w:tc>
          <w:tcPr>
            <w:tcW w:w="846" w:type="dxa"/>
            <w:tcBorders>
              <w:top w:val="single" w:sz="8" w:space="0" w:color="FFFFFF"/>
              <w:left w:val="single" w:sz="8" w:space="0" w:color="FFFFFF" w:themeColor="background1"/>
              <w:bottom w:val="single" w:sz="8" w:space="0" w:color="FFFFFF" w:themeColor="background1"/>
              <w:right w:val="single" w:sz="8" w:space="0" w:color="FFFFFF" w:themeColor="background1"/>
            </w:tcBorders>
            <w:vAlign w:val="center"/>
          </w:tcPr>
          <w:p w14:paraId="00FF9DBD" w14:textId="77777777" w:rsidR="002360AA" w:rsidRPr="00CB67D1" w:rsidRDefault="002360AA" w:rsidP="002360AA">
            <w:pPr>
              <w:spacing w:after="0"/>
              <w:rPr>
                <w:rFonts w:cs="Times New Roman"/>
                <w:sz w:val="20"/>
                <w:szCs w:val="20"/>
              </w:rPr>
            </w:pPr>
            <w:r w:rsidRPr="00CB67D1">
              <w:rPr>
                <w:rFonts w:cs="Times New Roman"/>
                <w:sz w:val="20"/>
                <w:szCs w:val="20"/>
              </w:rPr>
              <w:t>[2]</w:t>
            </w:r>
          </w:p>
        </w:tc>
        <w:tc>
          <w:tcPr>
            <w:tcW w:w="709" w:type="dxa"/>
            <w:tcBorders>
              <w:top w:val="single" w:sz="8" w:space="0" w:color="FFFFFF"/>
              <w:left w:val="single" w:sz="8" w:space="0" w:color="FFFFFF" w:themeColor="background1"/>
              <w:bottom w:val="single" w:sz="8" w:space="0" w:color="FFFFFF" w:themeColor="background1"/>
              <w:right w:val="single" w:sz="8" w:space="0" w:color="FFFFFF" w:themeColor="background1"/>
            </w:tcBorders>
            <w:vAlign w:val="center"/>
          </w:tcPr>
          <w:p w14:paraId="6953177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708" w:type="dxa"/>
            <w:tcBorders>
              <w:top w:val="single" w:sz="8" w:space="0" w:color="FFFFFF"/>
              <w:left w:val="single" w:sz="8" w:space="0" w:color="FFFFFF" w:themeColor="background1"/>
              <w:bottom w:val="single" w:sz="8" w:space="0" w:color="FFFFFF" w:themeColor="background1"/>
              <w:right w:val="single" w:sz="8" w:space="0" w:color="FFFFFF" w:themeColor="background1"/>
            </w:tcBorders>
            <w:vAlign w:val="center"/>
          </w:tcPr>
          <w:p w14:paraId="33B7950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851" w:type="dxa"/>
            <w:tcBorders>
              <w:top w:val="single" w:sz="8" w:space="0" w:color="FFFFFF"/>
              <w:left w:val="single" w:sz="8" w:space="0" w:color="FFFFFF" w:themeColor="background1"/>
              <w:bottom w:val="single" w:sz="8" w:space="0" w:color="FFFFFF" w:themeColor="background1"/>
              <w:right w:val="single" w:sz="8" w:space="0" w:color="FFFFFF" w:themeColor="background1"/>
            </w:tcBorders>
            <w:vAlign w:val="center"/>
          </w:tcPr>
          <w:p w14:paraId="24DD3BA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650" w:type="dxa"/>
            <w:tcBorders>
              <w:top w:val="single" w:sz="8" w:space="0" w:color="FFFFFF"/>
              <w:left w:val="single" w:sz="8" w:space="0" w:color="FFFFFF" w:themeColor="background1"/>
              <w:bottom w:val="single" w:sz="8" w:space="0" w:color="FFFFFF" w:themeColor="background1"/>
              <w:right w:val="single" w:sz="8" w:space="0" w:color="FFFFFF" w:themeColor="background1"/>
            </w:tcBorders>
            <w:vAlign w:val="center"/>
          </w:tcPr>
          <w:p w14:paraId="56477201"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1193" w:type="dxa"/>
            <w:gridSpan w:val="2"/>
            <w:tcBorders>
              <w:top w:val="single" w:sz="8" w:space="0" w:color="FFFFFF"/>
              <w:left w:val="single" w:sz="8" w:space="0" w:color="FFFFFF" w:themeColor="background1"/>
              <w:bottom w:val="single" w:sz="8" w:space="0" w:color="FFFFFF" w:themeColor="background1"/>
              <w:right w:val="single" w:sz="8" w:space="0" w:color="FFFFFF" w:themeColor="background1"/>
            </w:tcBorders>
            <w:vAlign w:val="center"/>
          </w:tcPr>
          <w:p w14:paraId="0DED6A81"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50.0 %</w:t>
            </w:r>
          </w:p>
        </w:tc>
        <w:tc>
          <w:tcPr>
            <w:tcW w:w="850" w:type="dxa"/>
            <w:tcBorders>
              <w:top w:val="single" w:sz="8" w:space="0" w:color="FFFFFF"/>
              <w:left w:val="single" w:sz="8" w:space="0" w:color="FFFFFF" w:themeColor="background1"/>
              <w:bottom w:val="single" w:sz="8" w:space="0" w:color="FFFFFF" w:themeColor="background1"/>
              <w:right w:val="single" w:sz="8" w:space="0" w:color="FFFFFF" w:themeColor="background1"/>
            </w:tcBorders>
            <w:vAlign w:val="center"/>
          </w:tcPr>
          <w:p w14:paraId="681B9E0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0.86</w:t>
            </w:r>
          </w:p>
        </w:tc>
        <w:tc>
          <w:tcPr>
            <w:tcW w:w="992" w:type="dxa"/>
            <w:tcBorders>
              <w:top w:val="single" w:sz="8" w:space="0" w:color="FFFFFF"/>
              <w:left w:val="single" w:sz="8" w:space="0" w:color="FFFFFF" w:themeColor="background1"/>
              <w:bottom w:val="single" w:sz="8" w:space="0" w:color="FFFFFF" w:themeColor="background1"/>
              <w:right w:val="single" w:sz="8" w:space="0" w:color="FFFFFF"/>
            </w:tcBorders>
            <w:vAlign w:val="center"/>
          </w:tcPr>
          <w:p w14:paraId="068AFB45" w14:textId="77777777" w:rsidR="002360AA" w:rsidRPr="00CB67D1" w:rsidRDefault="002360AA" w:rsidP="002360AA">
            <w:pPr>
              <w:spacing w:after="0"/>
              <w:jc w:val="right"/>
              <w:rPr>
                <w:rFonts w:cs="Times New Roman"/>
                <w:sz w:val="20"/>
                <w:szCs w:val="20"/>
              </w:rPr>
            </w:pPr>
            <w:r w:rsidRPr="00CB67D1">
              <w:rPr>
                <w:rFonts w:cs="Times New Roman"/>
                <w:sz w:val="20"/>
                <w:szCs w:val="20"/>
              </w:rPr>
              <w:t>[0.75</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1CD62F6E"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0.98]</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5FE64CA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5C0461AF"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7A3A7F0" w14:textId="77777777" w:rsidR="002360AA" w:rsidRPr="00CB67D1" w:rsidRDefault="002360AA" w:rsidP="002360AA">
            <w:pPr>
              <w:spacing w:after="0"/>
              <w:rPr>
                <w:rFonts w:cs="Times New Roman"/>
                <w:sz w:val="20"/>
                <w:szCs w:val="20"/>
              </w:rPr>
            </w:pPr>
            <w:r w:rsidRPr="00CB67D1">
              <w:rPr>
                <w:rFonts w:cs="Times New Roman"/>
                <w:sz w:val="20"/>
                <w:szCs w:val="20"/>
              </w:rPr>
              <w:t>[3]</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C6EA35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20</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B7E0652"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CC541F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18</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6809A3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EA80E2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50.0 %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033215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0.78</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6493E604" w14:textId="77777777" w:rsidR="002360AA" w:rsidRPr="00CB67D1" w:rsidRDefault="002360AA" w:rsidP="002360AA">
            <w:pPr>
              <w:spacing w:after="0"/>
              <w:jc w:val="right"/>
              <w:rPr>
                <w:rFonts w:cs="Times New Roman"/>
                <w:sz w:val="20"/>
                <w:szCs w:val="20"/>
              </w:rPr>
            </w:pPr>
            <w:r w:rsidRPr="00CB67D1">
              <w:rPr>
                <w:rFonts w:cs="Times New Roman"/>
                <w:sz w:val="20"/>
                <w:szCs w:val="20"/>
              </w:rPr>
              <w:t>[0.64</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18EC239D"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0.92]</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361EF0B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substantial</w:t>
            </w:r>
          </w:p>
        </w:tc>
      </w:tr>
      <w:tr w:rsidR="002360AA" w:rsidRPr="00CB67D1" w14:paraId="130CA9AA"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F2456EF" w14:textId="77777777" w:rsidR="002360AA" w:rsidRPr="00CB67D1" w:rsidRDefault="002360AA" w:rsidP="002360AA">
            <w:pPr>
              <w:spacing w:after="0"/>
              <w:rPr>
                <w:rFonts w:cs="Times New Roman"/>
                <w:sz w:val="20"/>
                <w:szCs w:val="20"/>
              </w:rPr>
            </w:pPr>
            <w:r w:rsidRPr="00CB67D1">
              <w:rPr>
                <w:rFonts w:cs="Times New Roman"/>
                <w:sz w:val="20"/>
                <w:szCs w:val="20"/>
              </w:rPr>
              <w:t>[4]</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027D8E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17</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3B9EE9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9</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F02DF4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16</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C3DCC5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7</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9D4FC2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52.0 %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ADA0FC6"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0.91</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7A9C1430" w14:textId="77777777" w:rsidR="002360AA" w:rsidRPr="00CB67D1" w:rsidRDefault="002360AA" w:rsidP="002360AA">
            <w:pPr>
              <w:spacing w:after="0"/>
              <w:jc w:val="right"/>
              <w:rPr>
                <w:rFonts w:cs="Times New Roman"/>
                <w:sz w:val="20"/>
                <w:szCs w:val="20"/>
              </w:rPr>
            </w:pPr>
            <w:r w:rsidRPr="00CB67D1">
              <w:rPr>
                <w:rFonts w:cs="Times New Roman"/>
                <w:sz w:val="20"/>
                <w:szCs w:val="20"/>
              </w:rPr>
              <w:t>[0.73</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50BF7FE7"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5D9AB48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26477B8F"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7D59395" w14:textId="77777777" w:rsidR="002360AA" w:rsidRPr="00CB67D1" w:rsidRDefault="002360AA" w:rsidP="002360AA">
            <w:pPr>
              <w:spacing w:after="0"/>
              <w:rPr>
                <w:rFonts w:cs="Times New Roman"/>
                <w:sz w:val="20"/>
                <w:szCs w:val="20"/>
              </w:rPr>
            </w:pPr>
            <w:r w:rsidRPr="00CB67D1">
              <w:rPr>
                <w:rFonts w:cs="Times New Roman"/>
                <w:sz w:val="20"/>
                <w:szCs w:val="20"/>
              </w:rPr>
              <w:t>[5]</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78B972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17</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1321C0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A699A6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17</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055FA5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D711AD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46.0 %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72092E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47AFD8F2" w14:textId="77777777" w:rsidR="002360AA" w:rsidRPr="00CB67D1" w:rsidRDefault="002360AA" w:rsidP="002360AA">
            <w:pPr>
              <w:spacing w:after="0"/>
              <w:jc w:val="right"/>
              <w:rPr>
                <w:rFonts w:cs="Times New Roman"/>
                <w:sz w:val="20"/>
                <w:szCs w:val="20"/>
              </w:rPr>
            </w:pPr>
            <w:r w:rsidRPr="00CB67D1">
              <w:rPr>
                <w:rFonts w:cs="Times New Roman"/>
                <w:sz w:val="20"/>
                <w:szCs w:val="20"/>
              </w:rPr>
              <w:t>[0.86</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40228485"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0742BC8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6B308EF6"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F5BE1BC" w14:textId="77777777" w:rsidR="002360AA" w:rsidRPr="00CB67D1" w:rsidRDefault="002360AA" w:rsidP="002360AA">
            <w:pPr>
              <w:spacing w:after="0"/>
              <w:rPr>
                <w:rFonts w:cs="Times New Roman"/>
                <w:sz w:val="20"/>
                <w:szCs w:val="20"/>
              </w:rPr>
            </w:pPr>
            <w:r w:rsidRPr="00CB67D1">
              <w:rPr>
                <w:rFonts w:cs="Times New Roman"/>
                <w:sz w:val="20"/>
                <w:szCs w:val="20"/>
              </w:rPr>
              <w:t>[6]</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2EFB966"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1A8383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D80D492"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267A8E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DC8554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50.0 %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97D569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286EF296" w14:textId="77777777" w:rsidR="002360AA" w:rsidRPr="00CB67D1" w:rsidRDefault="002360AA" w:rsidP="002360AA">
            <w:pPr>
              <w:spacing w:after="0"/>
              <w:jc w:val="right"/>
              <w:rPr>
                <w:rFonts w:cs="Times New Roman"/>
                <w:sz w:val="20"/>
                <w:szCs w:val="20"/>
              </w:rPr>
            </w:pPr>
            <w:r w:rsidRPr="00CB67D1">
              <w:rPr>
                <w:rFonts w:cs="Times New Roman"/>
                <w:sz w:val="20"/>
                <w:szCs w:val="20"/>
              </w:rPr>
              <w:t>[0.87</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435D2C46"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687853B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3D530249"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0E95A65" w14:textId="77777777" w:rsidR="002360AA" w:rsidRPr="00CB67D1" w:rsidRDefault="002360AA" w:rsidP="002360AA">
            <w:pPr>
              <w:spacing w:after="0"/>
              <w:rPr>
                <w:rFonts w:cs="Times New Roman"/>
                <w:sz w:val="20"/>
                <w:szCs w:val="20"/>
              </w:rPr>
            </w:pPr>
            <w:r w:rsidRPr="00CB67D1">
              <w:rPr>
                <w:rFonts w:cs="Times New Roman"/>
                <w:sz w:val="20"/>
                <w:szCs w:val="20"/>
              </w:rPr>
              <w:t>[7]</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33DA53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15</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EF8F91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079B33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15</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7DD0B3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60311D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39.6 %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ED06A6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5C8ED093" w14:textId="77777777" w:rsidR="002360AA" w:rsidRPr="00CB67D1" w:rsidRDefault="002360AA" w:rsidP="002360AA">
            <w:pPr>
              <w:spacing w:after="0"/>
              <w:jc w:val="right"/>
              <w:rPr>
                <w:rFonts w:cs="Times New Roman"/>
                <w:sz w:val="20"/>
                <w:szCs w:val="20"/>
              </w:rPr>
            </w:pPr>
            <w:r w:rsidRPr="00CB67D1">
              <w:rPr>
                <w:rFonts w:cs="Times New Roman"/>
                <w:sz w:val="20"/>
                <w:szCs w:val="20"/>
              </w:rPr>
              <w:t>[0.88</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6DE48B77"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73C73BE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6328C4F0"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48B88DB" w14:textId="77777777" w:rsidR="002360AA" w:rsidRPr="00CB67D1" w:rsidRDefault="002360AA" w:rsidP="002360AA">
            <w:pPr>
              <w:spacing w:after="0"/>
              <w:rPr>
                <w:rFonts w:cs="Times New Roman"/>
                <w:sz w:val="20"/>
                <w:szCs w:val="20"/>
              </w:rPr>
            </w:pPr>
            <w:r w:rsidRPr="00CB67D1">
              <w:rPr>
                <w:rFonts w:cs="Times New Roman"/>
                <w:sz w:val="20"/>
                <w:szCs w:val="20"/>
              </w:rPr>
              <w:t>[8]</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80E075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12</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D3C368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A057D91"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12</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AEDBF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238BC9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29.2 %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5A6BE8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38E6F457" w14:textId="77777777" w:rsidR="002360AA" w:rsidRPr="00CB67D1" w:rsidRDefault="002360AA" w:rsidP="002360AA">
            <w:pPr>
              <w:spacing w:after="0"/>
              <w:jc w:val="right"/>
              <w:rPr>
                <w:rFonts w:cs="Times New Roman"/>
                <w:sz w:val="20"/>
                <w:szCs w:val="20"/>
              </w:rPr>
            </w:pPr>
            <w:r w:rsidRPr="00CB67D1">
              <w:rPr>
                <w:rFonts w:cs="Times New Roman"/>
                <w:sz w:val="20"/>
                <w:szCs w:val="20"/>
              </w:rPr>
              <w:t>[0.87</w:t>
            </w:r>
          </w:p>
        </w:tc>
        <w:tc>
          <w:tcPr>
            <w:tcW w:w="851" w:type="dxa"/>
            <w:tcBorders>
              <w:top w:val="single" w:sz="4" w:space="0" w:color="FFFFFF" w:themeColor="background1"/>
              <w:left w:val="single" w:sz="8" w:space="0" w:color="FFFFFF"/>
              <w:bottom w:val="single" w:sz="4" w:space="0" w:color="FFFFFF" w:themeColor="background1"/>
              <w:right w:val="single" w:sz="4" w:space="0" w:color="FFFFFF" w:themeColor="background1"/>
            </w:tcBorders>
            <w:vAlign w:val="center"/>
          </w:tcPr>
          <w:p w14:paraId="0F387E28"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cBorders>
            <w:vAlign w:val="center"/>
          </w:tcPr>
          <w:p w14:paraId="054C822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457BEC15"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E1817AF" w14:textId="77777777" w:rsidR="002360AA" w:rsidRPr="00CB67D1" w:rsidRDefault="002360AA" w:rsidP="002360AA">
            <w:pPr>
              <w:spacing w:after="0"/>
              <w:rPr>
                <w:rFonts w:cs="Times New Roman"/>
                <w:sz w:val="20"/>
                <w:szCs w:val="20"/>
              </w:rPr>
            </w:pPr>
            <w:r w:rsidRPr="00CB67D1">
              <w:rPr>
                <w:rFonts w:cs="Times New Roman"/>
                <w:sz w:val="20"/>
                <w:szCs w:val="20"/>
              </w:rPr>
              <w:t>[9]</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D516F0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17</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81CA92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E91CF6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17</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ACD750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70FA7F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47.9 %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EABBCC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3D76A092" w14:textId="77777777" w:rsidR="002360AA" w:rsidRPr="00CB67D1" w:rsidRDefault="002360AA" w:rsidP="002360AA">
            <w:pPr>
              <w:spacing w:after="0"/>
              <w:jc w:val="right"/>
              <w:rPr>
                <w:rFonts w:cs="Times New Roman"/>
                <w:sz w:val="20"/>
                <w:szCs w:val="20"/>
              </w:rPr>
            </w:pPr>
            <w:r w:rsidRPr="00CB67D1">
              <w:rPr>
                <w:rFonts w:cs="Times New Roman"/>
                <w:sz w:val="20"/>
                <w:szCs w:val="20"/>
              </w:rPr>
              <w:t>[0.86</w:t>
            </w:r>
          </w:p>
        </w:tc>
        <w:tc>
          <w:tcPr>
            <w:tcW w:w="851" w:type="dxa"/>
            <w:tcBorders>
              <w:top w:val="single" w:sz="4" w:space="0" w:color="FFFFFF" w:themeColor="background1"/>
              <w:left w:val="single" w:sz="8" w:space="0" w:color="FFFFFF"/>
              <w:bottom w:val="single" w:sz="4" w:space="0" w:color="FFFFFF" w:themeColor="background1"/>
              <w:right w:val="single" w:sz="4" w:space="0" w:color="FFFFFF" w:themeColor="background1"/>
            </w:tcBorders>
            <w:vAlign w:val="center"/>
          </w:tcPr>
          <w:p w14:paraId="0AFADF4D"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cBorders>
            <w:vAlign w:val="center"/>
          </w:tcPr>
          <w:p w14:paraId="555553C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51F11C23"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E1CC5F5" w14:textId="77777777" w:rsidR="002360AA" w:rsidRPr="00CB67D1" w:rsidRDefault="002360AA" w:rsidP="002360AA">
            <w:pPr>
              <w:spacing w:after="0"/>
              <w:rPr>
                <w:rFonts w:cs="Times New Roman"/>
                <w:sz w:val="20"/>
                <w:szCs w:val="20"/>
              </w:rPr>
            </w:pPr>
            <w:r w:rsidRPr="00CB67D1">
              <w:rPr>
                <w:rFonts w:cs="Times New Roman"/>
                <w:sz w:val="20"/>
                <w:szCs w:val="20"/>
              </w:rPr>
              <w:t>[10]</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0E32A2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21</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5D53EC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9</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0D6816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21</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02F4B32"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9</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164A3E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60.0 %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CF03CD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575BDEB9" w14:textId="77777777" w:rsidR="002360AA" w:rsidRPr="00CB67D1" w:rsidRDefault="002360AA" w:rsidP="002360AA">
            <w:pPr>
              <w:spacing w:after="0"/>
              <w:jc w:val="right"/>
              <w:rPr>
                <w:rFonts w:cs="Times New Roman"/>
                <w:sz w:val="20"/>
                <w:szCs w:val="20"/>
              </w:rPr>
            </w:pPr>
            <w:r w:rsidRPr="00CB67D1">
              <w:rPr>
                <w:rFonts w:cs="Times New Roman"/>
                <w:sz w:val="20"/>
                <w:szCs w:val="20"/>
              </w:rPr>
              <w:t>[0.81</w:t>
            </w:r>
          </w:p>
        </w:tc>
        <w:tc>
          <w:tcPr>
            <w:tcW w:w="851" w:type="dxa"/>
            <w:tcBorders>
              <w:top w:val="single" w:sz="4" w:space="0" w:color="FFFFFF" w:themeColor="background1"/>
              <w:left w:val="single" w:sz="8" w:space="0" w:color="FFFFFF"/>
              <w:bottom w:val="single" w:sz="4" w:space="0" w:color="FFFFFF" w:themeColor="background1"/>
              <w:right w:val="single" w:sz="4" w:space="0" w:color="FFFFFF" w:themeColor="background1"/>
            </w:tcBorders>
            <w:vAlign w:val="center"/>
          </w:tcPr>
          <w:p w14:paraId="7A7C4388"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cBorders>
            <w:vAlign w:val="center"/>
          </w:tcPr>
          <w:p w14:paraId="0C37C0E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61DD1794"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9D154F7" w14:textId="77777777" w:rsidR="002360AA" w:rsidRPr="00CB67D1" w:rsidRDefault="002360AA" w:rsidP="002360AA">
            <w:pPr>
              <w:spacing w:after="0"/>
              <w:rPr>
                <w:rFonts w:cs="Times New Roman"/>
                <w:sz w:val="20"/>
                <w:szCs w:val="20"/>
              </w:rPr>
            </w:pPr>
            <w:r w:rsidRPr="00CB67D1">
              <w:rPr>
                <w:rFonts w:cs="Times New Roman"/>
                <w:sz w:val="20"/>
                <w:szCs w:val="20"/>
              </w:rPr>
              <w:t>[11]</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EB550EF" w14:textId="77777777" w:rsidR="002360AA" w:rsidRPr="00CB67D1" w:rsidRDefault="002360AA" w:rsidP="002360AA">
            <w:pPr>
              <w:spacing w:after="0"/>
              <w:jc w:val="center"/>
              <w:rPr>
                <w:rFonts w:cs="Times New Roman"/>
                <w:sz w:val="20"/>
                <w:szCs w:val="20"/>
              </w:rPr>
            </w:pPr>
            <w:r w:rsidRPr="00CB67D1">
              <w:rPr>
                <w:rFonts w:cs="Times New Roman"/>
                <w:sz w:val="20"/>
                <w:szCs w:val="20"/>
              </w:rPr>
              <w:t>13</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CEECC6B" w14:textId="77777777" w:rsidR="002360AA" w:rsidRPr="00CB67D1" w:rsidRDefault="002360AA" w:rsidP="002360AA">
            <w:pPr>
              <w:spacing w:after="0"/>
              <w:jc w:val="center"/>
              <w:rPr>
                <w:rFonts w:cs="Times New Roman"/>
                <w:sz w:val="20"/>
                <w:szCs w:val="20"/>
              </w:rPr>
            </w:pPr>
            <w:r w:rsidRPr="00CB67D1">
              <w:rPr>
                <w:rFonts w:cs="Times New Roman"/>
                <w:sz w:val="20"/>
                <w:szCs w:val="20"/>
              </w:rPr>
              <w:t>2</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0251EC8" w14:textId="77777777" w:rsidR="002360AA" w:rsidRPr="00CB67D1" w:rsidRDefault="002360AA" w:rsidP="002360AA">
            <w:pPr>
              <w:spacing w:after="0"/>
              <w:jc w:val="center"/>
              <w:rPr>
                <w:rFonts w:cs="Times New Roman"/>
                <w:sz w:val="20"/>
                <w:szCs w:val="20"/>
              </w:rPr>
            </w:pPr>
            <w:r w:rsidRPr="00CB67D1">
              <w:rPr>
                <w:rFonts w:cs="Times New Roman"/>
                <w:sz w:val="20"/>
                <w:szCs w:val="20"/>
              </w:rPr>
              <w:t>10</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B1AA683" w14:textId="77777777" w:rsidR="002360AA" w:rsidRPr="00CB67D1" w:rsidRDefault="002360AA" w:rsidP="002360AA">
            <w:pPr>
              <w:spacing w:after="0"/>
              <w:jc w:val="center"/>
              <w:rPr>
                <w:rFonts w:cs="Times New Roman"/>
                <w:sz w:val="20"/>
                <w:szCs w:val="20"/>
              </w:rPr>
            </w:pPr>
            <w:r w:rsidRPr="00CB67D1">
              <w:rPr>
                <w:rFonts w:cs="Times New Roman"/>
                <w:sz w:val="20"/>
                <w:szCs w:val="20"/>
              </w:rPr>
              <w:t>1</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872D0D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32.0 %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7C2E5D4" w14:textId="003B7C33" w:rsidR="002360AA" w:rsidRPr="00CB67D1" w:rsidRDefault="002360AA" w:rsidP="002360AA">
            <w:pPr>
              <w:spacing w:after="0"/>
              <w:jc w:val="center"/>
              <w:rPr>
                <w:rFonts w:cs="Times New Roman"/>
                <w:sz w:val="20"/>
                <w:szCs w:val="20"/>
              </w:rPr>
            </w:pPr>
            <w:r w:rsidRPr="00CB67D1">
              <w:rPr>
                <w:rFonts w:cs="Times New Roman"/>
                <w:sz w:val="20"/>
                <w:szCs w:val="20"/>
              </w:rPr>
              <w:t>-0.11</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1AF7DD6B" w14:textId="287D6F14" w:rsidR="002360AA" w:rsidRPr="00CB67D1" w:rsidRDefault="002360AA" w:rsidP="002360AA">
            <w:pPr>
              <w:spacing w:after="0"/>
              <w:jc w:val="right"/>
              <w:rPr>
                <w:rFonts w:cs="Times New Roman"/>
                <w:sz w:val="20"/>
                <w:szCs w:val="20"/>
              </w:rPr>
            </w:pPr>
            <w:r w:rsidRPr="00CB67D1">
              <w:rPr>
                <w:rFonts w:cs="Times New Roman"/>
                <w:sz w:val="20"/>
                <w:szCs w:val="20"/>
              </w:rPr>
              <w:t>[-0.16</w:t>
            </w:r>
          </w:p>
        </w:tc>
        <w:tc>
          <w:tcPr>
            <w:tcW w:w="851" w:type="dxa"/>
            <w:tcBorders>
              <w:top w:val="single" w:sz="4" w:space="0" w:color="FFFFFF" w:themeColor="background1"/>
              <w:left w:val="single" w:sz="8" w:space="0" w:color="FFFFFF"/>
              <w:bottom w:val="single" w:sz="4" w:space="0" w:color="FFFFFF" w:themeColor="background1"/>
              <w:right w:val="single" w:sz="4" w:space="0" w:color="FFFFFF" w:themeColor="background1"/>
            </w:tcBorders>
            <w:vAlign w:val="center"/>
          </w:tcPr>
          <w:p w14:paraId="31F61ED3" w14:textId="6BBEE677" w:rsidR="002360AA" w:rsidRPr="00CB67D1" w:rsidRDefault="002360AA" w:rsidP="002360AA">
            <w:pPr>
              <w:spacing w:after="0"/>
              <w:rPr>
                <w:rFonts w:cs="Times New Roman"/>
                <w:sz w:val="20"/>
                <w:szCs w:val="20"/>
              </w:rPr>
            </w:pPr>
            <w:r w:rsidRPr="00CB67D1">
              <w:rPr>
                <w:rFonts w:cs="Times New Roman"/>
                <w:sz w:val="20"/>
                <w:szCs w:val="20"/>
              </w:rPr>
              <w:t>-0.05]</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cBorders>
            <w:vAlign w:val="center"/>
          </w:tcPr>
          <w:p w14:paraId="4A094D0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poor</w:t>
            </w:r>
          </w:p>
        </w:tc>
      </w:tr>
      <w:tr w:rsidR="002360AA" w:rsidRPr="00CB67D1" w14:paraId="45F23477"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9DE6347" w14:textId="77777777" w:rsidR="002360AA" w:rsidRPr="00CB67D1" w:rsidRDefault="002360AA" w:rsidP="002360AA">
            <w:pPr>
              <w:spacing w:after="0"/>
              <w:rPr>
                <w:rFonts w:cs="Times New Roman"/>
                <w:sz w:val="20"/>
                <w:szCs w:val="20"/>
              </w:rPr>
            </w:pPr>
            <w:r w:rsidRPr="00CB67D1">
              <w:rPr>
                <w:rFonts w:cs="Times New Roman"/>
                <w:sz w:val="20"/>
                <w:szCs w:val="20"/>
              </w:rPr>
              <w:t>[12]</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39384D1"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18</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D5B20AA"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7</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C00F25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17</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B5D287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7</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FE5BCD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50.0 %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B8B322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0.91</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060F706A" w14:textId="77777777" w:rsidR="002360AA" w:rsidRPr="00CB67D1" w:rsidRDefault="002360AA" w:rsidP="002360AA">
            <w:pPr>
              <w:spacing w:after="0"/>
              <w:jc w:val="right"/>
              <w:rPr>
                <w:rFonts w:cs="Times New Roman"/>
                <w:sz w:val="20"/>
                <w:szCs w:val="20"/>
              </w:rPr>
            </w:pPr>
            <w:r w:rsidRPr="00CB67D1">
              <w:rPr>
                <w:rFonts w:cs="Times New Roman"/>
                <w:sz w:val="20"/>
                <w:szCs w:val="20"/>
              </w:rPr>
              <w:t>[0.74</w:t>
            </w:r>
          </w:p>
        </w:tc>
        <w:tc>
          <w:tcPr>
            <w:tcW w:w="851" w:type="dxa"/>
            <w:tcBorders>
              <w:top w:val="single" w:sz="4" w:space="0" w:color="FFFFFF" w:themeColor="background1"/>
              <w:left w:val="single" w:sz="8" w:space="0" w:color="FFFFFF"/>
              <w:bottom w:val="single" w:sz="4" w:space="0" w:color="FFFFFF" w:themeColor="background1"/>
              <w:right w:val="single" w:sz="4" w:space="0" w:color="FFFFFF" w:themeColor="background1"/>
            </w:tcBorders>
            <w:vAlign w:val="center"/>
          </w:tcPr>
          <w:p w14:paraId="1958441D"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cBorders>
            <w:vAlign w:val="center"/>
          </w:tcPr>
          <w:p w14:paraId="6A39C97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3EFA081C"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7D3A473" w14:textId="77777777" w:rsidR="002360AA" w:rsidRPr="00CB67D1" w:rsidRDefault="002360AA" w:rsidP="002360AA">
            <w:pPr>
              <w:spacing w:after="0"/>
              <w:rPr>
                <w:rFonts w:cs="Times New Roman"/>
                <w:sz w:val="20"/>
                <w:szCs w:val="20"/>
              </w:rPr>
            </w:pPr>
            <w:r w:rsidRPr="00CB67D1">
              <w:rPr>
                <w:rFonts w:cs="Times New Roman"/>
                <w:sz w:val="20"/>
                <w:szCs w:val="20"/>
              </w:rPr>
              <w:t>[13]</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D58CD36"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18</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2C546C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53999B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18</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DCB9FC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7BD975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46.0 %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F64D79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7AAF07DA" w14:textId="77777777" w:rsidR="002360AA" w:rsidRPr="00CB67D1" w:rsidRDefault="002360AA" w:rsidP="002360AA">
            <w:pPr>
              <w:spacing w:after="0"/>
              <w:jc w:val="right"/>
              <w:rPr>
                <w:rFonts w:cs="Times New Roman"/>
                <w:sz w:val="20"/>
                <w:szCs w:val="20"/>
              </w:rPr>
            </w:pPr>
            <w:r w:rsidRPr="00CB67D1">
              <w:rPr>
                <w:rFonts w:cs="Times New Roman"/>
                <w:sz w:val="20"/>
                <w:szCs w:val="20"/>
              </w:rPr>
              <w:t>[0.87</w:t>
            </w:r>
          </w:p>
        </w:tc>
        <w:tc>
          <w:tcPr>
            <w:tcW w:w="851" w:type="dxa"/>
            <w:tcBorders>
              <w:top w:val="single" w:sz="4" w:space="0" w:color="FFFFFF" w:themeColor="background1"/>
              <w:left w:val="single" w:sz="8" w:space="0" w:color="FFFFFF"/>
              <w:bottom w:val="single" w:sz="4" w:space="0" w:color="FFFFFF" w:themeColor="background1"/>
              <w:right w:val="single" w:sz="4" w:space="0" w:color="FFFFFF" w:themeColor="background1"/>
            </w:tcBorders>
            <w:vAlign w:val="center"/>
          </w:tcPr>
          <w:p w14:paraId="27CD3427"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cBorders>
            <w:vAlign w:val="center"/>
          </w:tcPr>
          <w:p w14:paraId="06567CA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1597BEED"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915FF67" w14:textId="77777777" w:rsidR="002360AA" w:rsidRPr="00CB67D1" w:rsidRDefault="002360AA" w:rsidP="002360AA">
            <w:pPr>
              <w:spacing w:after="0"/>
              <w:rPr>
                <w:rFonts w:cs="Times New Roman"/>
                <w:sz w:val="20"/>
                <w:szCs w:val="20"/>
              </w:rPr>
            </w:pPr>
            <w:r w:rsidRPr="00CB67D1">
              <w:rPr>
                <w:rFonts w:cs="Times New Roman"/>
                <w:sz w:val="20"/>
                <w:szCs w:val="20"/>
              </w:rPr>
              <w:t>[14]</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BF3D51A"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15</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443399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205F68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14</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9D07A1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DE9337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36.0 %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667B43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0.86</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4379A255" w14:textId="77777777" w:rsidR="002360AA" w:rsidRPr="00CB67D1" w:rsidRDefault="002360AA" w:rsidP="002360AA">
            <w:pPr>
              <w:spacing w:after="0"/>
              <w:jc w:val="right"/>
              <w:rPr>
                <w:rFonts w:cs="Times New Roman"/>
                <w:sz w:val="20"/>
                <w:szCs w:val="20"/>
              </w:rPr>
            </w:pPr>
            <w:r w:rsidRPr="00CB67D1">
              <w:rPr>
                <w:rFonts w:cs="Times New Roman"/>
                <w:sz w:val="20"/>
                <w:szCs w:val="20"/>
              </w:rPr>
              <w:t>[0.75</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2C55767D"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0.98]</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65AF6A8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16BD0C8C"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9844ECE" w14:textId="77777777" w:rsidR="002360AA" w:rsidRPr="00CB67D1" w:rsidRDefault="002360AA" w:rsidP="002360AA">
            <w:pPr>
              <w:spacing w:after="0"/>
              <w:rPr>
                <w:rFonts w:cs="Times New Roman"/>
                <w:sz w:val="20"/>
                <w:szCs w:val="20"/>
              </w:rPr>
            </w:pPr>
            <w:r w:rsidRPr="00CB67D1">
              <w:rPr>
                <w:rFonts w:cs="Times New Roman"/>
                <w:sz w:val="20"/>
                <w:szCs w:val="20"/>
              </w:rPr>
              <w:t>[15]</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3D0245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30E8F2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8</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096561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272379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8</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2CB069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54.0 %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1C81F21"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655EF3C7" w14:textId="77777777" w:rsidR="002360AA" w:rsidRPr="00CB67D1" w:rsidRDefault="002360AA" w:rsidP="002360AA">
            <w:pPr>
              <w:spacing w:after="0"/>
              <w:jc w:val="right"/>
              <w:rPr>
                <w:rFonts w:cs="Times New Roman"/>
                <w:sz w:val="20"/>
                <w:szCs w:val="20"/>
              </w:rPr>
            </w:pPr>
            <w:r w:rsidRPr="00CB67D1">
              <w:rPr>
                <w:rFonts w:cs="Times New Roman"/>
                <w:sz w:val="20"/>
                <w:szCs w:val="20"/>
              </w:rPr>
              <w:t>[0.82</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06BAFB61"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4E4A62C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795B6230"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D970191" w14:textId="77777777" w:rsidR="002360AA" w:rsidRPr="00CB67D1" w:rsidRDefault="002360AA" w:rsidP="002360AA">
            <w:pPr>
              <w:spacing w:after="0"/>
              <w:rPr>
                <w:rFonts w:cs="Times New Roman"/>
                <w:sz w:val="20"/>
                <w:szCs w:val="20"/>
              </w:rPr>
            </w:pPr>
            <w:r w:rsidRPr="00CB67D1">
              <w:rPr>
                <w:rFonts w:cs="Times New Roman"/>
                <w:sz w:val="20"/>
                <w:szCs w:val="20"/>
              </w:rPr>
              <w:t>[16]</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524060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14</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208C34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537D76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14</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A5054A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6CB6AC6"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36.0 %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4CBEFF1"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5EC0CB5D" w14:textId="77777777" w:rsidR="002360AA" w:rsidRPr="00CB67D1" w:rsidRDefault="002360AA" w:rsidP="002360AA">
            <w:pPr>
              <w:spacing w:after="0"/>
              <w:jc w:val="right"/>
              <w:rPr>
                <w:rFonts w:cs="Times New Roman"/>
                <w:sz w:val="20"/>
                <w:szCs w:val="20"/>
              </w:rPr>
            </w:pPr>
            <w:r w:rsidRPr="00CB67D1">
              <w:rPr>
                <w:rFonts w:cs="Times New Roman"/>
                <w:sz w:val="20"/>
                <w:szCs w:val="20"/>
              </w:rPr>
              <w:t>[0.90</w:t>
            </w:r>
          </w:p>
        </w:tc>
        <w:tc>
          <w:tcPr>
            <w:tcW w:w="851" w:type="dxa"/>
            <w:tcBorders>
              <w:top w:val="single" w:sz="4" w:space="0" w:color="FFFFFF" w:themeColor="background1"/>
              <w:left w:val="single" w:sz="8" w:space="0" w:color="FFFFFF"/>
              <w:bottom w:val="single" w:sz="4" w:space="0" w:color="FFFFFF" w:themeColor="background1"/>
              <w:right w:val="single" w:sz="4" w:space="0" w:color="FFFFFF" w:themeColor="background1"/>
            </w:tcBorders>
            <w:vAlign w:val="center"/>
          </w:tcPr>
          <w:p w14:paraId="25468E52"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cBorders>
            <w:vAlign w:val="center"/>
          </w:tcPr>
          <w:p w14:paraId="1ECEA9F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2CCD54BF"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1D2B623" w14:textId="77777777" w:rsidR="002360AA" w:rsidRPr="00CB67D1" w:rsidRDefault="002360AA" w:rsidP="002360AA">
            <w:pPr>
              <w:spacing w:after="0"/>
              <w:rPr>
                <w:rFonts w:cs="Times New Roman"/>
                <w:sz w:val="20"/>
                <w:szCs w:val="20"/>
              </w:rPr>
            </w:pPr>
            <w:r w:rsidRPr="00CB67D1">
              <w:rPr>
                <w:rFonts w:cs="Times New Roman"/>
                <w:sz w:val="20"/>
                <w:szCs w:val="20"/>
              </w:rPr>
              <w:t>[17]</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BA2295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719CE0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7</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4016B9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58A18A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7</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DE1E9A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52.0 %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ECEBEE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3C7FA114" w14:textId="77777777" w:rsidR="002360AA" w:rsidRPr="00CB67D1" w:rsidRDefault="002360AA" w:rsidP="002360AA">
            <w:pPr>
              <w:spacing w:after="0"/>
              <w:jc w:val="right"/>
              <w:rPr>
                <w:rFonts w:cs="Times New Roman"/>
                <w:sz w:val="20"/>
                <w:szCs w:val="20"/>
              </w:rPr>
            </w:pPr>
            <w:r w:rsidRPr="00CB67D1">
              <w:rPr>
                <w:rFonts w:cs="Times New Roman"/>
                <w:sz w:val="20"/>
                <w:szCs w:val="20"/>
              </w:rPr>
              <w:t>[0.84</w:t>
            </w:r>
          </w:p>
        </w:tc>
        <w:tc>
          <w:tcPr>
            <w:tcW w:w="851" w:type="dxa"/>
            <w:tcBorders>
              <w:top w:val="single" w:sz="4" w:space="0" w:color="FFFFFF" w:themeColor="background1"/>
              <w:left w:val="single" w:sz="8" w:space="0" w:color="FFFFFF"/>
              <w:bottom w:val="single" w:sz="4" w:space="0" w:color="FFFFFF" w:themeColor="background1"/>
              <w:right w:val="single" w:sz="4" w:space="0" w:color="FFFFFF" w:themeColor="background1"/>
            </w:tcBorders>
            <w:vAlign w:val="center"/>
          </w:tcPr>
          <w:p w14:paraId="07535655"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8" w:space="0" w:color="FFFFFF"/>
            </w:tcBorders>
            <w:vAlign w:val="center"/>
          </w:tcPr>
          <w:p w14:paraId="2323BB1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128B0B4A"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C38F2BC" w14:textId="77777777" w:rsidR="002360AA" w:rsidRPr="00CB67D1" w:rsidRDefault="002360AA" w:rsidP="002360AA">
            <w:pPr>
              <w:spacing w:after="0"/>
              <w:rPr>
                <w:rFonts w:cs="Times New Roman"/>
                <w:sz w:val="20"/>
                <w:szCs w:val="20"/>
              </w:rPr>
            </w:pPr>
            <w:r w:rsidRPr="00CB67D1">
              <w:rPr>
                <w:rFonts w:cs="Times New Roman"/>
                <w:sz w:val="20"/>
                <w:szCs w:val="20"/>
              </w:rPr>
              <w:t>[18]</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C4FDDA"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13</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34B48B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A31A15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13</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D07996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79464C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37.5 %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2EBCD6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0.86</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5B3507AB" w14:textId="77777777" w:rsidR="002360AA" w:rsidRPr="00CB67D1" w:rsidRDefault="002360AA" w:rsidP="002360AA">
            <w:pPr>
              <w:spacing w:after="0"/>
              <w:jc w:val="right"/>
              <w:rPr>
                <w:rFonts w:cs="Times New Roman"/>
                <w:sz w:val="20"/>
                <w:szCs w:val="20"/>
              </w:rPr>
            </w:pPr>
            <w:r w:rsidRPr="00CB67D1">
              <w:rPr>
                <w:rFonts w:cs="Times New Roman"/>
                <w:sz w:val="20"/>
                <w:szCs w:val="20"/>
              </w:rPr>
              <w:t>[0.75</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1C741E23"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0.98]</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2DB4F796"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577C484D"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B3CC888" w14:textId="77777777" w:rsidR="002360AA" w:rsidRPr="00CB67D1" w:rsidRDefault="002360AA" w:rsidP="002360AA">
            <w:pPr>
              <w:spacing w:after="0"/>
              <w:rPr>
                <w:rFonts w:cs="Times New Roman"/>
                <w:sz w:val="20"/>
                <w:szCs w:val="20"/>
              </w:rPr>
            </w:pPr>
            <w:r w:rsidRPr="00CB67D1">
              <w:rPr>
                <w:rFonts w:cs="Times New Roman"/>
                <w:sz w:val="20"/>
                <w:szCs w:val="20"/>
              </w:rPr>
              <w:t>[19]</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5E6018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19</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3D5056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9</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E3C780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18</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0D5DFA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9</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7F15F6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60.9 %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1E607E6"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0.91</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30C9EAB5" w14:textId="77777777" w:rsidR="002360AA" w:rsidRPr="00CB67D1" w:rsidRDefault="002360AA" w:rsidP="002360AA">
            <w:pPr>
              <w:spacing w:after="0"/>
              <w:jc w:val="right"/>
              <w:rPr>
                <w:rFonts w:cs="Times New Roman"/>
                <w:sz w:val="20"/>
                <w:szCs w:val="20"/>
              </w:rPr>
            </w:pPr>
            <w:r w:rsidRPr="00CB67D1">
              <w:rPr>
                <w:rFonts w:cs="Times New Roman"/>
                <w:sz w:val="20"/>
                <w:szCs w:val="20"/>
              </w:rPr>
              <w:t>[0.72</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4D3DE7A9"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5AED2A4A"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138CA5D6"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5EE8FA2" w14:textId="77777777" w:rsidR="002360AA" w:rsidRPr="00CB67D1" w:rsidRDefault="002360AA" w:rsidP="002360AA">
            <w:pPr>
              <w:spacing w:after="0"/>
              <w:rPr>
                <w:rFonts w:cs="Times New Roman"/>
                <w:sz w:val="20"/>
                <w:szCs w:val="20"/>
              </w:rPr>
            </w:pPr>
            <w:r w:rsidRPr="00CB67D1">
              <w:rPr>
                <w:rFonts w:cs="Times New Roman"/>
                <w:sz w:val="20"/>
                <w:szCs w:val="20"/>
              </w:rPr>
              <w:t>[20]</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C0915A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15</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38FFB9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5B47102"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14</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6600B5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D9F78C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34.0 %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9E9F78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0.78</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2FC9286B" w14:textId="77777777" w:rsidR="002360AA" w:rsidRPr="00CB67D1" w:rsidRDefault="002360AA" w:rsidP="002360AA">
            <w:pPr>
              <w:spacing w:after="0"/>
              <w:jc w:val="right"/>
              <w:rPr>
                <w:rFonts w:cs="Times New Roman"/>
                <w:sz w:val="20"/>
                <w:szCs w:val="20"/>
              </w:rPr>
            </w:pPr>
            <w:r w:rsidRPr="00CB67D1">
              <w:rPr>
                <w:rFonts w:cs="Times New Roman"/>
                <w:sz w:val="20"/>
                <w:szCs w:val="20"/>
              </w:rPr>
              <w:t>[0.70</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532063D1"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0.85]</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1CA225B1"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substantial</w:t>
            </w:r>
          </w:p>
        </w:tc>
      </w:tr>
      <w:tr w:rsidR="002360AA" w:rsidRPr="00CB67D1" w14:paraId="16A70095"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5C2AE81" w14:textId="77777777" w:rsidR="002360AA" w:rsidRPr="00CB67D1" w:rsidRDefault="002360AA" w:rsidP="002360AA">
            <w:pPr>
              <w:spacing w:after="0"/>
              <w:rPr>
                <w:rFonts w:cs="Times New Roman"/>
                <w:sz w:val="20"/>
                <w:szCs w:val="20"/>
              </w:rPr>
            </w:pPr>
            <w:r w:rsidRPr="00CB67D1">
              <w:rPr>
                <w:rFonts w:cs="Times New Roman"/>
                <w:sz w:val="20"/>
                <w:szCs w:val="20"/>
              </w:rPr>
              <w:t>[21]</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8AD4156"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20</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9B05C1A"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12</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DCA45C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20</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3E4F36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12</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15ADB7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64.0 %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5A303C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19D5D513" w14:textId="77777777" w:rsidR="002360AA" w:rsidRPr="00CB67D1" w:rsidRDefault="002360AA" w:rsidP="002360AA">
            <w:pPr>
              <w:spacing w:after="0"/>
              <w:jc w:val="right"/>
              <w:rPr>
                <w:rFonts w:cs="Times New Roman"/>
                <w:sz w:val="20"/>
                <w:szCs w:val="20"/>
              </w:rPr>
            </w:pPr>
            <w:r w:rsidRPr="00CB67D1">
              <w:rPr>
                <w:rFonts w:cs="Times New Roman"/>
                <w:sz w:val="20"/>
                <w:szCs w:val="20"/>
              </w:rPr>
              <w:t>[0.80</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3B5BE835"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4FE81CD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20CCB67D"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FCE0882" w14:textId="77777777" w:rsidR="002360AA" w:rsidRPr="00CB67D1" w:rsidRDefault="002360AA" w:rsidP="002360AA">
            <w:pPr>
              <w:spacing w:after="0"/>
              <w:rPr>
                <w:rFonts w:cs="Times New Roman"/>
                <w:sz w:val="20"/>
                <w:szCs w:val="20"/>
              </w:rPr>
            </w:pPr>
            <w:r w:rsidRPr="00CB67D1">
              <w:rPr>
                <w:rFonts w:cs="Times New Roman"/>
                <w:sz w:val="20"/>
                <w:szCs w:val="20"/>
              </w:rPr>
              <w:t>[22]</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E29156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14</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927EB4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B793C1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14</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501F9A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7D3F662"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40.0 %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99FB83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0.88</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2F6BBD33" w14:textId="77777777" w:rsidR="002360AA" w:rsidRPr="00CB67D1" w:rsidRDefault="002360AA" w:rsidP="002360AA">
            <w:pPr>
              <w:spacing w:after="0"/>
              <w:jc w:val="right"/>
              <w:rPr>
                <w:rFonts w:cs="Times New Roman"/>
                <w:sz w:val="20"/>
                <w:szCs w:val="20"/>
              </w:rPr>
            </w:pPr>
            <w:r w:rsidRPr="00CB67D1">
              <w:rPr>
                <w:rFonts w:cs="Times New Roman"/>
                <w:sz w:val="20"/>
                <w:szCs w:val="20"/>
              </w:rPr>
              <w:t>[0.75</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53461A7A"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4372A91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30D91AF3"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8818D8F" w14:textId="77777777" w:rsidR="002360AA" w:rsidRPr="00CB67D1" w:rsidRDefault="002360AA" w:rsidP="002360AA">
            <w:pPr>
              <w:spacing w:after="0"/>
              <w:rPr>
                <w:rFonts w:cs="Times New Roman"/>
                <w:sz w:val="20"/>
                <w:szCs w:val="20"/>
              </w:rPr>
            </w:pPr>
            <w:r w:rsidRPr="00CB67D1">
              <w:rPr>
                <w:rFonts w:cs="Times New Roman"/>
                <w:sz w:val="20"/>
                <w:szCs w:val="20"/>
              </w:rPr>
              <w:t>[23]</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D2090F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13</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5667B1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78E25D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14</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34F3B6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1A7514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36.0 %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AE5459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0.86</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48AA976E" w14:textId="77777777" w:rsidR="002360AA" w:rsidRPr="00CB67D1" w:rsidRDefault="002360AA" w:rsidP="002360AA">
            <w:pPr>
              <w:spacing w:after="0"/>
              <w:jc w:val="right"/>
              <w:rPr>
                <w:rFonts w:cs="Times New Roman"/>
                <w:sz w:val="20"/>
                <w:szCs w:val="20"/>
              </w:rPr>
            </w:pPr>
            <w:r w:rsidRPr="00CB67D1">
              <w:rPr>
                <w:rFonts w:cs="Times New Roman"/>
                <w:sz w:val="20"/>
                <w:szCs w:val="20"/>
              </w:rPr>
              <w:t>[0.75</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53802303"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0.98]</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75CC11F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28247504"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3EBB25F" w14:textId="77777777" w:rsidR="002360AA" w:rsidRPr="00CB67D1" w:rsidRDefault="002360AA" w:rsidP="002360AA">
            <w:pPr>
              <w:spacing w:after="0"/>
              <w:rPr>
                <w:rFonts w:cs="Times New Roman"/>
                <w:sz w:val="20"/>
                <w:szCs w:val="20"/>
              </w:rPr>
            </w:pPr>
            <w:r w:rsidRPr="00CB67D1">
              <w:rPr>
                <w:rFonts w:cs="Times New Roman"/>
                <w:sz w:val="20"/>
                <w:szCs w:val="20"/>
              </w:rPr>
              <w:t>[24]</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426B50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13</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BFC01E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DE1900C"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13</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15FFEE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AC2453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38.0 %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9E57D3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74023A1D" w14:textId="77777777" w:rsidR="002360AA" w:rsidRPr="00CB67D1" w:rsidRDefault="002360AA" w:rsidP="002360AA">
            <w:pPr>
              <w:spacing w:after="0"/>
              <w:jc w:val="right"/>
              <w:rPr>
                <w:rFonts w:cs="Times New Roman"/>
                <w:sz w:val="20"/>
                <w:szCs w:val="20"/>
              </w:rPr>
            </w:pPr>
            <w:r w:rsidRPr="00CB67D1">
              <w:rPr>
                <w:rFonts w:cs="Times New Roman"/>
                <w:sz w:val="20"/>
                <w:szCs w:val="20"/>
              </w:rPr>
              <w:t>[0.85</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147C6A24"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0400A772"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r w:rsidR="002360AA" w:rsidRPr="00CB67D1" w14:paraId="0DC84360"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9A9E190" w14:textId="77777777" w:rsidR="002360AA" w:rsidRPr="00CB67D1" w:rsidRDefault="002360AA" w:rsidP="002360AA">
            <w:pPr>
              <w:spacing w:after="0"/>
              <w:rPr>
                <w:rFonts w:cs="Times New Roman"/>
                <w:sz w:val="20"/>
                <w:szCs w:val="20"/>
              </w:rPr>
            </w:pPr>
            <w:r w:rsidRPr="00CB67D1">
              <w:rPr>
                <w:rFonts w:cs="Times New Roman"/>
                <w:sz w:val="20"/>
                <w:szCs w:val="20"/>
              </w:rPr>
              <w:t>[25]</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53F134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16</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FD2521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7</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2A4466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15</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32C9AD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13C9B92"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46.0 %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D2900B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0.78</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490E1E30" w14:textId="77777777" w:rsidR="002360AA" w:rsidRPr="00CB67D1" w:rsidRDefault="002360AA" w:rsidP="002360AA">
            <w:pPr>
              <w:spacing w:after="0"/>
              <w:jc w:val="right"/>
              <w:rPr>
                <w:rFonts w:cs="Times New Roman"/>
                <w:sz w:val="20"/>
                <w:szCs w:val="20"/>
              </w:rPr>
            </w:pPr>
            <w:r w:rsidRPr="00CB67D1">
              <w:rPr>
                <w:rFonts w:cs="Times New Roman"/>
                <w:sz w:val="20"/>
                <w:szCs w:val="20"/>
              </w:rPr>
              <w:t>[0.63</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3DA8F4E0"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0.92]</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15C6FC43"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substantial</w:t>
            </w:r>
          </w:p>
        </w:tc>
      </w:tr>
      <w:tr w:rsidR="002360AA" w:rsidRPr="00CB67D1" w14:paraId="2B748A2A"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56CD73B8" w14:textId="77777777" w:rsidR="002360AA" w:rsidRPr="00CB67D1" w:rsidRDefault="002360AA" w:rsidP="002360AA">
            <w:pPr>
              <w:spacing w:after="0"/>
              <w:rPr>
                <w:rFonts w:cs="Times New Roman"/>
                <w:sz w:val="20"/>
                <w:szCs w:val="20"/>
              </w:rPr>
            </w:pPr>
            <w:r w:rsidRPr="00CB67D1">
              <w:rPr>
                <w:rFonts w:cs="Times New Roman"/>
                <w:sz w:val="20"/>
                <w:szCs w:val="20"/>
              </w:rPr>
              <w:t>[26]</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2DD3C6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22</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C62033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15</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7234F9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20</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20B14D8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8</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4CF8805F"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74.0 %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461A329"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0.40</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60BD5640" w14:textId="77777777" w:rsidR="002360AA" w:rsidRPr="00CB67D1" w:rsidRDefault="002360AA" w:rsidP="002360AA">
            <w:pPr>
              <w:spacing w:after="0"/>
              <w:jc w:val="right"/>
              <w:rPr>
                <w:rFonts w:cs="Times New Roman"/>
                <w:sz w:val="20"/>
                <w:szCs w:val="20"/>
              </w:rPr>
            </w:pPr>
            <w:r w:rsidRPr="00CB67D1">
              <w:rPr>
                <w:rFonts w:cs="Times New Roman"/>
                <w:sz w:val="20"/>
                <w:szCs w:val="20"/>
              </w:rPr>
              <w:t>[0.27</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5AA2C6EA"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0.53]</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31B5EDE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fair</w:t>
            </w:r>
          </w:p>
        </w:tc>
      </w:tr>
      <w:tr w:rsidR="002360AA" w:rsidRPr="00CB67D1" w14:paraId="3260E8D7" w14:textId="77777777" w:rsidTr="002360AA">
        <w:trPr>
          <w:trHeight w:val="277"/>
        </w:trPr>
        <w:tc>
          <w:tcPr>
            <w:tcW w:w="8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30E53F88" w14:textId="77777777" w:rsidR="002360AA" w:rsidRPr="00CB67D1" w:rsidRDefault="002360AA" w:rsidP="002360AA">
            <w:pPr>
              <w:spacing w:after="0"/>
              <w:rPr>
                <w:rFonts w:cs="Times New Roman"/>
                <w:sz w:val="20"/>
                <w:szCs w:val="20"/>
              </w:rPr>
            </w:pPr>
            <w:r w:rsidRPr="00CB67D1">
              <w:rPr>
                <w:rFonts w:cs="Times New Roman"/>
                <w:sz w:val="20"/>
                <w:szCs w:val="20"/>
              </w:rPr>
              <w:t>[27]</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5C308D0"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20</w:t>
            </w:r>
          </w:p>
        </w:tc>
        <w:tc>
          <w:tcPr>
            <w:tcW w:w="7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6360D8D"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6</w:t>
            </w:r>
          </w:p>
        </w:tc>
        <w:tc>
          <w:tcPr>
            <w:tcW w:w="8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62B2829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20</w:t>
            </w:r>
          </w:p>
        </w:tc>
        <w:tc>
          <w:tcPr>
            <w:tcW w:w="6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754970D6"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119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1D7ABD9A"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54.0 %</w:t>
            </w:r>
          </w:p>
        </w:tc>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8C87A2A"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0.56</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cBorders>
            <w:vAlign w:val="center"/>
          </w:tcPr>
          <w:p w14:paraId="0E036019" w14:textId="77777777" w:rsidR="002360AA" w:rsidRPr="00CB67D1" w:rsidRDefault="002360AA" w:rsidP="002360AA">
            <w:pPr>
              <w:spacing w:after="0"/>
              <w:jc w:val="right"/>
              <w:rPr>
                <w:rFonts w:cs="Times New Roman"/>
                <w:sz w:val="20"/>
                <w:szCs w:val="20"/>
              </w:rPr>
            </w:pPr>
            <w:r w:rsidRPr="00CB67D1">
              <w:rPr>
                <w:rFonts w:cs="Times New Roman"/>
                <w:sz w:val="20"/>
                <w:szCs w:val="20"/>
              </w:rPr>
              <w:t>[0.44</w:t>
            </w:r>
          </w:p>
        </w:tc>
        <w:tc>
          <w:tcPr>
            <w:tcW w:w="851" w:type="dxa"/>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328A5375" w14:textId="77777777" w:rsidR="002360AA" w:rsidRPr="00CB67D1" w:rsidRDefault="002360AA" w:rsidP="002360AA">
            <w:pPr>
              <w:spacing w:after="0"/>
              <w:rPr>
                <w:rFonts w:cs="Times New Roman"/>
                <w:color w:val="000000"/>
                <w:sz w:val="20"/>
                <w:szCs w:val="20"/>
              </w:rPr>
            </w:pPr>
            <w:r w:rsidRPr="00CB67D1">
              <w:rPr>
                <w:rFonts w:cs="Times New Roman"/>
                <w:color w:val="000000"/>
                <w:sz w:val="20"/>
                <w:szCs w:val="20"/>
              </w:rPr>
              <w:t>0.68]</w:t>
            </w:r>
          </w:p>
        </w:tc>
        <w:tc>
          <w:tcPr>
            <w:tcW w:w="1701" w:type="dxa"/>
            <w:gridSpan w:val="2"/>
            <w:tcBorders>
              <w:top w:val="single" w:sz="4" w:space="0" w:color="FFFFFF" w:themeColor="background1"/>
              <w:left w:val="single" w:sz="8" w:space="0" w:color="FFFFFF"/>
              <w:bottom w:val="single" w:sz="4" w:space="0" w:color="FFFFFF" w:themeColor="background1"/>
              <w:right w:val="single" w:sz="8" w:space="0" w:color="FFFFFF"/>
            </w:tcBorders>
            <w:vAlign w:val="center"/>
          </w:tcPr>
          <w:p w14:paraId="7FB08811"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moderate</w:t>
            </w:r>
          </w:p>
        </w:tc>
      </w:tr>
      <w:tr w:rsidR="002360AA" w:rsidRPr="00CB67D1" w14:paraId="3BE0B6D4" w14:textId="77777777" w:rsidTr="002360AA">
        <w:trPr>
          <w:trHeight w:val="277"/>
        </w:trPr>
        <w:tc>
          <w:tcPr>
            <w:tcW w:w="846" w:type="dxa"/>
            <w:tcBorders>
              <w:top w:val="single" w:sz="8" w:space="0" w:color="FFFFFF" w:themeColor="background1"/>
              <w:left w:val="single" w:sz="8" w:space="0" w:color="FFFFFF" w:themeColor="background1"/>
              <w:bottom w:val="single" w:sz="6" w:space="0" w:color="auto"/>
              <w:right w:val="single" w:sz="8" w:space="0" w:color="FFFFFF" w:themeColor="background1"/>
            </w:tcBorders>
            <w:vAlign w:val="center"/>
          </w:tcPr>
          <w:p w14:paraId="4AD152E7" w14:textId="77777777" w:rsidR="002360AA" w:rsidRPr="00CB67D1" w:rsidRDefault="002360AA" w:rsidP="002360AA">
            <w:pPr>
              <w:spacing w:after="0"/>
              <w:rPr>
                <w:rFonts w:cs="Times New Roman"/>
                <w:sz w:val="20"/>
                <w:szCs w:val="20"/>
              </w:rPr>
            </w:pPr>
            <w:r w:rsidRPr="00CB67D1">
              <w:rPr>
                <w:rFonts w:cs="Times New Roman"/>
                <w:sz w:val="20"/>
                <w:szCs w:val="20"/>
              </w:rPr>
              <w:t>[28]</w:t>
            </w:r>
          </w:p>
        </w:tc>
        <w:tc>
          <w:tcPr>
            <w:tcW w:w="709" w:type="dxa"/>
            <w:tcBorders>
              <w:top w:val="single" w:sz="8" w:space="0" w:color="FFFFFF" w:themeColor="background1"/>
              <w:left w:val="single" w:sz="8" w:space="0" w:color="FFFFFF" w:themeColor="background1"/>
              <w:bottom w:val="single" w:sz="6" w:space="0" w:color="auto"/>
              <w:right w:val="single" w:sz="8" w:space="0" w:color="FFFFFF" w:themeColor="background1"/>
            </w:tcBorders>
            <w:vAlign w:val="center"/>
          </w:tcPr>
          <w:p w14:paraId="5B6636BE"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18</w:t>
            </w:r>
          </w:p>
        </w:tc>
        <w:tc>
          <w:tcPr>
            <w:tcW w:w="708" w:type="dxa"/>
            <w:tcBorders>
              <w:top w:val="single" w:sz="8" w:space="0" w:color="FFFFFF" w:themeColor="background1"/>
              <w:left w:val="single" w:sz="8" w:space="0" w:color="FFFFFF" w:themeColor="background1"/>
              <w:bottom w:val="single" w:sz="6" w:space="0" w:color="auto"/>
              <w:right w:val="single" w:sz="8" w:space="0" w:color="FFFFFF" w:themeColor="background1"/>
            </w:tcBorders>
            <w:vAlign w:val="center"/>
          </w:tcPr>
          <w:p w14:paraId="7B4EF428"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851" w:type="dxa"/>
            <w:tcBorders>
              <w:top w:val="single" w:sz="8" w:space="0" w:color="FFFFFF" w:themeColor="background1"/>
              <w:left w:val="single" w:sz="8" w:space="0" w:color="FFFFFF" w:themeColor="background1"/>
              <w:bottom w:val="single" w:sz="6" w:space="0" w:color="auto"/>
              <w:right w:val="single" w:sz="8" w:space="0" w:color="FFFFFF" w:themeColor="background1"/>
            </w:tcBorders>
            <w:vAlign w:val="center"/>
          </w:tcPr>
          <w:p w14:paraId="1EF99A45"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18</w:t>
            </w:r>
          </w:p>
        </w:tc>
        <w:tc>
          <w:tcPr>
            <w:tcW w:w="650" w:type="dxa"/>
            <w:tcBorders>
              <w:top w:val="single" w:sz="8" w:space="0" w:color="FFFFFF" w:themeColor="background1"/>
              <w:left w:val="single" w:sz="8" w:space="0" w:color="FFFFFF" w:themeColor="background1"/>
              <w:bottom w:val="single" w:sz="6" w:space="0" w:color="auto"/>
              <w:right w:val="single" w:sz="8" w:space="0" w:color="FFFFFF" w:themeColor="background1"/>
            </w:tcBorders>
            <w:vAlign w:val="center"/>
          </w:tcPr>
          <w:p w14:paraId="68A006BB"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w:t>
            </w:r>
          </w:p>
        </w:tc>
        <w:tc>
          <w:tcPr>
            <w:tcW w:w="1193" w:type="dxa"/>
            <w:gridSpan w:val="2"/>
            <w:tcBorders>
              <w:top w:val="single" w:sz="8" w:space="0" w:color="FFFFFF" w:themeColor="background1"/>
              <w:left w:val="single" w:sz="8" w:space="0" w:color="FFFFFF" w:themeColor="background1"/>
              <w:bottom w:val="single" w:sz="6" w:space="0" w:color="auto"/>
              <w:right w:val="single" w:sz="8" w:space="0" w:color="FFFFFF" w:themeColor="background1"/>
            </w:tcBorders>
            <w:vAlign w:val="center"/>
          </w:tcPr>
          <w:p w14:paraId="5E2F209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44.0 %</w:t>
            </w:r>
          </w:p>
        </w:tc>
        <w:tc>
          <w:tcPr>
            <w:tcW w:w="850" w:type="dxa"/>
            <w:tcBorders>
              <w:top w:val="single" w:sz="8" w:space="0" w:color="FFFFFF" w:themeColor="background1"/>
              <w:left w:val="single" w:sz="8" w:space="0" w:color="FFFFFF" w:themeColor="background1"/>
              <w:bottom w:val="single" w:sz="6" w:space="0" w:color="auto"/>
              <w:right w:val="single" w:sz="8" w:space="0" w:color="FFFFFF" w:themeColor="background1"/>
            </w:tcBorders>
            <w:vAlign w:val="center"/>
          </w:tcPr>
          <w:p w14:paraId="5101B624"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1.00</w:t>
            </w:r>
          </w:p>
        </w:tc>
        <w:tc>
          <w:tcPr>
            <w:tcW w:w="992" w:type="dxa"/>
            <w:tcBorders>
              <w:top w:val="single" w:sz="8" w:space="0" w:color="FFFFFF" w:themeColor="background1"/>
              <w:left w:val="single" w:sz="8" w:space="0" w:color="FFFFFF" w:themeColor="background1"/>
              <w:bottom w:val="single" w:sz="6" w:space="0" w:color="auto"/>
              <w:right w:val="single" w:sz="8" w:space="0" w:color="FFFFFF"/>
            </w:tcBorders>
            <w:vAlign w:val="center"/>
          </w:tcPr>
          <w:p w14:paraId="49B55DE4" w14:textId="77777777" w:rsidR="002360AA" w:rsidRPr="00CB67D1" w:rsidRDefault="002360AA" w:rsidP="002360AA">
            <w:pPr>
              <w:spacing w:after="0"/>
              <w:jc w:val="right"/>
              <w:rPr>
                <w:rFonts w:cs="Times New Roman"/>
                <w:sz w:val="20"/>
                <w:szCs w:val="20"/>
              </w:rPr>
            </w:pPr>
            <w:r w:rsidRPr="00CB67D1">
              <w:rPr>
                <w:rFonts w:cs="Times New Roman"/>
                <w:sz w:val="20"/>
                <w:szCs w:val="20"/>
              </w:rPr>
              <w:t>[0.89</w:t>
            </w:r>
          </w:p>
        </w:tc>
        <w:tc>
          <w:tcPr>
            <w:tcW w:w="851" w:type="dxa"/>
            <w:tcBorders>
              <w:top w:val="single" w:sz="4" w:space="0" w:color="FFFFFF" w:themeColor="background1"/>
              <w:left w:val="single" w:sz="8" w:space="0" w:color="FFFFFF"/>
              <w:bottom w:val="single" w:sz="6" w:space="0" w:color="auto"/>
              <w:right w:val="single" w:sz="8" w:space="0" w:color="FFFFFF"/>
            </w:tcBorders>
            <w:vAlign w:val="center"/>
          </w:tcPr>
          <w:p w14:paraId="4DDFD35C" w14:textId="77777777" w:rsidR="002360AA" w:rsidRPr="00CB67D1" w:rsidRDefault="002360AA" w:rsidP="002360AA">
            <w:pPr>
              <w:spacing w:after="0"/>
              <w:jc w:val="right"/>
              <w:rPr>
                <w:rFonts w:cs="Times New Roman"/>
                <w:color w:val="000000"/>
                <w:sz w:val="20"/>
                <w:szCs w:val="20"/>
              </w:rPr>
            </w:pPr>
            <w:r w:rsidRPr="00CB67D1">
              <w:rPr>
                <w:rFonts w:cs="Times New Roman"/>
                <w:color w:val="000000"/>
                <w:sz w:val="20"/>
                <w:szCs w:val="20"/>
              </w:rPr>
              <w:t>1.00]</w:t>
            </w:r>
          </w:p>
        </w:tc>
        <w:tc>
          <w:tcPr>
            <w:tcW w:w="1701" w:type="dxa"/>
            <w:gridSpan w:val="2"/>
            <w:tcBorders>
              <w:top w:val="single" w:sz="4" w:space="0" w:color="FFFFFF" w:themeColor="background1"/>
              <w:left w:val="single" w:sz="8" w:space="0" w:color="FFFFFF"/>
              <w:bottom w:val="single" w:sz="6" w:space="0" w:color="auto"/>
              <w:right w:val="single" w:sz="8" w:space="0" w:color="FFFFFF"/>
            </w:tcBorders>
            <w:vAlign w:val="center"/>
          </w:tcPr>
          <w:p w14:paraId="1EBC60F7" w14:textId="77777777" w:rsidR="002360AA" w:rsidRPr="00CB67D1" w:rsidRDefault="002360AA" w:rsidP="002360AA">
            <w:pPr>
              <w:spacing w:after="0"/>
              <w:jc w:val="center"/>
              <w:rPr>
                <w:rFonts w:cs="Times New Roman"/>
                <w:color w:val="000000"/>
                <w:sz w:val="20"/>
                <w:szCs w:val="20"/>
              </w:rPr>
            </w:pPr>
            <w:r w:rsidRPr="00CB67D1">
              <w:rPr>
                <w:rFonts w:cs="Times New Roman"/>
                <w:color w:val="000000"/>
                <w:sz w:val="20"/>
                <w:szCs w:val="20"/>
              </w:rPr>
              <w:t>almost perfect</w:t>
            </w:r>
          </w:p>
        </w:tc>
      </w:tr>
    </w:tbl>
    <w:p w14:paraId="2BDBD7BE" w14:textId="37E7FEBD" w:rsidR="002E3FFE" w:rsidRPr="002E3FFE" w:rsidRDefault="002360AA" w:rsidP="002E3FFE">
      <w:pPr>
        <w:spacing w:after="0"/>
        <w:rPr>
          <w:rFonts w:cs="Times New Roman"/>
          <w:sz w:val="18"/>
          <w:szCs w:val="20"/>
          <w:lang w:val="de-DE"/>
        </w:rPr>
      </w:pPr>
      <w:r>
        <w:rPr>
          <w:rFonts w:cs="Times New Roman"/>
          <w:sz w:val="18"/>
          <w:szCs w:val="20"/>
          <w:lang w:val="en-GB"/>
        </w:rPr>
        <w:t>C-R</w:t>
      </w:r>
      <w:r w:rsidRPr="00F926D2">
        <w:rPr>
          <w:rFonts w:cs="Times New Roman"/>
          <w:sz w:val="18"/>
          <w:szCs w:val="20"/>
          <w:vertAlign w:val="subscript"/>
          <w:lang w:val="en-GB"/>
        </w:rPr>
        <w:t>1</w:t>
      </w:r>
      <w:r>
        <w:rPr>
          <w:rFonts w:cs="Times New Roman"/>
          <w:sz w:val="18"/>
          <w:szCs w:val="20"/>
          <w:lang w:val="en-GB"/>
        </w:rPr>
        <w:t xml:space="preserve"> = sum of items rated as controlled by rater 1; </w:t>
      </w:r>
      <w:r w:rsidRPr="00F26246">
        <w:rPr>
          <w:rFonts w:cs="Times New Roman"/>
          <w:sz w:val="18"/>
          <w:szCs w:val="20"/>
          <w:lang w:val="en-GB"/>
        </w:rPr>
        <w:t>C-R</w:t>
      </w:r>
      <w:r w:rsidRPr="00F26246">
        <w:rPr>
          <w:rFonts w:cs="Times New Roman"/>
          <w:sz w:val="18"/>
          <w:szCs w:val="20"/>
          <w:vertAlign w:val="subscript"/>
          <w:lang w:val="en-GB"/>
        </w:rPr>
        <w:t>2</w:t>
      </w:r>
      <w:r w:rsidRPr="00F26246">
        <w:rPr>
          <w:rFonts w:cs="Times New Roman"/>
          <w:sz w:val="18"/>
          <w:szCs w:val="20"/>
          <w:lang w:val="en-GB"/>
        </w:rPr>
        <w:t xml:space="preserve"> = sum of items rated as controlled by rater 2</w:t>
      </w:r>
      <w:r>
        <w:rPr>
          <w:rFonts w:cs="Times New Roman"/>
          <w:sz w:val="18"/>
          <w:szCs w:val="20"/>
          <w:lang w:val="en-GB"/>
        </w:rPr>
        <w:t xml:space="preserve">; </w:t>
      </w:r>
      <w:r w:rsidRPr="00F26246">
        <w:rPr>
          <w:rFonts w:cs="Times New Roman"/>
          <w:sz w:val="18"/>
          <w:szCs w:val="20"/>
          <w:lang w:val="en-GB"/>
        </w:rPr>
        <w:t xml:space="preserve">κ = </w:t>
      </w:r>
      <w:r w:rsidRPr="00F26246">
        <w:rPr>
          <w:rFonts w:cs="Times New Roman"/>
          <w:sz w:val="16"/>
          <w:szCs w:val="20"/>
          <w:lang w:val="en-GB"/>
        </w:rPr>
        <w:t>Cohen´s Kappa</w:t>
      </w:r>
      <w:r w:rsidRPr="00F26246">
        <w:rPr>
          <w:rFonts w:cs="Times New Roman"/>
          <w:sz w:val="18"/>
          <w:szCs w:val="20"/>
          <w:lang w:val="en-GB"/>
        </w:rPr>
        <w:t>; R-R</w:t>
      </w:r>
      <w:r w:rsidRPr="00F26246">
        <w:rPr>
          <w:rFonts w:cs="Times New Roman"/>
          <w:sz w:val="18"/>
          <w:szCs w:val="20"/>
          <w:vertAlign w:val="subscript"/>
          <w:lang w:val="en-GB"/>
        </w:rPr>
        <w:t>1</w:t>
      </w:r>
      <w:r w:rsidRPr="00F26246">
        <w:rPr>
          <w:rFonts w:cs="Times New Roman"/>
          <w:sz w:val="18"/>
          <w:szCs w:val="20"/>
          <w:lang w:val="en-GB"/>
        </w:rPr>
        <w:t xml:space="preserve"> = sum of items rated as reported by rater 1,</w:t>
      </w:r>
      <w:r>
        <w:rPr>
          <w:rFonts w:cs="Times New Roman"/>
          <w:sz w:val="18"/>
          <w:szCs w:val="20"/>
          <w:lang w:val="en-GB"/>
        </w:rPr>
        <w:t xml:space="preserve"> R-R</w:t>
      </w:r>
      <w:r w:rsidRPr="00F926D2">
        <w:rPr>
          <w:rFonts w:cs="Times New Roman"/>
          <w:sz w:val="18"/>
          <w:szCs w:val="20"/>
          <w:vertAlign w:val="subscript"/>
          <w:lang w:val="en-GB"/>
        </w:rPr>
        <w:t xml:space="preserve">2 </w:t>
      </w:r>
      <w:r>
        <w:rPr>
          <w:rFonts w:cs="Times New Roman"/>
          <w:sz w:val="18"/>
          <w:szCs w:val="20"/>
          <w:lang w:val="en-GB"/>
        </w:rPr>
        <w:t>= sum of items rated as reported by rater 2; total score = sum of per study reported or controlled items divided by the sum of applicable items</w:t>
      </w:r>
      <w:r w:rsidR="002E3FFE">
        <w:rPr>
          <w:rFonts w:cs="Times New Roman"/>
          <w:sz w:val="18"/>
          <w:szCs w:val="20"/>
          <w:lang w:val="en-GB"/>
        </w:rPr>
        <w:t xml:space="preserve">. </w:t>
      </w:r>
      <w:r w:rsidR="002E3FFE" w:rsidRPr="002E3FFE">
        <w:rPr>
          <w:rFonts w:cs="Times New Roman"/>
          <w:sz w:val="18"/>
          <w:szCs w:val="20"/>
          <w:lang w:val="en-GB"/>
        </w:rPr>
        <w:t>[1] Bashir et al. (2017)</w:t>
      </w:r>
      <w:r w:rsidR="002E3FFE">
        <w:rPr>
          <w:rFonts w:cs="Times New Roman"/>
          <w:sz w:val="18"/>
          <w:szCs w:val="20"/>
          <w:lang w:val="en-GB"/>
        </w:rPr>
        <w:t xml:space="preserve">; </w:t>
      </w:r>
      <w:r w:rsidR="002E3FFE" w:rsidRPr="002E3FFE">
        <w:rPr>
          <w:rFonts w:cs="Times New Roman"/>
          <w:sz w:val="18"/>
          <w:szCs w:val="20"/>
          <w:lang w:val="en-GB"/>
        </w:rPr>
        <w:t>[2] Bastani &amp; Jaberzadeh (2012)</w:t>
      </w:r>
      <w:r w:rsidR="002E3FFE">
        <w:rPr>
          <w:rFonts w:cs="Times New Roman"/>
          <w:sz w:val="18"/>
          <w:szCs w:val="20"/>
          <w:lang w:val="en-GB"/>
        </w:rPr>
        <w:t xml:space="preserve">; </w:t>
      </w:r>
      <w:r w:rsidR="002E3FFE" w:rsidRPr="002E3FFE">
        <w:rPr>
          <w:rFonts w:cs="Times New Roman"/>
          <w:sz w:val="18"/>
          <w:szCs w:val="20"/>
          <w:lang w:val="en-GB"/>
        </w:rPr>
        <w:t>[3] Biabani et al. (2018)</w:t>
      </w:r>
      <w:r w:rsidR="002E3FFE">
        <w:rPr>
          <w:rFonts w:cs="Times New Roman"/>
          <w:sz w:val="18"/>
          <w:szCs w:val="20"/>
          <w:lang w:val="en-GB"/>
        </w:rPr>
        <w:t xml:space="preserve">; </w:t>
      </w:r>
      <w:r w:rsidR="002E3FFE" w:rsidRPr="002E3FFE">
        <w:rPr>
          <w:rFonts w:cs="Times New Roman"/>
          <w:sz w:val="18"/>
          <w:szCs w:val="20"/>
          <w:lang w:val="en-GB"/>
        </w:rPr>
        <w:t>[4] Brown et al. (2017)</w:t>
      </w:r>
      <w:r w:rsidR="002E3FFE">
        <w:rPr>
          <w:rFonts w:cs="Times New Roman"/>
          <w:sz w:val="18"/>
          <w:szCs w:val="20"/>
          <w:lang w:val="en-GB"/>
        </w:rPr>
        <w:t xml:space="preserve">; </w:t>
      </w:r>
      <w:r w:rsidR="002E3FFE" w:rsidRPr="002E3FFE">
        <w:rPr>
          <w:rFonts w:cs="Times New Roman"/>
          <w:sz w:val="18"/>
          <w:szCs w:val="20"/>
          <w:lang w:val="en-GB"/>
        </w:rPr>
        <w:t>[5] Carroll et al. (2001)</w:t>
      </w:r>
      <w:r w:rsidR="002E3FFE">
        <w:rPr>
          <w:rFonts w:cs="Times New Roman"/>
          <w:sz w:val="18"/>
          <w:szCs w:val="20"/>
          <w:lang w:val="en-GB"/>
        </w:rPr>
        <w:t xml:space="preserve">; </w:t>
      </w:r>
      <w:r w:rsidR="002E3FFE" w:rsidRPr="002E3FFE">
        <w:rPr>
          <w:rFonts w:cs="Times New Roman"/>
          <w:sz w:val="18"/>
          <w:szCs w:val="20"/>
          <w:lang w:val="en-GB"/>
        </w:rPr>
        <w:t>[6] Chang et al. (2016)</w:t>
      </w:r>
      <w:r w:rsidR="002E3FFE">
        <w:rPr>
          <w:rFonts w:cs="Times New Roman"/>
          <w:sz w:val="18"/>
          <w:szCs w:val="20"/>
          <w:lang w:val="en-GB"/>
        </w:rPr>
        <w:t xml:space="preserve">; </w:t>
      </w:r>
      <w:r w:rsidR="002E3FFE" w:rsidRPr="002E3FFE">
        <w:rPr>
          <w:rFonts w:cs="Times New Roman"/>
          <w:sz w:val="18"/>
          <w:szCs w:val="20"/>
          <w:lang w:val="en-GB"/>
        </w:rPr>
        <w:t>[7] Christie et al. (2007)</w:t>
      </w:r>
      <w:r w:rsidR="002E3FFE">
        <w:rPr>
          <w:rFonts w:cs="Times New Roman"/>
          <w:sz w:val="18"/>
          <w:szCs w:val="20"/>
          <w:lang w:val="en-GB"/>
        </w:rPr>
        <w:t xml:space="preserve">; </w:t>
      </w:r>
      <w:r w:rsidR="002E3FFE" w:rsidRPr="002E3FFE">
        <w:rPr>
          <w:rFonts w:cs="Times New Roman"/>
          <w:sz w:val="18"/>
          <w:szCs w:val="20"/>
          <w:lang w:val="en-GB"/>
        </w:rPr>
        <w:t>[8] Cueva et al. (2016)</w:t>
      </w:r>
      <w:r w:rsidR="002E3FFE">
        <w:rPr>
          <w:rFonts w:cs="Times New Roman"/>
          <w:sz w:val="18"/>
          <w:szCs w:val="20"/>
          <w:lang w:val="en-GB"/>
        </w:rPr>
        <w:t xml:space="preserve">; </w:t>
      </w:r>
      <w:r w:rsidR="002E3FFE" w:rsidRPr="002E3FFE">
        <w:rPr>
          <w:rFonts w:cs="Times New Roman"/>
          <w:sz w:val="18"/>
          <w:szCs w:val="20"/>
          <w:lang w:val="en-GB"/>
        </w:rPr>
        <w:t>[9] Cuypers et al. (2014)</w:t>
      </w:r>
      <w:r w:rsidR="002E3FFE">
        <w:rPr>
          <w:rFonts w:cs="Times New Roman"/>
          <w:sz w:val="18"/>
          <w:szCs w:val="20"/>
          <w:lang w:val="en-GB"/>
        </w:rPr>
        <w:t xml:space="preserve">; </w:t>
      </w:r>
      <w:r w:rsidR="002E3FFE" w:rsidRPr="002E3FFE">
        <w:rPr>
          <w:rFonts w:cs="Times New Roman"/>
          <w:sz w:val="18"/>
          <w:szCs w:val="20"/>
          <w:lang w:val="en-GB"/>
        </w:rPr>
        <w:t>[10] Davila-Pérez et al. (2018)</w:t>
      </w:r>
      <w:r w:rsidR="002E3FFE">
        <w:rPr>
          <w:rFonts w:cs="Times New Roman"/>
          <w:sz w:val="18"/>
          <w:szCs w:val="20"/>
          <w:lang w:val="en-GB"/>
        </w:rPr>
        <w:t xml:space="preserve">; </w:t>
      </w:r>
      <w:r w:rsidR="002E3FFE" w:rsidRPr="002E3FFE">
        <w:rPr>
          <w:rFonts w:cs="Times New Roman"/>
          <w:sz w:val="18"/>
          <w:szCs w:val="20"/>
          <w:lang w:val="en-GB"/>
        </w:rPr>
        <w:t>[11] Dyke et al. (2018)</w:t>
      </w:r>
      <w:r w:rsidR="002E3FFE">
        <w:rPr>
          <w:rFonts w:cs="Times New Roman"/>
          <w:sz w:val="18"/>
          <w:szCs w:val="20"/>
          <w:lang w:val="en-GB"/>
        </w:rPr>
        <w:t xml:space="preserve">; </w:t>
      </w:r>
      <w:r w:rsidR="002E3FFE" w:rsidRPr="002E3FFE">
        <w:rPr>
          <w:rFonts w:cs="Times New Roman"/>
          <w:sz w:val="18"/>
          <w:szCs w:val="20"/>
          <w:lang w:val="en-GB"/>
        </w:rPr>
        <w:t xml:space="preserve">[12] Fleming et al. </w:t>
      </w:r>
      <w:r w:rsidR="002E3FFE" w:rsidRPr="002E3FFE">
        <w:rPr>
          <w:rFonts w:cs="Times New Roman"/>
          <w:sz w:val="18"/>
          <w:szCs w:val="20"/>
          <w:lang w:val="de-DE"/>
        </w:rPr>
        <w:t>(2012); [13] Goldsworthy et al. (2016); [14] Hashemirad et al. (2017); [15] Hassanzahraee et al. (2019); [16] Julkunen et al. (2009); [17] Jung et al. (2010); [18] Kamen (2004); [19] Kukke et al. (2014); [20] Liu &amp; Au-Yeung (2014)</w:t>
      </w:r>
      <w:r w:rsidR="002E3FFE">
        <w:rPr>
          <w:rFonts w:cs="Times New Roman"/>
          <w:sz w:val="18"/>
          <w:szCs w:val="20"/>
          <w:lang w:val="de-DE"/>
        </w:rPr>
        <w:t xml:space="preserve">; </w:t>
      </w:r>
      <w:r w:rsidR="002E3FFE" w:rsidRPr="002E3FFE">
        <w:rPr>
          <w:rFonts w:cs="Times New Roman"/>
          <w:sz w:val="18"/>
          <w:szCs w:val="20"/>
          <w:lang w:val="de-DE"/>
        </w:rPr>
        <w:t>[21] Malcolm et al. (2006)</w:t>
      </w:r>
      <w:r w:rsidR="002E3FFE">
        <w:rPr>
          <w:rFonts w:cs="Times New Roman"/>
          <w:sz w:val="18"/>
          <w:szCs w:val="20"/>
          <w:lang w:val="de-DE"/>
        </w:rPr>
        <w:t xml:space="preserve">; </w:t>
      </w:r>
      <w:r w:rsidR="002E3FFE" w:rsidRPr="002E3FFE">
        <w:rPr>
          <w:rFonts w:cs="Times New Roman"/>
          <w:sz w:val="18"/>
          <w:szCs w:val="20"/>
          <w:lang w:val="de-DE"/>
        </w:rPr>
        <w:t>[22] McDonnell et al. (2004)</w:t>
      </w:r>
      <w:r w:rsidR="002E3FFE">
        <w:rPr>
          <w:rFonts w:cs="Times New Roman"/>
          <w:sz w:val="18"/>
          <w:szCs w:val="20"/>
          <w:lang w:val="de-DE"/>
        </w:rPr>
        <w:t xml:space="preserve">; </w:t>
      </w:r>
      <w:r w:rsidR="002E3FFE" w:rsidRPr="002E3FFE">
        <w:rPr>
          <w:rFonts w:cs="Times New Roman"/>
          <w:sz w:val="18"/>
          <w:szCs w:val="20"/>
          <w:lang w:val="de-DE"/>
        </w:rPr>
        <w:t>[23] Ngomo et al. (2012)</w:t>
      </w:r>
      <w:r w:rsidR="002E3FFE">
        <w:rPr>
          <w:rFonts w:cs="Times New Roman"/>
          <w:sz w:val="18"/>
          <w:szCs w:val="20"/>
          <w:lang w:val="de-DE"/>
        </w:rPr>
        <w:t xml:space="preserve">; </w:t>
      </w:r>
      <w:r w:rsidR="002E3FFE" w:rsidRPr="002E3FFE">
        <w:rPr>
          <w:rFonts w:cs="Times New Roman"/>
          <w:sz w:val="18"/>
          <w:szCs w:val="20"/>
          <w:lang w:val="de-DE"/>
        </w:rPr>
        <w:t>[24] Nguyen et al. (2019)</w:t>
      </w:r>
      <w:r w:rsidR="002E3FFE">
        <w:rPr>
          <w:rFonts w:cs="Times New Roman"/>
          <w:sz w:val="18"/>
          <w:szCs w:val="20"/>
          <w:lang w:val="de-DE"/>
        </w:rPr>
        <w:t xml:space="preserve">; </w:t>
      </w:r>
      <w:r w:rsidR="002E3FFE" w:rsidRPr="002E3FFE">
        <w:rPr>
          <w:rFonts w:cs="Times New Roman"/>
          <w:sz w:val="18"/>
          <w:szCs w:val="20"/>
          <w:lang w:val="de-DE"/>
        </w:rPr>
        <w:t>[25] Pellegrini et al. (2018b)</w:t>
      </w:r>
      <w:r w:rsidR="002E3FFE">
        <w:rPr>
          <w:rFonts w:cs="Times New Roman"/>
          <w:sz w:val="18"/>
          <w:szCs w:val="20"/>
          <w:lang w:val="de-DE"/>
        </w:rPr>
        <w:t xml:space="preserve">; </w:t>
      </w:r>
      <w:r w:rsidR="002E3FFE" w:rsidRPr="002E3FFE">
        <w:rPr>
          <w:rFonts w:cs="Times New Roman"/>
          <w:sz w:val="18"/>
          <w:szCs w:val="20"/>
          <w:lang w:val="de-DE"/>
        </w:rPr>
        <w:t>[26] Schambra et al. (2015)</w:t>
      </w:r>
      <w:r w:rsidR="002E3FFE">
        <w:rPr>
          <w:rFonts w:cs="Times New Roman"/>
          <w:sz w:val="18"/>
          <w:szCs w:val="20"/>
          <w:lang w:val="de-DE"/>
        </w:rPr>
        <w:t xml:space="preserve">; </w:t>
      </w:r>
      <w:r w:rsidR="002E3FFE" w:rsidRPr="002E3FFE">
        <w:rPr>
          <w:rFonts w:cs="Times New Roman"/>
          <w:sz w:val="18"/>
          <w:szCs w:val="20"/>
          <w:lang w:val="en-GB"/>
        </w:rPr>
        <w:t>[27] Therrien-Blanchet et al. (2022)</w:t>
      </w:r>
      <w:r w:rsidR="002E3FFE">
        <w:rPr>
          <w:rFonts w:cs="Times New Roman"/>
          <w:sz w:val="18"/>
          <w:szCs w:val="20"/>
          <w:lang w:val="de-DE"/>
        </w:rPr>
        <w:t xml:space="preserve">; </w:t>
      </w:r>
      <w:r w:rsidR="002E3FFE" w:rsidRPr="002E3FFE">
        <w:rPr>
          <w:rFonts w:cs="Times New Roman"/>
          <w:sz w:val="18"/>
          <w:szCs w:val="20"/>
          <w:lang w:val="en-GB"/>
        </w:rPr>
        <w:t>[28] Vaseghi et al. (2015)</w:t>
      </w:r>
      <w:r w:rsidR="002E3FFE">
        <w:rPr>
          <w:rFonts w:cs="Times New Roman"/>
          <w:sz w:val="18"/>
          <w:szCs w:val="20"/>
          <w:lang w:val="en-GB"/>
        </w:rPr>
        <w:t>.</w:t>
      </w:r>
    </w:p>
    <w:p w14:paraId="43700E3C" w14:textId="77777777" w:rsidR="00CB67D1" w:rsidRPr="00CB67D1" w:rsidRDefault="00CB67D1" w:rsidP="00CB67D1">
      <w:pPr>
        <w:spacing w:after="0"/>
        <w:rPr>
          <w:rFonts w:cs="Times New Roman"/>
          <w:sz w:val="18"/>
          <w:szCs w:val="20"/>
          <w:lang w:val="en-GB"/>
        </w:rPr>
      </w:pPr>
    </w:p>
    <w:p w14:paraId="73EB6D16" w14:textId="3DAC46FA" w:rsidR="002360AA" w:rsidRDefault="002360AA" w:rsidP="002360AA">
      <w:pPr>
        <w:pStyle w:val="Heading1"/>
      </w:pPr>
      <w:r>
        <w:t>References</w:t>
      </w:r>
    </w:p>
    <w:p w14:paraId="772DCEAF" w14:textId="77777777" w:rsidR="002E3FFE" w:rsidRPr="009A6638" w:rsidRDefault="002E3FFE" w:rsidP="002E3FFE">
      <w:pPr>
        <w:pStyle w:val="CitaviBibliographyEntry"/>
        <w:spacing w:line="240" w:lineRule="auto"/>
        <w:rPr>
          <w:rFonts w:ascii="Times New Roman" w:hAnsi="Times New Roman" w:cs="Times New Roman"/>
        </w:rPr>
      </w:pPr>
      <w:bookmarkStart w:id="1" w:name="_CTVL001ffa02cb45cd6413d92e9d7f315771011"/>
      <w:bookmarkStart w:id="2" w:name="_CTVL00189a9ea59a5a24fdfbf3458cfa3d04240"/>
      <w:r w:rsidRPr="009A6638">
        <w:rPr>
          <w:rFonts w:ascii="Times New Roman" w:hAnsi="Times New Roman" w:cs="Times New Roman"/>
        </w:rPr>
        <w:t>Bashir, S., Yoo, W.-K., Kim, H. S., Lim, H. S., Rotenberg, A., and Abu Jamea, A. (2017). The Number of Pulses Needed to Measure Corticospinal Excitability by Navigated Transcranial Magnetic Stimulation: Eyes Open vs. Close Condition.</w:t>
      </w:r>
      <w:bookmarkEnd w:id="1"/>
      <w:r w:rsidRPr="009A6638">
        <w:rPr>
          <w:rFonts w:ascii="Times New Roman" w:hAnsi="Times New Roman" w:cs="Times New Roman"/>
        </w:rPr>
        <w:t xml:space="preserve"> Front. Hum. Neurosci. 11, 121. doi: 10.3389/fnhum.2017.00121</w:t>
      </w:r>
    </w:p>
    <w:p w14:paraId="469C009B" w14:textId="77777777" w:rsidR="002E3FFE" w:rsidRPr="009A6638" w:rsidRDefault="002E3FFE" w:rsidP="002E3FFE">
      <w:pPr>
        <w:pStyle w:val="CitaviBibliographyEntry"/>
        <w:spacing w:line="240" w:lineRule="auto"/>
        <w:rPr>
          <w:rFonts w:ascii="Times New Roman" w:hAnsi="Times New Roman" w:cs="Times New Roman"/>
        </w:rPr>
      </w:pPr>
      <w:bookmarkStart w:id="3" w:name="_CTVL001110061ea086346fa9a51ac1545cc1461"/>
      <w:r w:rsidRPr="009A6638">
        <w:rPr>
          <w:rFonts w:ascii="Times New Roman" w:hAnsi="Times New Roman" w:cs="Times New Roman"/>
        </w:rPr>
        <w:t>Bastani, A., and Jaberzadeh, S. (2012). A higher number of TMS-elicited MEP from a combined hotspot improves intra- and inter-session reliability of the upper limb muscles in healthy individuals.</w:t>
      </w:r>
      <w:bookmarkEnd w:id="3"/>
      <w:r w:rsidRPr="009A6638">
        <w:rPr>
          <w:rFonts w:ascii="Times New Roman" w:hAnsi="Times New Roman" w:cs="Times New Roman"/>
        </w:rPr>
        <w:t xml:space="preserve"> PLoS One 7, e47582. doi: 10.1371/journal.pone.0047582</w:t>
      </w:r>
    </w:p>
    <w:p w14:paraId="344FF17A" w14:textId="77777777" w:rsidR="002E3FFE" w:rsidRPr="009A6638" w:rsidRDefault="002E3FFE" w:rsidP="002E3FFE">
      <w:pPr>
        <w:pStyle w:val="CitaviBibliographyEntry"/>
        <w:spacing w:line="240" w:lineRule="auto"/>
        <w:rPr>
          <w:rFonts w:ascii="Times New Roman" w:hAnsi="Times New Roman" w:cs="Times New Roman"/>
        </w:rPr>
      </w:pPr>
      <w:bookmarkStart w:id="4" w:name="_CTVL001f45a30d89c754ed2a04742ee55d833d8"/>
      <w:r w:rsidRPr="009A6638">
        <w:rPr>
          <w:rFonts w:ascii="Times New Roman" w:hAnsi="Times New Roman" w:cs="Times New Roman"/>
        </w:rPr>
        <w:t>Biabani, M., Farrell, M., Zoghi, M., Egan, G., and Jaberzadeh, S. (2018). The minimal number of TMS trials required for the reliable assessment of corticospinal excitability, short interval intracortical inhibition, and intracortical facilitation.</w:t>
      </w:r>
      <w:bookmarkEnd w:id="4"/>
      <w:r w:rsidRPr="009A6638">
        <w:rPr>
          <w:rFonts w:ascii="Times New Roman" w:hAnsi="Times New Roman" w:cs="Times New Roman"/>
        </w:rPr>
        <w:t xml:space="preserve"> Neurosci. Lett. 674, 94–100. doi: 10.1016/j.neulet.2018.03.026</w:t>
      </w:r>
    </w:p>
    <w:p w14:paraId="02F8F309" w14:textId="77777777" w:rsidR="002E3FFE" w:rsidRPr="009A6638" w:rsidRDefault="002E3FFE" w:rsidP="002E3FFE">
      <w:pPr>
        <w:pStyle w:val="CitaviBibliographyEntry"/>
        <w:spacing w:line="240" w:lineRule="auto"/>
        <w:rPr>
          <w:rFonts w:ascii="Times New Roman" w:hAnsi="Times New Roman" w:cs="Times New Roman"/>
        </w:rPr>
      </w:pPr>
      <w:bookmarkStart w:id="5" w:name="_CTVL00100835ea884524940b82f95b463ca78cf"/>
      <w:r w:rsidRPr="009A6638">
        <w:rPr>
          <w:rFonts w:ascii="Times New Roman" w:hAnsi="Times New Roman" w:cs="Times New Roman"/>
        </w:rPr>
        <w:t>Brown, K. E., Lohse, K. R., Mayer, I. M. S., Strigaro, G., Desikan, M., Casula, E. P., et al. (2017). The reliability of commonly used electrophysiology measures.</w:t>
      </w:r>
      <w:bookmarkEnd w:id="5"/>
      <w:r w:rsidRPr="009A6638">
        <w:rPr>
          <w:rFonts w:ascii="Times New Roman" w:hAnsi="Times New Roman" w:cs="Times New Roman"/>
        </w:rPr>
        <w:t xml:space="preserve"> Brain. Stimul</w:t>
      </w:r>
      <w:r w:rsidRPr="009A6638">
        <w:rPr>
          <w:rFonts w:ascii="Times New Roman" w:hAnsi="Times New Roman" w:cs="Times New Roman"/>
          <w:i/>
        </w:rPr>
        <w:t>.</w:t>
      </w:r>
      <w:r w:rsidRPr="009A6638">
        <w:rPr>
          <w:rFonts w:ascii="Times New Roman" w:hAnsi="Times New Roman" w:cs="Times New Roman"/>
        </w:rPr>
        <w:t xml:space="preserve"> 10, 1102–1111. doi: 10.1016/j.brs.2017.07.011</w:t>
      </w:r>
    </w:p>
    <w:p w14:paraId="2F5CE9B6" w14:textId="77777777" w:rsidR="00A41455" w:rsidRPr="009A6638" w:rsidRDefault="00A41455" w:rsidP="00A41455">
      <w:pPr>
        <w:pStyle w:val="CitaviBibliographyEntry"/>
        <w:spacing w:line="240" w:lineRule="auto"/>
        <w:rPr>
          <w:rFonts w:ascii="Times New Roman" w:hAnsi="Times New Roman" w:cs="Times New Roman"/>
        </w:rPr>
      </w:pPr>
      <w:bookmarkStart w:id="6" w:name="_CTVL0014d32920624324e6598b840656369c322"/>
      <w:r w:rsidRPr="009A6638">
        <w:rPr>
          <w:rFonts w:ascii="Times New Roman" w:hAnsi="Times New Roman" w:cs="Times New Roman"/>
        </w:rPr>
        <w:t>Carroll, T. J., Riek, S., and Carson, R. G. (2001). Reliability of the input–output properties of the cortico-spinal pathway obtained from transcranial magnetic and electrical stimulation.</w:t>
      </w:r>
      <w:bookmarkEnd w:id="6"/>
      <w:r w:rsidRPr="009A6638">
        <w:rPr>
          <w:rFonts w:ascii="Times New Roman" w:hAnsi="Times New Roman" w:cs="Times New Roman"/>
        </w:rPr>
        <w:t xml:space="preserve"> J Neurosci Methods 112, 193–202. doi: 10.1016/S0165-0270(01)00468-X</w:t>
      </w:r>
    </w:p>
    <w:p w14:paraId="07D98C29" w14:textId="59053DB6" w:rsidR="00A41455" w:rsidRDefault="00A41455" w:rsidP="00A41455">
      <w:pPr>
        <w:pStyle w:val="CitaviBibliographyEntry"/>
        <w:spacing w:line="240" w:lineRule="auto"/>
        <w:rPr>
          <w:rFonts w:ascii="Times New Roman" w:hAnsi="Times New Roman" w:cs="Times New Roman"/>
        </w:rPr>
      </w:pPr>
      <w:bookmarkStart w:id="7" w:name="_CTVL0015a1d6854b85e418dbc71ddec7d644a19"/>
      <w:r w:rsidRPr="009A6638">
        <w:rPr>
          <w:rFonts w:ascii="Times New Roman" w:hAnsi="Times New Roman" w:cs="Times New Roman"/>
        </w:rPr>
        <w:t>Chang, W. H., Fried, P. J., Saxena, S., Jannati, A., Gomes-Osman, J., Kim, Y.-H., et al. (2016). Optimal number of pulses as outcome measures of neuronavigated transcranial magnetic stimulation.</w:t>
      </w:r>
      <w:bookmarkEnd w:id="7"/>
      <w:r w:rsidRPr="009A6638">
        <w:rPr>
          <w:rFonts w:ascii="Times New Roman" w:hAnsi="Times New Roman" w:cs="Times New Roman"/>
        </w:rPr>
        <w:t xml:space="preserve"> Clin. Neurophysiol. 127, 2892–2897. doi: 10.1016/j.clinph.2016.04.001</w:t>
      </w:r>
    </w:p>
    <w:p w14:paraId="391D5864" w14:textId="4123EBB7" w:rsidR="00A41455" w:rsidRPr="00A41455" w:rsidRDefault="00A41455" w:rsidP="00A41455">
      <w:pPr>
        <w:pStyle w:val="CitaviBibliographyEntry"/>
        <w:spacing w:line="240" w:lineRule="auto"/>
        <w:rPr>
          <w:rFonts w:ascii="Times New Roman" w:hAnsi="Times New Roman" w:cs="Times New Roman"/>
          <w:szCs w:val="18"/>
        </w:rPr>
      </w:pPr>
      <w:r w:rsidRPr="002360AA">
        <w:rPr>
          <w:rFonts w:ascii="Times New Roman" w:hAnsi="Times New Roman" w:cs="Times New Roman"/>
          <w:szCs w:val="18"/>
        </w:rPr>
        <w:t>Chipchase, L., Schabrun, S., Cohen, L., Hodges, P., Ridding, M., Rothwell, J., et al. (2012). A checklist for assessing the methodological quality of studies using transcranial magnetic stimulation to study the motor system: an international consensus study. Clin. Neurophysiol. 123, 1698–1704. doi: 10.1016/j.clinph.2012.05.003</w:t>
      </w:r>
    </w:p>
    <w:p w14:paraId="51564F52" w14:textId="31F248DC" w:rsidR="002E3FFE" w:rsidRPr="00A41455" w:rsidRDefault="00A41455" w:rsidP="00A41455">
      <w:pPr>
        <w:pStyle w:val="CitaviBibliographyEntry"/>
        <w:spacing w:line="240" w:lineRule="auto"/>
        <w:rPr>
          <w:rFonts w:ascii="Times New Roman" w:hAnsi="Times New Roman" w:cs="Times New Roman"/>
        </w:rPr>
      </w:pPr>
      <w:bookmarkStart w:id="8" w:name="_CTVL00114d07e65d1fd49fdaac2cc2b303184ea"/>
      <w:r w:rsidRPr="009A6638">
        <w:rPr>
          <w:rFonts w:ascii="Times New Roman" w:hAnsi="Times New Roman" w:cs="Times New Roman"/>
        </w:rPr>
        <w:t>Christie, A., Fling, B., Crews, R. T., Mulwitz, L. A., and Kamen, G. (2007). Reliability of motor-evoked potentials in the ADM muscle of older adults.</w:t>
      </w:r>
      <w:bookmarkEnd w:id="8"/>
      <w:r w:rsidRPr="009A6638">
        <w:rPr>
          <w:rFonts w:ascii="Times New Roman" w:hAnsi="Times New Roman" w:cs="Times New Roman"/>
        </w:rPr>
        <w:t xml:space="preserve"> J Neurosci. Methods 164, 320–324. doi: 10.1016/j.jneumeth.2007.05.011</w:t>
      </w:r>
    </w:p>
    <w:p w14:paraId="579BBF4B" w14:textId="0DC5A209" w:rsidR="00CB67D1" w:rsidRDefault="00CB67D1" w:rsidP="00CB67D1">
      <w:pPr>
        <w:pStyle w:val="CitaviBibliographyEntry"/>
        <w:spacing w:line="240" w:lineRule="auto"/>
        <w:rPr>
          <w:rFonts w:ascii="Times New Roman" w:hAnsi="Times New Roman" w:cs="Times New Roman"/>
        </w:rPr>
      </w:pPr>
      <w:bookmarkStart w:id="9" w:name="_CTVL00158e1c36fc1354f27942ebecb5fef201f"/>
      <w:bookmarkEnd w:id="2"/>
      <w:r w:rsidRPr="00CB67D1">
        <w:rPr>
          <w:rFonts w:ascii="Times New Roman" w:hAnsi="Times New Roman" w:cs="Times New Roman"/>
        </w:rPr>
        <w:t>Cohen, J. (1960). A Coefficient of Agreement for Nominal Scales.</w:t>
      </w:r>
      <w:bookmarkEnd w:id="9"/>
      <w:r w:rsidRPr="00CB67D1">
        <w:rPr>
          <w:rFonts w:ascii="Times New Roman" w:hAnsi="Times New Roman" w:cs="Times New Roman"/>
        </w:rPr>
        <w:t xml:space="preserve"> Educational and Psychological Measurement 20, 37–46.</w:t>
      </w:r>
    </w:p>
    <w:p w14:paraId="09F20849" w14:textId="77777777" w:rsidR="00A41455" w:rsidRPr="009A6638" w:rsidRDefault="00A41455" w:rsidP="00A41455">
      <w:pPr>
        <w:pStyle w:val="CitaviBibliographyEntry"/>
        <w:spacing w:line="240" w:lineRule="auto"/>
        <w:rPr>
          <w:rFonts w:ascii="Times New Roman" w:hAnsi="Times New Roman" w:cs="Times New Roman"/>
        </w:rPr>
      </w:pPr>
      <w:bookmarkStart w:id="10" w:name="_CTVL001732bc1c025b14527a4c459254dbd5a61"/>
      <w:r w:rsidRPr="009A6638">
        <w:rPr>
          <w:rFonts w:ascii="Times New Roman" w:hAnsi="Times New Roman" w:cs="Times New Roman"/>
        </w:rPr>
        <w:t>Cueva, A. S., Galhardoni, R., Cury, R. G., Parravano, D. C., Correa, G., Araujo, H., et al. (2016). Normative data of cortical excitability measurements obtained by transcranial magnetic stimulation in healthy subjects.</w:t>
      </w:r>
      <w:bookmarkEnd w:id="10"/>
      <w:r w:rsidRPr="009A6638">
        <w:rPr>
          <w:rFonts w:ascii="Times New Roman" w:hAnsi="Times New Roman" w:cs="Times New Roman"/>
        </w:rPr>
        <w:t xml:space="preserve"> Neurophysiol. Clin</w:t>
      </w:r>
      <w:r w:rsidRPr="009A6638">
        <w:rPr>
          <w:rFonts w:ascii="Times New Roman" w:hAnsi="Times New Roman" w:cs="Times New Roman"/>
          <w:i/>
        </w:rPr>
        <w:t>.</w:t>
      </w:r>
      <w:r w:rsidRPr="009A6638">
        <w:rPr>
          <w:rFonts w:ascii="Times New Roman" w:hAnsi="Times New Roman" w:cs="Times New Roman"/>
        </w:rPr>
        <w:t xml:space="preserve"> 46, 43–51. doi: 10.1016/j.neucli.2015.12.003</w:t>
      </w:r>
    </w:p>
    <w:p w14:paraId="77B3B195" w14:textId="77777777" w:rsidR="00A41455" w:rsidRPr="009A6638" w:rsidRDefault="00A41455" w:rsidP="00A41455">
      <w:pPr>
        <w:pStyle w:val="CitaviBibliographyEntry"/>
        <w:spacing w:line="240" w:lineRule="auto"/>
        <w:rPr>
          <w:rFonts w:ascii="Times New Roman" w:hAnsi="Times New Roman" w:cs="Times New Roman"/>
        </w:rPr>
      </w:pPr>
      <w:bookmarkStart w:id="11" w:name="_CTVL0011740305c6f2345f7b13a66f60afcfd8d"/>
      <w:r w:rsidRPr="009A6638">
        <w:rPr>
          <w:rFonts w:ascii="Times New Roman" w:hAnsi="Times New Roman" w:cs="Times New Roman"/>
        </w:rPr>
        <w:t>Cuypers, K., Thijs, H., and Meesen, R. L. J. (2014). Optimization of the transcranial magnetic stimulation protocol by defining a reliable estimate for corticospinal excitability.</w:t>
      </w:r>
      <w:bookmarkEnd w:id="11"/>
      <w:r w:rsidRPr="009A6638">
        <w:rPr>
          <w:rFonts w:ascii="Times New Roman" w:hAnsi="Times New Roman" w:cs="Times New Roman"/>
        </w:rPr>
        <w:t xml:space="preserve"> PLoS One 9, e86380. doi: 10.1371/journal.pone.0086380</w:t>
      </w:r>
    </w:p>
    <w:p w14:paraId="71E5F3B5" w14:textId="31826FF0" w:rsidR="00A41455" w:rsidRDefault="00A41455" w:rsidP="00A41455">
      <w:pPr>
        <w:pStyle w:val="CitaviBibliographyEntry"/>
        <w:spacing w:line="240" w:lineRule="auto"/>
        <w:rPr>
          <w:rFonts w:ascii="Times New Roman" w:hAnsi="Times New Roman" w:cs="Times New Roman"/>
        </w:rPr>
      </w:pPr>
      <w:bookmarkStart w:id="12" w:name="_CTVL001b435d56e8b7c4cdaac8f9da2260d78d3"/>
      <w:r w:rsidRPr="009A6638">
        <w:rPr>
          <w:rFonts w:ascii="Times New Roman" w:hAnsi="Times New Roman" w:cs="Times New Roman"/>
        </w:rPr>
        <w:t>Davila-Pérez, P., Jannati, A., Fried, P. J., Cudeiro Mazaira, J., and Pascual-Leone, A. (2018). The Effects of Waveform and Current Direction on the Efficacy and Test-Retest Reliability of Transcranial Magnetic Stimulation.</w:t>
      </w:r>
      <w:bookmarkEnd w:id="12"/>
      <w:r w:rsidRPr="009A6638">
        <w:rPr>
          <w:rFonts w:ascii="Times New Roman" w:hAnsi="Times New Roman" w:cs="Times New Roman"/>
        </w:rPr>
        <w:t xml:space="preserve"> Neuroscience 393, 97–109. doi: 10.1016/j.neuroscience.2018.09.044</w:t>
      </w:r>
    </w:p>
    <w:p w14:paraId="355D270A" w14:textId="77777777" w:rsidR="00A41455" w:rsidRPr="009A6638" w:rsidRDefault="00A41455" w:rsidP="00A41455">
      <w:pPr>
        <w:pStyle w:val="CitaviBibliographyEntry"/>
        <w:spacing w:line="240" w:lineRule="auto"/>
        <w:rPr>
          <w:rFonts w:ascii="Times New Roman" w:hAnsi="Times New Roman" w:cs="Times New Roman"/>
        </w:rPr>
      </w:pPr>
      <w:bookmarkStart w:id="13" w:name="_CTVL00122fdb318dffd49259dcace13a36d96bc"/>
      <w:r w:rsidRPr="009A6638">
        <w:rPr>
          <w:rFonts w:ascii="Times New Roman" w:hAnsi="Times New Roman" w:cs="Times New Roman"/>
        </w:rPr>
        <w:t>Dyke, K., Kim, S., Jackson, G. M., and Jackson, S. R. (2018). Reliability of single and paired pulse transcranial magnetic stimulation parameters across eight testing sessions.</w:t>
      </w:r>
      <w:bookmarkEnd w:id="13"/>
      <w:r w:rsidRPr="009A6638">
        <w:rPr>
          <w:rFonts w:ascii="Times New Roman" w:hAnsi="Times New Roman" w:cs="Times New Roman"/>
        </w:rPr>
        <w:t xml:space="preserve"> Brain Stimul. 11, 1393–1394. doi: 10.1016/j.brs.2018.08.008</w:t>
      </w:r>
    </w:p>
    <w:p w14:paraId="2CEBCBCE" w14:textId="77777777" w:rsidR="00A41455" w:rsidRPr="009A6638" w:rsidRDefault="00A41455" w:rsidP="00A41455">
      <w:pPr>
        <w:pStyle w:val="CitaviBibliographyEntry"/>
        <w:spacing w:line="240" w:lineRule="auto"/>
        <w:rPr>
          <w:rFonts w:ascii="Times New Roman" w:hAnsi="Times New Roman" w:cs="Times New Roman"/>
        </w:rPr>
      </w:pPr>
      <w:bookmarkStart w:id="14" w:name="_CTVL0016a1515f302c5498bbf3e0990620b522a"/>
      <w:r w:rsidRPr="009A6638">
        <w:rPr>
          <w:rFonts w:ascii="Times New Roman" w:hAnsi="Times New Roman" w:cs="Times New Roman"/>
        </w:rPr>
        <w:t>Fleming, M. K., Sorinola, I. O., Di Newham, J., Roberts-Lewis, S. F., and Bergmann, J. H. M. (2012). The effect of coil type and navigation on the reliability of transcranial magnetic stimulation.</w:t>
      </w:r>
      <w:bookmarkEnd w:id="14"/>
      <w:r w:rsidRPr="009A6638">
        <w:rPr>
          <w:rFonts w:ascii="Times New Roman" w:hAnsi="Times New Roman" w:cs="Times New Roman"/>
        </w:rPr>
        <w:t xml:space="preserve"> IEEE Trans. Neural. Syst. Rehabil. Eng. 20, 617–625. doi: 10.1109/TNSRE.2012.2202692</w:t>
      </w:r>
    </w:p>
    <w:p w14:paraId="5DC2466C" w14:textId="77777777" w:rsidR="00A41455" w:rsidRPr="009A6638" w:rsidRDefault="00A41455" w:rsidP="00A41455">
      <w:pPr>
        <w:pStyle w:val="CitaviBibliographyEntry"/>
        <w:spacing w:line="240" w:lineRule="auto"/>
        <w:rPr>
          <w:rFonts w:ascii="Times New Roman" w:hAnsi="Times New Roman" w:cs="Times New Roman"/>
        </w:rPr>
      </w:pPr>
      <w:bookmarkStart w:id="15" w:name="_CTVL001c71563f6387f4430a2b9234af5289eac"/>
      <w:r w:rsidRPr="009A6638">
        <w:rPr>
          <w:rFonts w:ascii="Times New Roman" w:hAnsi="Times New Roman" w:cs="Times New Roman"/>
        </w:rPr>
        <w:t>Goldsworthy, M. R., Hordacre, B., and Ridding, M. C. (2016). Minimum number of trials required for within- and between-session reliability of TMS measures of corticospinal excitability.</w:t>
      </w:r>
      <w:bookmarkEnd w:id="15"/>
      <w:r w:rsidRPr="009A6638">
        <w:rPr>
          <w:rFonts w:ascii="Times New Roman" w:hAnsi="Times New Roman" w:cs="Times New Roman"/>
        </w:rPr>
        <w:t xml:space="preserve"> Neuroscience 320, 205–209. doi: 10.1016/j.neuroscience.2016.02.012</w:t>
      </w:r>
    </w:p>
    <w:p w14:paraId="65863ADA" w14:textId="77777777" w:rsidR="00A41455" w:rsidRPr="009A6638" w:rsidRDefault="00A41455" w:rsidP="00A41455">
      <w:pPr>
        <w:pStyle w:val="CitaviBibliographyEntry"/>
        <w:spacing w:line="240" w:lineRule="auto"/>
        <w:rPr>
          <w:rFonts w:ascii="Times New Roman" w:hAnsi="Times New Roman" w:cs="Times New Roman"/>
        </w:rPr>
      </w:pPr>
      <w:bookmarkStart w:id="16" w:name="_CTVL00188d58a591604437fa7971cefec4016c7"/>
      <w:r w:rsidRPr="009A6638">
        <w:rPr>
          <w:rFonts w:ascii="Times New Roman" w:hAnsi="Times New Roman" w:cs="Times New Roman"/>
        </w:rPr>
        <w:t>Hashemirad, F., Zoghi, M., Fitzgerald, P. B., and Jaberzadeh, S. (2017). Reliability of Motor Evoked Potentials Induced by Transcranial Magnetic Stimulation: The Effects of Initial Motor Evoked Potentials Removal.</w:t>
      </w:r>
      <w:bookmarkEnd w:id="16"/>
      <w:r w:rsidRPr="009A6638">
        <w:rPr>
          <w:rFonts w:ascii="Times New Roman" w:hAnsi="Times New Roman" w:cs="Times New Roman"/>
        </w:rPr>
        <w:t xml:space="preserve"> Basic Clin. Neurosci. 8, 43–50. doi: 10.15412/J.BCN.03080106</w:t>
      </w:r>
    </w:p>
    <w:p w14:paraId="698CB89A" w14:textId="77777777" w:rsidR="00A41455" w:rsidRPr="009A6638" w:rsidRDefault="00A41455" w:rsidP="00A41455">
      <w:pPr>
        <w:pStyle w:val="CitaviBibliographyEntry"/>
        <w:spacing w:line="240" w:lineRule="auto"/>
        <w:rPr>
          <w:rFonts w:ascii="Times New Roman" w:hAnsi="Times New Roman" w:cs="Times New Roman"/>
          <w:lang w:val="de-DE"/>
        </w:rPr>
      </w:pPr>
      <w:bookmarkStart w:id="17" w:name="_CTVL0018a9e7510a5354d2b8a32667bf64a712c"/>
      <w:r w:rsidRPr="009A6638">
        <w:rPr>
          <w:rFonts w:ascii="Times New Roman" w:hAnsi="Times New Roman" w:cs="Times New Roman"/>
        </w:rPr>
        <w:t>Hassanzahraee, M., Zoghi, M., and Jaberzadeh, S. (2019). Longer Transcranial Magnetic Stimulation Intertrial Interval Increases Size, Reduces Variability, and Improves the Reliability of Motor Evoked Potentials.</w:t>
      </w:r>
      <w:bookmarkEnd w:id="17"/>
      <w:r w:rsidRPr="009A6638">
        <w:rPr>
          <w:rFonts w:ascii="Times New Roman" w:hAnsi="Times New Roman" w:cs="Times New Roman"/>
        </w:rPr>
        <w:t xml:space="preserve"> </w:t>
      </w:r>
      <w:r w:rsidRPr="009A6638">
        <w:rPr>
          <w:rFonts w:ascii="Times New Roman" w:hAnsi="Times New Roman" w:cs="Times New Roman"/>
          <w:lang w:val="de-DE"/>
        </w:rPr>
        <w:t>Brain Connect. 9, 770–776. doi: 10.1089/brain.2019.0714</w:t>
      </w:r>
    </w:p>
    <w:p w14:paraId="5692CC01" w14:textId="77777777" w:rsidR="00A41455" w:rsidRPr="009A6638" w:rsidRDefault="00A41455" w:rsidP="00A41455">
      <w:pPr>
        <w:pStyle w:val="CitaviBibliographyEntry"/>
        <w:spacing w:line="240" w:lineRule="auto"/>
        <w:rPr>
          <w:rFonts w:ascii="Times New Roman" w:hAnsi="Times New Roman" w:cs="Times New Roman"/>
          <w:lang w:val="de-DE"/>
        </w:rPr>
      </w:pPr>
      <w:bookmarkStart w:id="18" w:name="_CTVL001a61871dd550949eba949a9e1e6f24cbe"/>
      <w:r w:rsidRPr="009A6638">
        <w:rPr>
          <w:rFonts w:ascii="Times New Roman" w:hAnsi="Times New Roman" w:cs="Times New Roman"/>
          <w:lang w:val="de-DE"/>
        </w:rPr>
        <w:t xml:space="preserve">Julkunen, P., Säisänen, L., Danner, N., Niskanen, E., Hukkanen, T., Mervaala, E., et al. </w:t>
      </w:r>
      <w:r w:rsidRPr="009A6638">
        <w:rPr>
          <w:rFonts w:ascii="Times New Roman" w:hAnsi="Times New Roman" w:cs="Times New Roman"/>
        </w:rPr>
        <w:t>(2009). Comparison of navigated and non-navigated transcranial magnetic stimulation for motor cortex mapping, motor threshold and motor evoked potentials.</w:t>
      </w:r>
      <w:bookmarkEnd w:id="18"/>
      <w:r w:rsidRPr="009A6638">
        <w:rPr>
          <w:rFonts w:ascii="Times New Roman" w:hAnsi="Times New Roman" w:cs="Times New Roman"/>
        </w:rPr>
        <w:t xml:space="preserve"> </w:t>
      </w:r>
      <w:r w:rsidRPr="009A6638">
        <w:rPr>
          <w:rFonts w:ascii="Times New Roman" w:hAnsi="Times New Roman" w:cs="Times New Roman"/>
          <w:lang w:val="de-DE"/>
        </w:rPr>
        <w:t>Neuroimage 44, 790–795. doi: 10.1016/j.neuroimage.2008.09.040</w:t>
      </w:r>
    </w:p>
    <w:p w14:paraId="58A916F5" w14:textId="77777777" w:rsidR="00A41455" w:rsidRPr="009A6638" w:rsidRDefault="00A41455" w:rsidP="00A41455">
      <w:pPr>
        <w:pStyle w:val="CitaviBibliographyEntry"/>
        <w:spacing w:line="240" w:lineRule="auto"/>
        <w:rPr>
          <w:rFonts w:ascii="Times New Roman" w:hAnsi="Times New Roman" w:cs="Times New Roman"/>
        </w:rPr>
      </w:pPr>
      <w:bookmarkStart w:id="19" w:name="_CTVL0018d87a8c3173f450a842dbe3310892bfd"/>
      <w:r w:rsidRPr="009A6638">
        <w:rPr>
          <w:rFonts w:ascii="Times New Roman" w:hAnsi="Times New Roman" w:cs="Times New Roman"/>
          <w:lang w:val="de-DE"/>
        </w:rPr>
        <w:t xml:space="preserve">Jung, N. H., Delvendahl, I., Kuhnke, N. G., Hauschke, D., Stolle, S., and Mall, V. (2010). </w:t>
      </w:r>
      <w:r w:rsidRPr="009A6638">
        <w:rPr>
          <w:rFonts w:ascii="Times New Roman" w:hAnsi="Times New Roman" w:cs="Times New Roman"/>
        </w:rPr>
        <w:t>Navigated transcranial magnetic stimulation does not decrease the variability of motor-evoked potentials.</w:t>
      </w:r>
      <w:bookmarkEnd w:id="19"/>
      <w:r w:rsidRPr="009A6638">
        <w:rPr>
          <w:rFonts w:ascii="Times New Roman" w:hAnsi="Times New Roman" w:cs="Times New Roman"/>
        </w:rPr>
        <w:t xml:space="preserve"> Brain Stimul. 3, 87–94. doi: 10.1016/j.brs.2009.10.003</w:t>
      </w:r>
    </w:p>
    <w:p w14:paraId="69E2919D" w14:textId="77777777" w:rsidR="00A41455" w:rsidRPr="009A6638" w:rsidRDefault="00A41455" w:rsidP="00A41455">
      <w:pPr>
        <w:pStyle w:val="CitaviBibliographyEntry"/>
        <w:spacing w:line="240" w:lineRule="auto"/>
        <w:rPr>
          <w:rFonts w:ascii="Times New Roman" w:hAnsi="Times New Roman" w:cs="Times New Roman"/>
        </w:rPr>
      </w:pPr>
      <w:bookmarkStart w:id="20" w:name="_CTVL00139dedde8251745c1b3188c718ba97ff3"/>
      <w:r w:rsidRPr="009A6638">
        <w:rPr>
          <w:rFonts w:ascii="Times New Roman" w:hAnsi="Times New Roman" w:cs="Times New Roman"/>
        </w:rPr>
        <w:t>Kamen, G. (2004). Reliability of motor-evoked potentials during resting and active contraction conditions.</w:t>
      </w:r>
      <w:bookmarkEnd w:id="20"/>
      <w:r w:rsidRPr="009A6638">
        <w:rPr>
          <w:rFonts w:ascii="Times New Roman" w:hAnsi="Times New Roman" w:cs="Times New Roman"/>
        </w:rPr>
        <w:t xml:space="preserve"> Med. Sci. Sports Exerc. 36, 1574–1579. doi: 10.1249/01.mss.0000139804.02576.6a</w:t>
      </w:r>
    </w:p>
    <w:p w14:paraId="08A6DC72" w14:textId="77777777" w:rsidR="00A41455" w:rsidRPr="009A6638" w:rsidRDefault="00A41455" w:rsidP="00A41455">
      <w:pPr>
        <w:pStyle w:val="CitaviBibliographyEntry"/>
        <w:spacing w:line="240" w:lineRule="auto"/>
        <w:rPr>
          <w:rFonts w:ascii="Times New Roman" w:hAnsi="Times New Roman" w:cs="Times New Roman"/>
        </w:rPr>
      </w:pPr>
      <w:bookmarkStart w:id="21" w:name="_CTVL0014830e9fe47ce4b13b604db7cb7846025"/>
      <w:r w:rsidRPr="009A6638">
        <w:rPr>
          <w:rFonts w:ascii="Times New Roman" w:hAnsi="Times New Roman" w:cs="Times New Roman"/>
        </w:rPr>
        <w:t>Kukke, S. N., Paine, R. W., Chao, C.-C., Campos, A. C. de, and Hallett, M. (2014). Efficient and reliable characterization of the corticospinal system using transcranial magnetic stimulation.</w:t>
      </w:r>
      <w:bookmarkEnd w:id="21"/>
      <w:r w:rsidRPr="009A6638">
        <w:rPr>
          <w:rFonts w:ascii="Times New Roman" w:hAnsi="Times New Roman" w:cs="Times New Roman"/>
        </w:rPr>
        <w:t xml:space="preserve"> J Clin. Neurophysiol. 31, 246–252. doi: 10.1097/WNP.0000000000000057</w:t>
      </w:r>
    </w:p>
    <w:p w14:paraId="740D17F6" w14:textId="77777777" w:rsidR="00A41455" w:rsidRPr="00CB67D1" w:rsidRDefault="00A41455" w:rsidP="00A41455">
      <w:pPr>
        <w:pStyle w:val="CitaviBibliographyEntry"/>
        <w:spacing w:line="240" w:lineRule="auto"/>
        <w:ind w:left="0" w:firstLine="0"/>
        <w:rPr>
          <w:rFonts w:ascii="Times New Roman" w:hAnsi="Times New Roman" w:cs="Times New Roman"/>
        </w:rPr>
      </w:pPr>
    </w:p>
    <w:p w14:paraId="20BDEAD2" w14:textId="77777777" w:rsidR="002360AA" w:rsidRPr="002360AA" w:rsidRDefault="002360AA" w:rsidP="002360AA">
      <w:pPr>
        <w:pStyle w:val="CitaviBibliographyEntry"/>
        <w:spacing w:line="240" w:lineRule="auto"/>
        <w:rPr>
          <w:rFonts w:ascii="Times New Roman" w:hAnsi="Times New Roman" w:cs="Times New Roman"/>
          <w:szCs w:val="18"/>
        </w:rPr>
      </w:pPr>
      <w:bookmarkStart w:id="22" w:name="_CTVL001b9896c65f2fd4dc7b247dcfe7ac699bb"/>
      <w:r w:rsidRPr="002360AA">
        <w:rPr>
          <w:rFonts w:ascii="Times New Roman" w:hAnsi="Times New Roman" w:cs="Times New Roman"/>
          <w:szCs w:val="18"/>
        </w:rPr>
        <w:t>Landis, J. R., and Koch, G. G. (1977). The Measurement of Observer Agreement for Categorical Data.</w:t>
      </w:r>
      <w:bookmarkEnd w:id="22"/>
      <w:r w:rsidRPr="002360AA">
        <w:rPr>
          <w:rFonts w:ascii="Times New Roman" w:hAnsi="Times New Roman" w:cs="Times New Roman"/>
          <w:szCs w:val="18"/>
        </w:rPr>
        <w:t xml:space="preserve"> Biometrics 33, 159–174.</w:t>
      </w:r>
    </w:p>
    <w:p w14:paraId="5466996D" w14:textId="77777777" w:rsidR="00A41455" w:rsidRPr="009A6638" w:rsidRDefault="00A41455" w:rsidP="00A41455">
      <w:pPr>
        <w:pStyle w:val="CitaviBibliographyEntry"/>
        <w:spacing w:line="240" w:lineRule="auto"/>
        <w:rPr>
          <w:rFonts w:ascii="Times New Roman" w:hAnsi="Times New Roman" w:cs="Times New Roman"/>
        </w:rPr>
      </w:pPr>
      <w:bookmarkStart w:id="23" w:name="_CTVL001e2215c8f173f402d96c6436b9e97697f"/>
      <w:r w:rsidRPr="009A6638">
        <w:rPr>
          <w:rFonts w:ascii="Times New Roman" w:hAnsi="Times New Roman" w:cs="Times New Roman"/>
        </w:rPr>
        <w:t>Liu, H., and Au-Yeung, S. S. Y. (2014). Reliability of transcranial magnetic stimulation induced corticomotor excitability measurements for a hand muscle in healthy and chronic stroke subjects.</w:t>
      </w:r>
      <w:bookmarkEnd w:id="23"/>
      <w:r w:rsidRPr="009A6638">
        <w:rPr>
          <w:rFonts w:ascii="Times New Roman" w:hAnsi="Times New Roman" w:cs="Times New Roman"/>
        </w:rPr>
        <w:t xml:space="preserve"> </w:t>
      </w:r>
      <w:r w:rsidRPr="009A6638">
        <w:rPr>
          <w:rFonts w:ascii="Times New Roman" w:hAnsi="Times New Roman" w:cs="Times New Roman"/>
          <w:i/>
        </w:rPr>
        <w:t>J Neurol. Sci.</w:t>
      </w:r>
      <w:r w:rsidRPr="009A6638">
        <w:rPr>
          <w:rFonts w:ascii="Times New Roman" w:hAnsi="Times New Roman" w:cs="Times New Roman"/>
        </w:rPr>
        <w:t xml:space="preserve"> 341, 105–109. doi: 10.1016/j.jns.2014.04.012</w:t>
      </w:r>
    </w:p>
    <w:p w14:paraId="4C8E896B" w14:textId="77777777" w:rsidR="00A41455" w:rsidRPr="009A6638" w:rsidRDefault="00A41455" w:rsidP="00A41455">
      <w:pPr>
        <w:pStyle w:val="CitaviBibliographyEntry"/>
        <w:spacing w:line="240" w:lineRule="auto"/>
        <w:rPr>
          <w:rFonts w:ascii="Times New Roman" w:hAnsi="Times New Roman" w:cs="Times New Roman"/>
        </w:rPr>
      </w:pPr>
      <w:bookmarkStart w:id="24" w:name="_CTVL00143c20dba2cfb478aaf476dec410018d6"/>
      <w:r w:rsidRPr="009A6638">
        <w:rPr>
          <w:rFonts w:ascii="Times New Roman" w:hAnsi="Times New Roman" w:cs="Times New Roman"/>
        </w:rPr>
        <w:t>Malcolm, M. P., Triggs, W. J., Light, K. E., Shechtman, O., Khandekar, G., and Gonzalez Rothi, L. J. (2006). Reliability of motor cortex transcranial magnetic stimulation in four muscle representations.</w:t>
      </w:r>
      <w:bookmarkEnd w:id="24"/>
      <w:r w:rsidRPr="009A6638">
        <w:rPr>
          <w:rFonts w:ascii="Times New Roman" w:hAnsi="Times New Roman" w:cs="Times New Roman"/>
        </w:rPr>
        <w:t xml:space="preserve"> Clin. Neurophysiol. 117, 1037–1046. doi: 10.1016/j.clinph.2006.02.005</w:t>
      </w:r>
    </w:p>
    <w:p w14:paraId="133A99DA" w14:textId="77777777" w:rsidR="00A41455" w:rsidRPr="009A6638" w:rsidRDefault="00A41455" w:rsidP="00A41455">
      <w:pPr>
        <w:pStyle w:val="CitaviBibliographyEntry"/>
        <w:spacing w:line="240" w:lineRule="auto"/>
        <w:rPr>
          <w:rFonts w:ascii="Times New Roman" w:hAnsi="Times New Roman" w:cs="Times New Roman"/>
        </w:rPr>
      </w:pPr>
      <w:bookmarkStart w:id="25" w:name="_CTVL0015706b94811064632bdab4a60efc63e94"/>
      <w:r w:rsidRPr="009A6638">
        <w:rPr>
          <w:rFonts w:ascii="Times New Roman" w:hAnsi="Times New Roman" w:cs="Times New Roman"/>
        </w:rPr>
        <w:t>McDonnell, M. N., Ridding, M. C., and Miles, T. S. (2004). Do alternate methods of analysing motor evoked potentials give comparable results?</w:t>
      </w:r>
      <w:bookmarkEnd w:id="25"/>
      <w:r w:rsidRPr="009A6638">
        <w:rPr>
          <w:rFonts w:ascii="Times New Roman" w:hAnsi="Times New Roman" w:cs="Times New Roman"/>
        </w:rPr>
        <w:t xml:space="preserve"> J Neurosci. Methods 136, 63–67. doi: 10.1016/j.jneumeth.2003.12.020</w:t>
      </w:r>
    </w:p>
    <w:p w14:paraId="57ED23E0" w14:textId="77777777" w:rsidR="00A41455" w:rsidRPr="009A6638" w:rsidRDefault="00A41455" w:rsidP="00A41455">
      <w:pPr>
        <w:pStyle w:val="CitaviBibliographyEntry"/>
        <w:spacing w:line="240" w:lineRule="auto"/>
        <w:rPr>
          <w:rFonts w:ascii="Times New Roman" w:hAnsi="Times New Roman" w:cs="Times New Roman"/>
          <w:lang w:val="de-DE"/>
        </w:rPr>
      </w:pPr>
      <w:bookmarkStart w:id="26" w:name="_CTVL00113164991f4e04ea899f3d2a69b475624"/>
      <w:r w:rsidRPr="009A6638">
        <w:rPr>
          <w:rFonts w:ascii="Times New Roman" w:hAnsi="Times New Roman" w:cs="Times New Roman"/>
        </w:rPr>
        <w:t>Ngomo, S., Leonard, G., Moffet, H., and Mercier, C. (2012). Comparison of transcranial magnetic stimulation measures obtained at rest and under active conditions and their reliability.</w:t>
      </w:r>
      <w:bookmarkEnd w:id="26"/>
      <w:r w:rsidRPr="009A6638">
        <w:rPr>
          <w:rFonts w:ascii="Times New Roman" w:hAnsi="Times New Roman" w:cs="Times New Roman"/>
        </w:rPr>
        <w:t xml:space="preserve"> </w:t>
      </w:r>
      <w:r w:rsidRPr="009A6638">
        <w:rPr>
          <w:rFonts w:ascii="Times New Roman" w:hAnsi="Times New Roman" w:cs="Times New Roman"/>
          <w:lang w:val="de-DE"/>
        </w:rPr>
        <w:t>J Neurosci. Methods 205, 65–71. doi: 10.1016/j.jneumeth.2011.12.012</w:t>
      </w:r>
    </w:p>
    <w:p w14:paraId="3F86401C" w14:textId="77777777" w:rsidR="00A41455" w:rsidRPr="009A6638" w:rsidRDefault="00A41455" w:rsidP="00A41455">
      <w:pPr>
        <w:pStyle w:val="CitaviBibliographyEntry"/>
        <w:spacing w:line="240" w:lineRule="auto"/>
        <w:rPr>
          <w:rFonts w:ascii="Times New Roman" w:hAnsi="Times New Roman" w:cs="Times New Roman"/>
        </w:rPr>
      </w:pPr>
      <w:bookmarkStart w:id="27" w:name="_CTVL001cd3d1c42081040fb827eb74d7496e6f2"/>
      <w:r w:rsidRPr="009A6638">
        <w:rPr>
          <w:rFonts w:ascii="Times New Roman" w:hAnsi="Times New Roman" w:cs="Times New Roman"/>
          <w:lang w:val="de-DE"/>
        </w:rPr>
        <w:t xml:space="preserve">Nguyen, D. T. A., Rissanen, S. M., Julkunen, P., Kallioniemi, E., and Karjalainen, P. A. (2019). </w:t>
      </w:r>
      <w:r w:rsidRPr="009A6638">
        <w:rPr>
          <w:rFonts w:ascii="Times New Roman" w:hAnsi="Times New Roman" w:cs="Times New Roman"/>
        </w:rPr>
        <w:t>Principal Component Regression on Motor Evoked Potential in Single-Pulse Transcranial Magnetic Stimulation.</w:t>
      </w:r>
      <w:bookmarkEnd w:id="27"/>
      <w:r w:rsidRPr="009A6638">
        <w:rPr>
          <w:rFonts w:ascii="Times New Roman" w:hAnsi="Times New Roman" w:cs="Times New Roman"/>
        </w:rPr>
        <w:t xml:space="preserve"> IEEE Trans. Neural. Syst. Rehabil. Eng. 27, 1521–1528. doi: 10.1109/TNSRE.2019.2923724</w:t>
      </w:r>
    </w:p>
    <w:p w14:paraId="48E3D3EB" w14:textId="77777777" w:rsidR="00A41455" w:rsidRPr="009A6638" w:rsidRDefault="00A41455" w:rsidP="00A41455">
      <w:pPr>
        <w:pStyle w:val="CitaviBibliographyEntry"/>
        <w:spacing w:line="240" w:lineRule="auto"/>
        <w:rPr>
          <w:rFonts w:ascii="Times New Roman" w:hAnsi="Times New Roman" w:cs="Times New Roman"/>
          <w:lang w:val="de-DE"/>
        </w:rPr>
      </w:pPr>
      <w:bookmarkStart w:id="28" w:name="_CTVL0013f1aefa540454ccba52e89224c1d444a"/>
      <w:r w:rsidRPr="009A6638">
        <w:rPr>
          <w:rFonts w:ascii="Times New Roman" w:hAnsi="Times New Roman" w:cs="Times New Roman"/>
        </w:rPr>
        <w:t>Pellegrini, M., Zoghi, M., and Jaberzadeh, S. (2018b). The effect of transcranial magnetic stimulation test intensity on the amplitude, variability and reliability of motor evoked potentials.</w:t>
      </w:r>
      <w:bookmarkEnd w:id="28"/>
      <w:r w:rsidRPr="009A6638">
        <w:rPr>
          <w:rFonts w:ascii="Times New Roman" w:hAnsi="Times New Roman" w:cs="Times New Roman"/>
        </w:rPr>
        <w:t xml:space="preserve"> </w:t>
      </w:r>
      <w:r w:rsidRPr="009A6638">
        <w:rPr>
          <w:rFonts w:ascii="Times New Roman" w:hAnsi="Times New Roman" w:cs="Times New Roman"/>
          <w:lang w:val="de-DE"/>
        </w:rPr>
        <w:t>Brain Res. 1700, 190–198. doi: 10.1016/j.brainres.2018.09.002</w:t>
      </w:r>
    </w:p>
    <w:p w14:paraId="4BE502AE" w14:textId="77777777" w:rsidR="00A41455" w:rsidRPr="009A6638" w:rsidRDefault="00A41455" w:rsidP="00A41455">
      <w:pPr>
        <w:pStyle w:val="CitaviBibliographyEntry"/>
        <w:spacing w:line="240" w:lineRule="auto"/>
        <w:rPr>
          <w:rFonts w:ascii="Times New Roman" w:hAnsi="Times New Roman" w:cs="Times New Roman"/>
        </w:rPr>
      </w:pPr>
      <w:bookmarkStart w:id="29" w:name="_CTVL001c5be63163d4946bea7ac0e5ee910d06e"/>
      <w:r w:rsidRPr="009A6638">
        <w:rPr>
          <w:rFonts w:ascii="Times New Roman" w:hAnsi="Times New Roman" w:cs="Times New Roman"/>
          <w:lang w:val="de-DE"/>
        </w:rPr>
        <w:t xml:space="preserve">Schambra, H. M., Ogden, R. T., Martínez-Hernández, I. E., Lin, X., Chang, Y. B., Rahman, A., et al. </w:t>
      </w:r>
      <w:r w:rsidRPr="009A6638">
        <w:rPr>
          <w:rFonts w:ascii="Times New Roman" w:hAnsi="Times New Roman" w:cs="Times New Roman"/>
        </w:rPr>
        <w:t>(2015). The reliability of repeated TMS measures in older adults and in patients with subacute and chronic stroke.</w:t>
      </w:r>
      <w:bookmarkEnd w:id="29"/>
      <w:r w:rsidRPr="009A6638">
        <w:rPr>
          <w:rFonts w:ascii="Times New Roman" w:hAnsi="Times New Roman" w:cs="Times New Roman"/>
        </w:rPr>
        <w:t xml:space="preserve"> Front. Cell. Neurosci. 9, 335. doi: 10.3389/fncel.2015.00335</w:t>
      </w:r>
    </w:p>
    <w:p w14:paraId="2F40F4F0" w14:textId="77777777" w:rsidR="00A41455" w:rsidRPr="009A6638" w:rsidRDefault="00A41455" w:rsidP="00A41455">
      <w:pPr>
        <w:pStyle w:val="CitaviBibliographyEntry"/>
        <w:spacing w:line="240" w:lineRule="auto"/>
        <w:rPr>
          <w:rFonts w:ascii="Times New Roman" w:hAnsi="Times New Roman" w:cs="Times New Roman"/>
        </w:rPr>
      </w:pPr>
      <w:bookmarkStart w:id="30" w:name="_CTVL0014aecdd26b408448eb26e648800d3520f"/>
      <w:bookmarkStart w:id="31" w:name="_Hlk143029077"/>
      <w:bookmarkStart w:id="32" w:name="_CTVL00117531bf1c067410f9eda288edea189c7"/>
      <w:r w:rsidRPr="009A6638">
        <w:rPr>
          <w:rFonts w:ascii="Times New Roman" w:hAnsi="Times New Roman" w:cs="Times New Roman"/>
        </w:rPr>
        <w:t>Therrien-Blanchet, J.-M., Ferland, M. C., Rousseau, M.-A., Badri, M., Boucher, E., Merabtine, A., et al. (2022). Stability and test-retest reliability of neuronavigated TMS measures of corticospinal and intracortical excitability.</w:t>
      </w:r>
      <w:bookmarkEnd w:id="30"/>
      <w:r w:rsidRPr="009A6638">
        <w:rPr>
          <w:rFonts w:ascii="Times New Roman" w:hAnsi="Times New Roman" w:cs="Times New Roman"/>
        </w:rPr>
        <w:t xml:space="preserve"> Brain Res. 1794, 148057. doi: 10.1016/j.brainres.2022.148057</w:t>
      </w:r>
      <w:bookmarkEnd w:id="31"/>
    </w:p>
    <w:p w14:paraId="330F052A" w14:textId="77777777" w:rsidR="00A41455" w:rsidRPr="009A6638" w:rsidRDefault="00A41455" w:rsidP="00A41455">
      <w:pPr>
        <w:pStyle w:val="CitaviBibliographyEntry"/>
        <w:spacing w:line="240" w:lineRule="auto"/>
        <w:rPr>
          <w:rFonts w:ascii="Times New Roman" w:hAnsi="Times New Roman" w:cs="Times New Roman"/>
        </w:rPr>
      </w:pPr>
      <w:r w:rsidRPr="009A6638">
        <w:rPr>
          <w:rFonts w:ascii="Times New Roman" w:hAnsi="Times New Roman" w:cs="Times New Roman"/>
        </w:rPr>
        <w:t>Vaseghi, B., Zoghi, M., and Jaberzadeh, S. (2015). Inter-pulse Interval Affects the Size of Single-pulse TMS-induced Motor Evoked Potentials: A Reliability Study.</w:t>
      </w:r>
      <w:bookmarkEnd w:id="32"/>
      <w:r w:rsidRPr="009A6638">
        <w:rPr>
          <w:rFonts w:ascii="Times New Roman" w:hAnsi="Times New Roman" w:cs="Times New Roman"/>
        </w:rPr>
        <w:t xml:space="preserve"> Basic Clin. Neurosci. 6, 44–51.</w:t>
      </w:r>
    </w:p>
    <w:p w14:paraId="0216783A" w14:textId="77777777" w:rsidR="00A41455" w:rsidRPr="002360AA" w:rsidRDefault="00A41455" w:rsidP="002360AA"/>
    <w:sectPr w:rsidR="00A41455" w:rsidRPr="002360AA"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701C" w14:textId="77777777" w:rsidR="00064256" w:rsidRDefault="00064256" w:rsidP="00117666">
      <w:pPr>
        <w:spacing w:after="0"/>
      </w:pPr>
      <w:r>
        <w:separator/>
      </w:r>
    </w:p>
  </w:endnote>
  <w:endnote w:type="continuationSeparator" w:id="0">
    <w:p w14:paraId="2FCDE8C3" w14:textId="77777777" w:rsidR="00064256" w:rsidRDefault="0006425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E3FFE" w:rsidRPr="00577C4C" w:rsidRDefault="002E3FFE">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E3FFE" w:rsidRPr="00577C4C" w:rsidRDefault="002E3FF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2E3FFE" w:rsidRPr="00577C4C" w:rsidRDefault="002E3FF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E3FFE" w:rsidRPr="00577C4C" w:rsidRDefault="002E3FFE">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E3FFE" w:rsidRPr="00577C4C" w:rsidRDefault="002E3FF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2E3FFE" w:rsidRPr="00577C4C" w:rsidRDefault="002E3FFE">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E1E3" w14:textId="77777777" w:rsidR="00064256" w:rsidRDefault="00064256" w:rsidP="00117666">
      <w:pPr>
        <w:spacing w:after="0"/>
      </w:pPr>
      <w:r>
        <w:separator/>
      </w:r>
    </w:p>
  </w:footnote>
  <w:footnote w:type="continuationSeparator" w:id="0">
    <w:p w14:paraId="7FE82806" w14:textId="77777777" w:rsidR="00064256" w:rsidRDefault="0006425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19312CFB" w:rsidR="002E3FFE" w:rsidRPr="009151AA" w:rsidRDefault="002E3FFE">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r>
      <w:rPr>
        <w:rFonts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2E3FFE" w:rsidRDefault="002E3FFE"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12475772">
    <w:abstractNumId w:val="0"/>
  </w:num>
  <w:num w:numId="2" w16cid:durableId="1483694993">
    <w:abstractNumId w:val="4"/>
  </w:num>
  <w:num w:numId="3" w16cid:durableId="358897245">
    <w:abstractNumId w:val="1"/>
  </w:num>
  <w:num w:numId="4" w16cid:durableId="392313452">
    <w:abstractNumId w:val="5"/>
  </w:num>
  <w:num w:numId="5" w16cid:durableId="433522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580738">
    <w:abstractNumId w:val="3"/>
  </w:num>
  <w:num w:numId="7" w16cid:durableId="410389646">
    <w:abstractNumId w:val="6"/>
  </w:num>
  <w:num w:numId="8" w16cid:durableId="2044403696">
    <w:abstractNumId w:val="6"/>
  </w:num>
  <w:num w:numId="9" w16cid:durableId="889265865">
    <w:abstractNumId w:val="6"/>
  </w:num>
  <w:num w:numId="10" w16cid:durableId="11107446">
    <w:abstractNumId w:val="6"/>
  </w:num>
  <w:num w:numId="11" w16cid:durableId="687679593">
    <w:abstractNumId w:val="6"/>
  </w:num>
  <w:num w:numId="12" w16cid:durableId="1763912162">
    <w:abstractNumId w:val="6"/>
  </w:num>
  <w:num w:numId="13" w16cid:durableId="268465288">
    <w:abstractNumId w:val="3"/>
  </w:num>
  <w:num w:numId="14" w16cid:durableId="344089921">
    <w:abstractNumId w:val="2"/>
  </w:num>
  <w:num w:numId="15" w16cid:durableId="820460068">
    <w:abstractNumId w:val="2"/>
  </w:num>
  <w:num w:numId="16" w16cid:durableId="1459186057">
    <w:abstractNumId w:val="2"/>
  </w:num>
  <w:num w:numId="17" w16cid:durableId="1161459696">
    <w:abstractNumId w:val="2"/>
  </w:num>
  <w:num w:numId="18" w16cid:durableId="1833644298">
    <w:abstractNumId w:val="2"/>
  </w:num>
  <w:num w:numId="19" w16cid:durableId="563759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64256"/>
    <w:rsid w:val="00077D53"/>
    <w:rsid w:val="00091458"/>
    <w:rsid w:val="00105FD9"/>
    <w:rsid w:val="00117666"/>
    <w:rsid w:val="001549D3"/>
    <w:rsid w:val="00160065"/>
    <w:rsid w:val="00177D84"/>
    <w:rsid w:val="001E2C12"/>
    <w:rsid w:val="002360AA"/>
    <w:rsid w:val="00267D18"/>
    <w:rsid w:val="002868E2"/>
    <w:rsid w:val="002869C3"/>
    <w:rsid w:val="002936E4"/>
    <w:rsid w:val="002B4A57"/>
    <w:rsid w:val="002C74CA"/>
    <w:rsid w:val="002D1687"/>
    <w:rsid w:val="002E3FFE"/>
    <w:rsid w:val="003544FB"/>
    <w:rsid w:val="003D2F2D"/>
    <w:rsid w:val="00401590"/>
    <w:rsid w:val="00447801"/>
    <w:rsid w:val="00452E9C"/>
    <w:rsid w:val="004735C8"/>
    <w:rsid w:val="004961FF"/>
    <w:rsid w:val="00517A89"/>
    <w:rsid w:val="005250F2"/>
    <w:rsid w:val="00593EEA"/>
    <w:rsid w:val="005A5EEE"/>
    <w:rsid w:val="005B0856"/>
    <w:rsid w:val="006375C7"/>
    <w:rsid w:val="0064720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41455"/>
    <w:rsid w:val="00A569CD"/>
    <w:rsid w:val="00AB6715"/>
    <w:rsid w:val="00B1671E"/>
    <w:rsid w:val="00B25EB8"/>
    <w:rsid w:val="00B354E1"/>
    <w:rsid w:val="00B37F4D"/>
    <w:rsid w:val="00C52A7B"/>
    <w:rsid w:val="00C56BAF"/>
    <w:rsid w:val="00C679AA"/>
    <w:rsid w:val="00C75972"/>
    <w:rsid w:val="00C84A99"/>
    <w:rsid w:val="00CB1CBF"/>
    <w:rsid w:val="00CB67D1"/>
    <w:rsid w:val="00CC0A3A"/>
    <w:rsid w:val="00CD066B"/>
    <w:rsid w:val="00CE4FEE"/>
    <w:rsid w:val="00DB59C3"/>
    <w:rsid w:val="00DC259A"/>
    <w:rsid w:val="00DE23E8"/>
    <w:rsid w:val="00E52377"/>
    <w:rsid w:val="00E64E17"/>
    <w:rsid w:val="00E866C9"/>
    <w:rsid w:val="00EA3D3C"/>
    <w:rsid w:val="00EB1DA3"/>
    <w:rsid w:val="00F46900"/>
    <w:rsid w:val="00F61D89"/>
    <w:rsid w:val="00FD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CitaviBibliographyEntry">
    <w:name w:val="Citavi Bibliography Entry"/>
    <w:basedOn w:val="Normal"/>
    <w:link w:val="CitaviBibliographyEntryZchn"/>
    <w:uiPriority w:val="99"/>
    <w:rsid w:val="002360AA"/>
    <w:pPr>
      <w:tabs>
        <w:tab w:val="left" w:pos="227"/>
      </w:tabs>
      <w:spacing w:before="240" w:after="0" w:line="360" w:lineRule="auto"/>
      <w:ind w:left="227" w:hanging="227"/>
    </w:pPr>
    <w:rPr>
      <w:rFonts w:ascii="Arial" w:eastAsia="Arial" w:hAnsi="Arial" w:cs="Arial"/>
      <w:szCs w:val="24"/>
      <w:lang w:val="en-GB" w:eastAsia="de-DE"/>
    </w:rPr>
  </w:style>
  <w:style w:type="character" w:customStyle="1" w:styleId="CitaviBibliographyEntryZchn">
    <w:name w:val="Citavi Bibliography Entry Zchn"/>
    <w:basedOn w:val="DefaultParagraphFont"/>
    <w:link w:val="CitaviBibliographyEntry"/>
    <w:uiPriority w:val="99"/>
    <w:rsid w:val="002360AA"/>
    <w:rPr>
      <w:rFonts w:ascii="Arial" w:eastAsia="Arial" w:hAnsi="Arial" w:cs="Arial"/>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34911-0B35-419E-A3AA-D9BF880150CA}">
  <ds:schemaRefs>
    <ds:schemaRef ds:uri="http://schemas.openxmlformats.org/officeDocument/2006/bibliography"/>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7</Pages>
  <Words>2293</Words>
  <Characters>13071</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Sandhya Patel</cp:lastModifiedBy>
  <cp:revision>2</cp:revision>
  <cp:lastPrinted>2013-10-03T12:51:00Z</cp:lastPrinted>
  <dcterms:created xsi:type="dcterms:W3CDTF">2023-08-16T09:01:00Z</dcterms:created>
  <dcterms:modified xsi:type="dcterms:W3CDTF">2023-08-16T09:01:00Z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