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BF06C" w14:textId="690126FE" w:rsidR="00294E1F" w:rsidRDefault="00294E1F" w:rsidP="00294E1F">
      <w:pPr>
        <w:rPr>
          <w:rFonts w:ascii="Times New Roman" w:hAnsi="Times New Roman"/>
          <w:b/>
          <w:bCs/>
          <w:sz w:val="24"/>
        </w:rPr>
      </w:pPr>
      <w:r w:rsidRPr="0056420E">
        <w:rPr>
          <w:rFonts w:ascii="Times New Roman" w:hAnsi="Times New Roman"/>
          <w:b/>
          <w:sz w:val="24"/>
        </w:rPr>
        <w:t>Supplementary</w:t>
      </w:r>
      <w:r w:rsidRPr="0056420E">
        <w:rPr>
          <w:rFonts w:ascii="Times New Roman" w:hAnsi="Times New Roman" w:hint="eastAsia"/>
          <w:b/>
          <w:bCs/>
          <w:sz w:val="24"/>
        </w:rPr>
        <w:t xml:space="preserve"> Table</w:t>
      </w:r>
      <w:r>
        <w:rPr>
          <w:rFonts w:ascii="Times New Roman" w:hAnsi="Times New Roman"/>
          <w:b/>
          <w:bCs/>
          <w:sz w:val="24"/>
        </w:rPr>
        <w:t xml:space="preserve"> </w:t>
      </w:r>
      <w:r w:rsidR="007A49EE">
        <w:rPr>
          <w:rFonts w:ascii="Times New Roman" w:hAnsi="Times New Roman"/>
          <w:b/>
          <w:bCs/>
          <w:sz w:val="24"/>
        </w:rPr>
        <w:t>S</w:t>
      </w:r>
      <w:r>
        <w:rPr>
          <w:rFonts w:ascii="Times New Roman" w:hAnsi="Times New Roman"/>
          <w:b/>
          <w:bCs/>
          <w:sz w:val="24"/>
        </w:rPr>
        <w:t>1</w:t>
      </w:r>
      <w:r>
        <w:rPr>
          <w:rFonts w:ascii="Times New Roman" w:hAnsi="Times New Roman" w:hint="eastAsia"/>
          <w:b/>
          <w:bCs/>
          <w:sz w:val="24"/>
        </w:rPr>
        <w:t>：</w:t>
      </w:r>
      <w:r w:rsidRPr="00126A10">
        <w:rPr>
          <w:rFonts w:ascii="Times New Roman" w:hAnsi="Times New Roman"/>
          <w:b/>
          <w:bCs/>
          <w:sz w:val="24"/>
        </w:rPr>
        <w:t>Timeline of the patient’s clinical course.</w:t>
      </w:r>
    </w:p>
    <w:p w14:paraId="3BDF3B70" w14:textId="77777777" w:rsidR="00294E1F" w:rsidRDefault="00294E1F" w:rsidP="00294E1F">
      <w:pPr>
        <w:rPr>
          <w:rFonts w:ascii="Times New Roman" w:hAnsi="Times New Roman"/>
          <w:b/>
          <w:bCs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294E1F" w14:paraId="7D824A24" w14:textId="77777777" w:rsidTr="009C5254">
        <w:tc>
          <w:tcPr>
            <w:tcW w:w="1271" w:type="dxa"/>
          </w:tcPr>
          <w:p w14:paraId="0A6347EA" w14:textId="77777777" w:rsidR="00294E1F" w:rsidRPr="00240A7C" w:rsidRDefault="00294E1F" w:rsidP="009C525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1DCA85F8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The patient was referred to our hospital clinic due to symptoms of postprandial obstruction and atypical precordial pain that persisted for one week</w:t>
            </w:r>
          </w:p>
        </w:tc>
      </w:tr>
      <w:tr w:rsidR="00294E1F" w14:paraId="76293ECF" w14:textId="77777777" w:rsidTr="009C5254">
        <w:tc>
          <w:tcPr>
            <w:tcW w:w="1271" w:type="dxa"/>
          </w:tcPr>
          <w:p w14:paraId="0A63391F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1B931F6C" w14:textId="77777777" w:rsidR="00294E1F" w:rsidRPr="00337EE5" w:rsidRDefault="00294E1F" w:rsidP="009C5254">
            <w:pPr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ECG indicated sinus rhythm and ST-segment elevation</w:t>
            </w:r>
          </w:p>
        </w:tc>
      </w:tr>
      <w:tr w:rsidR="00294E1F" w14:paraId="3852FBF4" w14:textId="77777777" w:rsidTr="009C5254">
        <w:tc>
          <w:tcPr>
            <w:tcW w:w="1271" w:type="dxa"/>
          </w:tcPr>
          <w:p w14:paraId="275B7D77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7BE91837" w14:textId="77777777" w:rsidR="00294E1F" w:rsidRPr="00337EE5" w:rsidRDefault="00294E1F" w:rsidP="009C5254">
            <w:pPr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Initial blood tests revealed mild elevation in BNP and NSE</w:t>
            </w:r>
          </w:p>
        </w:tc>
      </w:tr>
      <w:tr w:rsidR="00294E1F" w14:paraId="5AD1E221" w14:textId="77777777" w:rsidTr="009C5254">
        <w:tc>
          <w:tcPr>
            <w:tcW w:w="1271" w:type="dxa"/>
          </w:tcPr>
          <w:p w14:paraId="629890C9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11F7645C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TTE revealed a heterogeneous isoechoic pericardial mass with massive pericardial effusion</w:t>
            </w:r>
          </w:p>
        </w:tc>
      </w:tr>
      <w:tr w:rsidR="00294E1F" w14:paraId="739C0EBA" w14:textId="77777777" w:rsidTr="009C5254">
        <w:tc>
          <w:tcPr>
            <w:tcW w:w="1271" w:type="dxa"/>
          </w:tcPr>
          <w:p w14:paraId="40DCFB7B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78A8824F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CT revealed an irregular mass between the pericardium and diaphragm and significant pericardial effusion</w:t>
            </w:r>
          </w:p>
        </w:tc>
      </w:tr>
      <w:tr w:rsidR="00294E1F" w14:paraId="44BDA5E2" w14:textId="77777777" w:rsidTr="009C5254">
        <w:tc>
          <w:tcPr>
            <w:tcW w:w="1271" w:type="dxa"/>
          </w:tcPr>
          <w:p w14:paraId="44EDE37D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19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753D1E3B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7EE5">
              <w:rPr>
                <w:rFonts w:ascii="Times New Roman" w:hAnsi="Times New Roman"/>
                <w:bCs/>
                <w:sz w:val="20"/>
                <w:szCs w:val="20"/>
              </w:rPr>
              <w:t>PET-CT revealed hypermetabolic activity located between the pericardium and diaphragm</w:t>
            </w:r>
          </w:p>
        </w:tc>
      </w:tr>
      <w:tr w:rsidR="00294E1F" w14:paraId="226FCB4A" w14:textId="77777777" w:rsidTr="009C5254">
        <w:tc>
          <w:tcPr>
            <w:tcW w:w="1271" w:type="dxa"/>
          </w:tcPr>
          <w:p w14:paraId="3A91B109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02416942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Cardiac MRI showed malignant characteristics of the mass and provided a detailed visualization of its exact anatomical connection with both cardiac and extracardiac structures.</w:t>
            </w:r>
          </w:p>
        </w:tc>
      </w:tr>
      <w:tr w:rsidR="00294E1F" w14:paraId="21AB0A50" w14:textId="77777777" w:rsidTr="009C5254">
        <w:tc>
          <w:tcPr>
            <w:tcW w:w="1271" w:type="dxa"/>
          </w:tcPr>
          <w:p w14:paraId="35D6A636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April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06B3254F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The tissue sample histopathological analysis supported the diagnosis of pericardial RMS</w:t>
            </w:r>
          </w:p>
        </w:tc>
      </w:tr>
      <w:tr w:rsidR="00294E1F" w14:paraId="4F0D9470" w14:textId="77777777" w:rsidTr="009C5254">
        <w:tc>
          <w:tcPr>
            <w:tcW w:w="1271" w:type="dxa"/>
          </w:tcPr>
          <w:p w14:paraId="39B764E5" w14:textId="77777777" w:rsidR="00294E1F" w:rsidRDefault="00294E1F" w:rsidP="009C5254">
            <w:pPr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M</w:t>
            </w:r>
            <w:r>
              <w:rPr>
                <w:rFonts w:ascii="Times New Roman" w:hAnsi="Times New Roman" w:hint="eastAsia"/>
                <w:b/>
                <w:bCs/>
                <w:sz w:val="16"/>
                <w:szCs w:val="16"/>
              </w:rPr>
              <w:t>ay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Pr="00240A7C">
              <w:rPr>
                <w:rFonts w:ascii="Times New Roman" w:hAnsi="Times New Roman"/>
                <w:b/>
                <w:bCs/>
                <w:sz w:val="16"/>
                <w:szCs w:val="16"/>
              </w:rPr>
              <w:t>, 2022</w:t>
            </w:r>
          </w:p>
        </w:tc>
        <w:tc>
          <w:tcPr>
            <w:tcW w:w="7025" w:type="dxa"/>
          </w:tcPr>
          <w:p w14:paraId="4BA68A1F" w14:textId="77777777" w:rsidR="00294E1F" w:rsidRPr="00337EE5" w:rsidRDefault="00294E1F" w:rsidP="009C525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37EE5">
              <w:rPr>
                <w:rFonts w:ascii="Times New Roman" w:hAnsi="Times New Roman"/>
                <w:sz w:val="20"/>
                <w:szCs w:val="20"/>
              </w:rPr>
              <w:t>Due to the tumor's size, location, and malignancy grade,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EE5">
              <w:rPr>
                <w:rFonts w:ascii="Times New Roman" w:hAnsi="Times New Roman"/>
                <w:sz w:val="20"/>
                <w:szCs w:val="20"/>
              </w:rPr>
              <w:t>conservative chemotherapy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sz w:val="20"/>
                <w:szCs w:val="20"/>
              </w:rPr>
              <w:t>was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performed</w:t>
            </w:r>
          </w:p>
        </w:tc>
      </w:tr>
    </w:tbl>
    <w:p w14:paraId="570469F9" w14:textId="77777777" w:rsidR="00294E1F" w:rsidRPr="002B13E0" w:rsidRDefault="00294E1F" w:rsidP="00294E1F">
      <w:pPr>
        <w:spacing w:line="220" w:lineRule="exact"/>
        <w:rPr>
          <w:rFonts w:ascii="Times New Roman" w:hAnsi="Times New Roman"/>
          <w:sz w:val="20"/>
          <w:szCs w:val="20"/>
        </w:rPr>
        <w:sectPr w:rsidR="00294E1F" w:rsidRPr="002B13E0" w:rsidSect="00483F5C">
          <w:footerReference w:type="default" r:id="rId6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 w:rsidRPr="002B13E0">
        <w:rPr>
          <w:rFonts w:ascii="Times New Roman" w:hAnsi="Times New Roman"/>
          <w:sz w:val="20"/>
          <w:szCs w:val="20"/>
        </w:rPr>
        <w:t xml:space="preserve">ECG, electrocardiogram; BNP, B-type natriuretic peptide; NSE, neuron-specific enolase; TTE, transthoracic echocardiography; CT, computed tomography; PET, positron emission tomography; MRI, magnetic resonance imaging; RMS, rhabdomyosarcoma   </w:t>
      </w:r>
    </w:p>
    <w:p w14:paraId="4F4A4DC7" w14:textId="77777777" w:rsidR="002569A6" w:rsidRPr="00294E1F" w:rsidRDefault="002569A6">
      <w:pPr>
        <w:rPr>
          <w:rFonts w:ascii="Times New Roman" w:hAnsi="Times New Roman"/>
          <w:sz w:val="28"/>
          <w:szCs w:val="28"/>
        </w:rPr>
      </w:pPr>
    </w:p>
    <w:p w14:paraId="7096AAC0" w14:textId="30B11D2A" w:rsidR="002569A6" w:rsidRDefault="006A1FD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6420E">
        <w:rPr>
          <w:rFonts w:ascii="Times New Roman" w:hAnsi="Times New Roman"/>
          <w:b/>
          <w:sz w:val="24"/>
        </w:rPr>
        <w:t>Supplementary</w:t>
      </w:r>
      <w:r w:rsidRPr="0056420E">
        <w:rPr>
          <w:rFonts w:ascii="Times New Roman" w:hAnsi="Times New Roman" w:hint="eastAsia"/>
          <w:b/>
          <w:bCs/>
          <w:sz w:val="24"/>
        </w:rPr>
        <w:t xml:space="preserve"> Table</w:t>
      </w:r>
      <w:r w:rsidR="007A49EE">
        <w:rPr>
          <w:rFonts w:ascii="Times New Roman" w:hAnsi="Times New Roman"/>
          <w:b/>
          <w:bCs/>
          <w:sz w:val="24"/>
        </w:rPr>
        <w:t xml:space="preserve"> S</w:t>
      </w:r>
      <w:r w:rsidR="00294E1F">
        <w:rPr>
          <w:rFonts w:ascii="Times New Roman" w:hAnsi="Times New Roman"/>
          <w:b/>
          <w:bCs/>
          <w:sz w:val="24"/>
        </w:rPr>
        <w:t>2</w:t>
      </w:r>
      <w:r>
        <w:rPr>
          <w:rFonts w:ascii="Times New Roman" w:hAnsi="Times New Roman" w:hint="eastAsia"/>
          <w:b/>
          <w:bCs/>
          <w:sz w:val="24"/>
        </w:rPr>
        <w:t>：</w:t>
      </w:r>
      <w:r w:rsidR="00827670">
        <w:rPr>
          <w:rFonts w:ascii="Times New Roman" w:hAnsi="Times New Roman" w:hint="eastAsia"/>
          <w:b/>
          <w:bCs/>
          <w:sz w:val="28"/>
          <w:szCs w:val="28"/>
        </w:rPr>
        <w:t xml:space="preserve">Imaging features in patients with </w:t>
      </w:r>
      <w:r w:rsidR="00827670">
        <w:rPr>
          <w:rFonts w:ascii="Times New Roman" w:hAnsi="Times New Roman"/>
          <w:b/>
          <w:bCs/>
          <w:sz w:val="28"/>
          <w:szCs w:val="28"/>
        </w:rPr>
        <w:t xml:space="preserve">primary </w:t>
      </w:r>
      <w:r w:rsidR="00827670">
        <w:rPr>
          <w:rFonts w:ascii="Times New Roman" w:hAnsi="Times New Roman" w:hint="eastAsia"/>
          <w:b/>
          <w:bCs/>
          <w:sz w:val="28"/>
          <w:szCs w:val="28"/>
        </w:rPr>
        <w:t xml:space="preserve">malignant </w:t>
      </w:r>
      <w:r w:rsidR="00827670">
        <w:rPr>
          <w:rFonts w:ascii="Times New Roman" w:hAnsi="Times New Roman"/>
          <w:b/>
          <w:bCs/>
          <w:sz w:val="28"/>
          <w:szCs w:val="28"/>
        </w:rPr>
        <w:t>pericardial</w:t>
      </w:r>
      <w:r w:rsidR="00827670">
        <w:rPr>
          <w:rFonts w:ascii="Times New Roman" w:hAnsi="Times New Roman" w:hint="eastAsia"/>
          <w:b/>
          <w:bCs/>
          <w:sz w:val="28"/>
          <w:szCs w:val="28"/>
        </w:rPr>
        <w:t xml:space="preserve"> tumors</w:t>
      </w:r>
    </w:p>
    <w:p w14:paraId="5F217153" w14:textId="77777777" w:rsidR="002569A6" w:rsidRDefault="002569A6">
      <w:pPr>
        <w:rPr>
          <w:rFonts w:ascii="Times New Roman" w:hAnsi="Times New Roman"/>
          <w:sz w:val="24"/>
        </w:rPr>
      </w:pPr>
    </w:p>
    <w:tbl>
      <w:tblPr>
        <w:tblStyle w:val="a5"/>
        <w:tblW w:w="13025" w:type="dxa"/>
        <w:jc w:val="center"/>
        <w:tblLayout w:type="fixed"/>
        <w:tblLook w:val="04A0" w:firstRow="1" w:lastRow="0" w:firstColumn="1" w:lastColumn="0" w:noHBand="0" w:noVBand="1"/>
      </w:tblPr>
      <w:tblGrid>
        <w:gridCol w:w="1315"/>
        <w:gridCol w:w="985"/>
        <w:gridCol w:w="1065"/>
        <w:gridCol w:w="2418"/>
        <w:gridCol w:w="1482"/>
        <w:gridCol w:w="1527"/>
        <w:gridCol w:w="1273"/>
        <w:gridCol w:w="1327"/>
        <w:gridCol w:w="1633"/>
      </w:tblGrid>
      <w:tr w:rsidR="002569A6" w14:paraId="70BC5B42" w14:textId="77777777">
        <w:trPr>
          <w:trHeight w:val="350"/>
          <w:jc w:val="center"/>
        </w:trPr>
        <w:tc>
          <w:tcPr>
            <w:tcW w:w="1315" w:type="dxa"/>
            <w:vMerge w:val="restart"/>
          </w:tcPr>
          <w:p w14:paraId="21055472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Tumor</w:t>
            </w:r>
          </w:p>
        </w:tc>
        <w:tc>
          <w:tcPr>
            <w:tcW w:w="985" w:type="dxa"/>
            <w:vMerge w:val="restart"/>
          </w:tcPr>
          <w:p w14:paraId="64856457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Common Age</w:t>
            </w:r>
          </w:p>
        </w:tc>
        <w:tc>
          <w:tcPr>
            <w:tcW w:w="1065" w:type="dxa"/>
            <w:vMerge w:val="restart"/>
          </w:tcPr>
          <w:p w14:paraId="6C675005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Common Sex</w:t>
            </w:r>
          </w:p>
        </w:tc>
        <w:tc>
          <w:tcPr>
            <w:tcW w:w="2418" w:type="dxa"/>
            <w:vMerge w:val="restart"/>
          </w:tcPr>
          <w:p w14:paraId="5275B7AB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Morphologic features</w:t>
            </w:r>
          </w:p>
        </w:tc>
        <w:tc>
          <w:tcPr>
            <w:tcW w:w="1482" w:type="dxa"/>
            <w:vMerge w:val="restart"/>
          </w:tcPr>
          <w:p w14:paraId="0913EBAC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Pericardial effusion</w:t>
            </w:r>
          </w:p>
        </w:tc>
        <w:tc>
          <w:tcPr>
            <w:tcW w:w="1527" w:type="dxa"/>
            <w:vMerge w:val="restart"/>
          </w:tcPr>
          <w:p w14:paraId="5C44E313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CT features </w:t>
            </w:r>
          </w:p>
        </w:tc>
        <w:tc>
          <w:tcPr>
            <w:tcW w:w="4233" w:type="dxa"/>
            <w:gridSpan w:val="3"/>
          </w:tcPr>
          <w:p w14:paraId="59C8359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CMR features </w:t>
            </w:r>
          </w:p>
        </w:tc>
      </w:tr>
      <w:tr w:rsidR="002569A6" w14:paraId="3D84EEA5" w14:textId="77777777">
        <w:trPr>
          <w:trHeight w:val="166"/>
          <w:jc w:val="center"/>
        </w:trPr>
        <w:tc>
          <w:tcPr>
            <w:tcW w:w="1315" w:type="dxa"/>
            <w:vMerge/>
          </w:tcPr>
          <w:p w14:paraId="0505F3C8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85" w:type="dxa"/>
            <w:vMerge/>
          </w:tcPr>
          <w:p w14:paraId="5065FC6C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65" w:type="dxa"/>
            <w:vMerge/>
          </w:tcPr>
          <w:p w14:paraId="7391A0FC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18" w:type="dxa"/>
            <w:vMerge/>
          </w:tcPr>
          <w:p w14:paraId="34D9D703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82" w:type="dxa"/>
            <w:vMerge/>
          </w:tcPr>
          <w:p w14:paraId="241A647C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27" w:type="dxa"/>
            <w:vMerge/>
          </w:tcPr>
          <w:p w14:paraId="238DAD15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73" w:type="dxa"/>
          </w:tcPr>
          <w:p w14:paraId="0D35D5C6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T1WI*</w:t>
            </w:r>
          </w:p>
        </w:tc>
        <w:tc>
          <w:tcPr>
            <w:tcW w:w="1327" w:type="dxa"/>
          </w:tcPr>
          <w:p w14:paraId="6556C9EB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T2WI*</w:t>
            </w:r>
          </w:p>
        </w:tc>
        <w:tc>
          <w:tcPr>
            <w:tcW w:w="1633" w:type="dxa"/>
          </w:tcPr>
          <w:p w14:paraId="4D8D3707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LGE</w:t>
            </w:r>
          </w:p>
        </w:tc>
      </w:tr>
      <w:tr w:rsidR="002569A6" w14:paraId="767B562F" w14:textId="77777777">
        <w:trPr>
          <w:trHeight w:val="776"/>
          <w:jc w:val="center"/>
        </w:trPr>
        <w:tc>
          <w:tcPr>
            <w:tcW w:w="1315" w:type="dxa"/>
          </w:tcPr>
          <w:p w14:paraId="2FC40762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Mesothelioma</w:t>
            </w:r>
          </w:p>
        </w:tc>
        <w:tc>
          <w:tcPr>
            <w:tcW w:w="985" w:type="dxa"/>
          </w:tcPr>
          <w:p w14:paraId="0E5C1378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 55 years</w:t>
            </w:r>
          </w:p>
        </w:tc>
        <w:tc>
          <w:tcPr>
            <w:tcW w:w="1065" w:type="dxa"/>
          </w:tcPr>
          <w:p w14:paraId="7D63A667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M:F=1.5-2:1</w:t>
            </w:r>
          </w:p>
        </w:tc>
        <w:tc>
          <w:tcPr>
            <w:tcW w:w="2418" w:type="dxa"/>
          </w:tcPr>
          <w:p w14:paraId="72F3A60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multiple and ill-defined, diffuse growth </w:t>
            </w:r>
          </w:p>
        </w:tc>
        <w:tc>
          <w:tcPr>
            <w:tcW w:w="1482" w:type="dxa"/>
          </w:tcPr>
          <w:p w14:paraId="0834D72D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moderate to massive</w:t>
            </w:r>
          </w:p>
          <w:p w14:paraId="6E2F863A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or diffuse thickening</w:t>
            </w:r>
          </w:p>
        </w:tc>
        <w:tc>
          <w:tcPr>
            <w:tcW w:w="1527" w:type="dxa"/>
          </w:tcPr>
          <w:p w14:paraId="303D57B5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diffuse pericardial thickening, nodular enhancement,atypical calcification </w:t>
            </w:r>
          </w:p>
        </w:tc>
        <w:tc>
          <w:tcPr>
            <w:tcW w:w="1273" w:type="dxa"/>
          </w:tcPr>
          <w:p w14:paraId="3C5A7F5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Isointense</w:t>
            </w:r>
          </w:p>
        </w:tc>
        <w:tc>
          <w:tcPr>
            <w:tcW w:w="1327" w:type="dxa"/>
          </w:tcPr>
          <w:p w14:paraId="76D3019E" w14:textId="77777777" w:rsidR="002569A6" w:rsidRDefault="00827670">
            <w:pPr>
              <w:widowControl/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eastAsia="HelveticaNeue-Condensed" w:hAnsi="Times New Roman"/>
                <w:color w:val="000000"/>
                <w:kern w:val="0"/>
                <w:sz w:val="15"/>
                <w:szCs w:val="15"/>
                <w:lang w:bidi="ar"/>
              </w:rPr>
              <w:t>Heterogeneous</w:t>
            </w:r>
          </w:p>
          <w:p w14:paraId="17F1F746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33" w:type="dxa"/>
          </w:tcPr>
          <w:p w14:paraId="38A7E90F" w14:textId="77777777" w:rsidR="002569A6" w:rsidRDefault="00827670">
            <w:pPr>
              <w:widowControl/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eastAsia="HelveticaNeue-Condensed" w:hAnsi="Times New Roman"/>
                <w:color w:val="000000"/>
                <w:kern w:val="0"/>
                <w:sz w:val="15"/>
                <w:szCs w:val="15"/>
                <w:lang w:bidi="ar"/>
              </w:rPr>
              <w:t>Heterogeneous</w:t>
            </w:r>
          </w:p>
          <w:p w14:paraId="1CA4B9DF" w14:textId="77777777" w:rsidR="002569A6" w:rsidRDefault="002569A6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569A6" w14:paraId="5B6F4996" w14:textId="77777777">
        <w:trPr>
          <w:jc w:val="center"/>
        </w:trPr>
        <w:tc>
          <w:tcPr>
            <w:tcW w:w="1315" w:type="dxa"/>
          </w:tcPr>
          <w:p w14:paraId="74A62F6C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Angiosarcoma</w:t>
            </w:r>
          </w:p>
        </w:tc>
        <w:tc>
          <w:tcPr>
            <w:tcW w:w="985" w:type="dxa"/>
          </w:tcPr>
          <w:p w14:paraId="2676473C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30-50 years</w:t>
            </w:r>
          </w:p>
        </w:tc>
        <w:tc>
          <w:tcPr>
            <w:tcW w:w="1065" w:type="dxa"/>
          </w:tcPr>
          <w:p w14:paraId="22978C2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M: F =3:1</w:t>
            </w:r>
          </w:p>
        </w:tc>
        <w:tc>
          <w:tcPr>
            <w:tcW w:w="2418" w:type="dxa"/>
          </w:tcPr>
          <w:p w14:paraId="2AE8BFB0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Large and ill-defined, broad base, hemorrhage and necrosis</w:t>
            </w:r>
          </w:p>
        </w:tc>
        <w:tc>
          <w:tcPr>
            <w:tcW w:w="1482" w:type="dxa"/>
          </w:tcPr>
          <w:p w14:paraId="3E0E7EA8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Massive or diffuse thickening</w:t>
            </w:r>
          </w:p>
        </w:tc>
        <w:tc>
          <w:tcPr>
            <w:tcW w:w="1527" w:type="dxa"/>
          </w:tcPr>
          <w:p w14:paraId="4D1DC3F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Heterogeneous </w:t>
            </w:r>
          </w:p>
          <w:p w14:paraId="09F3481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attenuation</w:t>
            </w:r>
          </w:p>
        </w:tc>
        <w:tc>
          <w:tcPr>
            <w:tcW w:w="1273" w:type="dxa"/>
          </w:tcPr>
          <w:p w14:paraId="5520D1F9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 and variable</w:t>
            </w:r>
          </w:p>
        </w:tc>
        <w:tc>
          <w:tcPr>
            <w:tcW w:w="1327" w:type="dxa"/>
          </w:tcPr>
          <w:p w14:paraId="67242BD3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eastAsia="HelveticaNeue-Condensed" w:hAnsi="Times New Roman"/>
                <w:color w:val="000000"/>
                <w:kern w:val="0"/>
                <w:sz w:val="15"/>
                <w:szCs w:val="15"/>
                <w:lang w:bidi="ar"/>
              </w:rPr>
              <w:t>Heterogeneous and hyperintense</w:t>
            </w:r>
          </w:p>
        </w:tc>
        <w:tc>
          <w:tcPr>
            <w:tcW w:w="1633" w:type="dxa"/>
          </w:tcPr>
          <w:p w14:paraId="71B22CD8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avid enhancement with </w:t>
            </w:r>
            <w:r>
              <w:rPr>
                <w:rFonts w:ascii="Times New Roman" w:hAnsi="Times New Roman"/>
                <w:sz w:val="15"/>
                <w:szCs w:val="15"/>
              </w:rPr>
              <w:t>“</w:t>
            </w:r>
            <w:r>
              <w:rPr>
                <w:rFonts w:ascii="Times New Roman" w:hAnsi="Times New Roman" w:hint="eastAsia"/>
                <w:sz w:val="15"/>
                <w:szCs w:val="15"/>
              </w:rPr>
              <w:t>sun ray</w:t>
            </w:r>
            <w:r>
              <w:rPr>
                <w:rFonts w:ascii="Times New Roman" w:hAnsi="Times New Roman"/>
                <w:sz w:val="15"/>
                <w:szCs w:val="15"/>
              </w:rPr>
              <w:t>”</w:t>
            </w:r>
            <w:r>
              <w:rPr>
                <w:rFonts w:ascii="Times New Roman" w:hAnsi="Times New Roman" w:hint="eastAsia"/>
                <w:sz w:val="15"/>
                <w:szCs w:val="15"/>
              </w:rPr>
              <w:t xml:space="preserve"> </w:t>
            </w:r>
          </w:p>
        </w:tc>
      </w:tr>
      <w:tr w:rsidR="002569A6" w14:paraId="1B421DD5" w14:textId="77777777">
        <w:trPr>
          <w:jc w:val="center"/>
        </w:trPr>
        <w:tc>
          <w:tcPr>
            <w:tcW w:w="1315" w:type="dxa"/>
          </w:tcPr>
          <w:p w14:paraId="5766E7B7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Synovial Sarcoma</w:t>
            </w:r>
          </w:p>
        </w:tc>
        <w:tc>
          <w:tcPr>
            <w:tcW w:w="985" w:type="dxa"/>
          </w:tcPr>
          <w:p w14:paraId="21D44AB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33 years</w:t>
            </w:r>
          </w:p>
        </w:tc>
        <w:tc>
          <w:tcPr>
            <w:tcW w:w="1065" w:type="dxa"/>
          </w:tcPr>
          <w:p w14:paraId="68435C9E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M: F=4.28:1</w:t>
            </w:r>
          </w:p>
        </w:tc>
        <w:tc>
          <w:tcPr>
            <w:tcW w:w="2418" w:type="dxa"/>
          </w:tcPr>
          <w:p w14:paraId="7B450930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Smooth and solid masses, infiltrating myocardium or encasing vessels</w:t>
            </w:r>
          </w:p>
        </w:tc>
        <w:tc>
          <w:tcPr>
            <w:tcW w:w="1482" w:type="dxa"/>
          </w:tcPr>
          <w:p w14:paraId="227E76F1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Massive</w:t>
            </w:r>
          </w:p>
        </w:tc>
        <w:tc>
          <w:tcPr>
            <w:tcW w:w="1527" w:type="dxa"/>
          </w:tcPr>
          <w:p w14:paraId="68A5C2CE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Low attenuation</w:t>
            </w:r>
          </w:p>
        </w:tc>
        <w:tc>
          <w:tcPr>
            <w:tcW w:w="1273" w:type="dxa"/>
          </w:tcPr>
          <w:p w14:paraId="3A2F4F13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Isointense</w:t>
            </w:r>
          </w:p>
        </w:tc>
        <w:tc>
          <w:tcPr>
            <w:tcW w:w="1327" w:type="dxa"/>
          </w:tcPr>
          <w:p w14:paraId="43F95781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Slightly hyperintense</w:t>
            </w:r>
          </w:p>
        </w:tc>
        <w:tc>
          <w:tcPr>
            <w:tcW w:w="1633" w:type="dxa"/>
          </w:tcPr>
          <w:p w14:paraId="4F9ED44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</w:t>
            </w:r>
          </w:p>
        </w:tc>
      </w:tr>
      <w:tr w:rsidR="002569A6" w14:paraId="3C093288" w14:textId="77777777">
        <w:trPr>
          <w:jc w:val="center"/>
        </w:trPr>
        <w:tc>
          <w:tcPr>
            <w:tcW w:w="1315" w:type="dxa"/>
          </w:tcPr>
          <w:p w14:paraId="527F21C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Fibrosarcoma</w:t>
            </w:r>
          </w:p>
        </w:tc>
        <w:tc>
          <w:tcPr>
            <w:tcW w:w="985" w:type="dxa"/>
          </w:tcPr>
          <w:p w14:paraId="723FF8B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16-32 years</w:t>
            </w:r>
          </w:p>
        </w:tc>
        <w:tc>
          <w:tcPr>
            <w:tcW w:w="1065" w:type="dxa"/>
          </w:tcPr>
          <w:p w14:paraId="1B3505AF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-</w:t>
            </w:r>
          </w:p>
        </w:tc>
        <w:tc>
          <w:tcPr>
            <w:tcW w:w="2418" w:type="dxa"/>
          </w:tcPr>
          <w:p w14:paraId="5C27BA7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Infiltrative, central areas of necrosis</w:t>
            </w:r>
          </w:p>
        </w:tc>
        <w:tc>
          <w:tcPr>
            <w:tcW w:w="1482" w:type="dxa"/>
          </w:tcPr>
          <w:p w14:paraId="7B28D09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Massive</w:t>
            </w:r>
          </w:p>
        </w:tc>
        <w:tc>
          <w:tcPr>
            <w:tcW w:w="1527" w:type="dxa"/>
          </w:tcPr>
          <w:p w14:paraId="67D7835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Heterogeneous </w:t>
            </w:r>
          </w:p>
          <w:p w14:paraId="51D61032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attenuation</w:t>
            </w:r>
          </w:p>
        </w:tc>
        <w:tc>
          <w:tcPr>
            <w:tcW w:w="1273" w:type="dxa"/>
          </w:tcPr>
          <w:p w14:paraId="1C38307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</w:t>
            </w:r>
          </w:p>
        </w:tc>
        <w:tc>
          <w:tcPr>
            <w:tcW w:w="1327" w:type="dxa"/>
          </w:tcPr>
          <w:p w14:paraId="32A8516C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 heterogeneous</w:t>
            </w:r>
          </w:p>
        </w:tc>
        <w:tc>
          <w:tcPr>
            <w:tcW w:w="1633" w:type="dxa"/>
          </w:tcPr>
          <w:p w14:paraId="7E48704D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</w:t>
            </w:r>
          </w:p>
        </w:tc>
      </w:tr>
      <w:tr w:rsidR="002569A6" w14:paraId="3313A331" w14:textId="77777777">
        <w:trPr>
          <w:trHeight w:val="293"/>
          <w:jc w:val="center"/>
        </w:trPr>
        <w:tc>
          <w:tcPr>
            <w:tcW w:w="1315" w:type="dxa"/>
          </w:tcPr>
          <w:p w14:paraId="47E46F4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Liposarcoma</w:t>
            </w:r>
          </w:p>
        </w:tc>
        <w:tc>
          <w:tcPr>
            <w:tcW w:w="985" w:type="dxa"/>
          </w:tcPr>
          <w:p w14:paraId="218E223B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22-69 years</w:t>
            </w:r>
          </w:p>
        </w:tc>
        <w:tc>
          <w:tcPr>
            <w:tcW w:w="1065" w:type="dxa"/>
          </w:tcPr>
          <w:p w14:paraId="64C3FBB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M:F=1:2</w:t>
            </w:r>
          </w:p>
        </w:tc>
        <w:tc>
          <w:tcPr>
            <w:tcW w:w="2418" w:type="dxa"/>
          </w:tcPr>
          <w:p w14:paraId="4D9B690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large size and invasive nature</w:t>
            </w:r>
          </w:p>
        </w:tc>
        <w:tc>
          <w:tcPr>
            <w:tcW w:w="1482" w:type="dxa"/>
          </w:tcPr>
          <w:p w14:paraId="5E180B93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Massive</w:t>
            </w:r>
          </w:p>
        </w:tc>
        <w:tc>
          <w:tcPr>
            <w:tcW w:w="1527" w:type="dxa"/>
          </w:tcPr>
          <w:p w14:paraId="5B80F9CA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predominantly fatty to heterogeneous</w:t>
            </w:r>
          </w:p>
        </w:tc>
        <w:tc>
          <w:tcPr>
            <w:tcW w:w="1273" w:type="dxa"/>
          </w:tcPr>
          <w:p w14:paraId="7DFBB017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High</w:t>
            </w:r>
          </w:p>
          <w:p w14:paraId="3B9F7045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</w:t>
            </w:r>
          </w:p>
        </w:tc>
        <w:tc>
          <w:tcPr>
            <w:tcW w:w="1327" w:type="dxa"/>
          </w:tcPr>
          <w:p w14:paraId="6EA2E21A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High</w:t>
            </w:r>
          </w:p>
          <w:p w14:paraId="79C8F3E1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</w:t>
            </w:r>
          </w:p>
        </w:tc>
        <w:tc>
          <w:tcPr>
            <w:tcW w:w="1633" w:type="dxa"/>
          </w:tcPr>
          <w:p w14:paraId="2D41096F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No/minimal uptake</w:t>
            </w:r>
          </w:p>
        </w:tc>
      </w:tr>
      <w:tr w:rsidR="002569A6" w14:paraId="143B04E3" w14:textId="77777777">
        <w:trPr>
          <w:jc w:val="center"/>
        </w:trPr>
        <w:tc>
          <w:tcPr>
            <w:tcW w:w="1315" w:type="dxa"/>
          </w:tcPr>
          <w:p w14:paraId="13686DAA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Rhabdomyosarcoma</w:t>
            </w:r>
          </w:p>
        </w:tc>
        <w:tc>
          <w:tcPr>
            <w:tcW w:w="985" w:type="dxa"/>
          </w:tcPr>
          <w:p w14:paraId="2843C496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Infants, children</w:t>
            </w:r>
          </w:p>
        </w:tc>
        <w:tc>
          <w:tcPr>
            <w:tcW w:w="1065" w:type="dxa"/>
          </w:tcPr>
          <w:p w14:paraId="4AD9805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-</w:t>
            </w:r>
          </w:p>
        </w:tc>
        <w:tc>
          <w:tcPr>
            <w:tcW w:w="2418" w:type="dxa"/>
          </w:tcPr>
          <w:p w14:paraId="151C6464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large, solid, infiltrative;</w:t>
            </w:r>
          </w:p>
          <w:p w14:paraId="7D44164F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central necrosis and cavitation</w:t>
            </w:r>
          </w:p>
        </w:tc>
        <w:tc>
          <w:tcPr>
            <w:tcW w:w="1482" w:type="dxa"/>
          </w:tcPr>
          <w:p w14:paraId="3818C791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Massive</w:t>
            </w:r>
          </w:p>
        </w:tc>
        <w:tc>
          <w:tcPr>
            <w:tcW w:w="1527" w:type="dxa"/>
          </w:tcPr>
          <w:p w14:paraId="29ACCAB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Low attenuation</w:t>
            </w:r>
          </w:p>
        </w:tc>
        <w:tc>
          <w:tcPr>
            <w:tcW w:w="1273" w:type="dxa"/>
          </w:tcPr>
          <w:p w14:paraId="64E88093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Isointense</w:t>
            </w:r>
          </w:p>
        </w:tc>
        <w:tc>
          <w:tcPr>
            <w:tcW w:w="1327" w:type="dxa"/>
          </w:tcPr>
          <w:p w14:paraId="469981E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Hyperintense</w:t>
            </w:r>
          </w:p>
        </w:tc>
        <w:tc>
          <w:tcPr>
            <w:tcW w:w="1633" w:type="dxa"/>
          </w:tcPr>
          <w:p w14:paraId="0A19A0D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 enhancement</w:t>
            </w:r>
          </w:p>
        </w:tc>
      </w:tr>
      <w:tr w:rsidR="002569A6" w14:paraId="7E93113A" w14:textId="77777777">
        <w:trPr>
          <w:jc w:val="center"/>
        </w:trPr>
        <w:tc>
          <w:tcPr>
            <w:tcW w:w="1315" w:type="dxa"/>
          </w:tcPr>
          <w:p w14:paraId="37372A38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Lymphoma</w:t>
            </w:r>
          </w:p>
        </w:tc>
        <w:tc>
          <w:tcPr>
            <w:tcW w:w="985" w:type="dxa"/>
          </w:tcPr>
          <w:p w14:paraId="5A5B7132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63 years</w:t>
            </w:r>
          </w:p>
        </w:tc>
        <w:tc>
          <w:tcPr>
            <w:tcW w:w="1065" w:type="dxa"/>
          </w:tcPr>
          <w:p w14:paraId="0112769E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M: F =3:1</w:t>
            </w:r>
          </w:p>
        </w:tc>
        <w:tc>
          <w:tcPr>
            <w:tcW w:w="2418" w:type="dxa"/>
          </w:tcPr>
          <w:p w14:paraId="3C5D2AA5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Ill defined, infiltrative mass or</w:t>
            </w:r>
          </w:p>
          <w:p w14:paraId="5D39CBF7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nodule</w:t>
            </w:r>
          </w:p>
        </w:tc>
        <w:tc>
          <w:tcPr>
            <w:tcW w:w="1482" w:type="dxa"/>
          </w:tcPr>
          <w:p w14:paraId="0D52A7BD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Massive, commonly hemorrhagic</w:t>
            </w:r>
          </w:p>
        </w:tc>
        <w:tc>
          <w:tcPr>
            <w:tcW w:w="1527" w:type="dxa"/>
          </w:tcPr>
          <w:p w14:paraId="36F9AB71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iso-to hypoattenuating</w:t>
            </w:r>
          </w:p>
        </w:tc>
        <w:tc>
          <w:tcPr>
            <w:tcW w:w="1273" w:type="dxa"/>
          </w:tcPr>
          <w:p w14:paraId="2332E738" w14:textId="77777777" w:rsidR="002569A6" w:rsidRDefault="00827670">
            <w:pPr>
              <w:spacing w:line="20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 iso- to hyperintense</w:t>
            </w:r>
          </w:p>
        </w:tc>
        <w:tc>
          <w:tcPr>
            <w:tcW w:w="1327" w:type="dxa"/>
          </w:tcPr>
          <w:p w14:paraId="72DD08A9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Slightly hyperintense</w:t>
            </w:r>
          </w:p>
        </w:tc>
        <w:tc>
          <w:tcPr>
            <w:tcW w:w="1633" w:type="dxa"/>
          </w:tcPr>
          <w:p w14:paraId="24A239E0" w14:textId="77777777" w:rsidR="002569A6" w:rsidRDefault="00827670">
            <w:pPr>
              <w:spacing w:line="200" w:lineRule="exac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Heterogeneous enhancement</w:t>
            </w:r>
          </w:p>
        </w:tc>
      </w:tr>
    </w:tbl>
    <w:p w14:paraId="6B08C984" w14:textId="77777777" w:rsidR="002569A6" w:rsidRDefault="00827670">
      <w:pPr>
        <w:spacing w:line="276" w:lineRule="auto"/>
        <w:ind w:firstLine="4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hint="eastAsia"/>
          <w:sz w:val="18"/>
          <w:szCs w:val="18"/>
        </w:rPr>
        <w:t xml:space="preserve">CMR, cardiac magnetic resonance; M, male; F, female; T1WI, T1-weighted imaging; T2WI, T2-weighted imaging; LGE, late gadolinium enhancement . </w:t>
      </w:r>
    </w:p>
    <w:p w14:paraId="4B27B913" w14:textId="77777777" w:rsidR="002569A6" w:rsidRDefault="00827670">
      <w:pPr>
        <w:spacing w:line="276" w:lineRule="auto"/>
        <w:ind w:firstLine="4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hint="eastAsia"/>
          <w:sz w:val="18"/>
          <w:szCs w:val="18"/>
        </w:rPr>
        <w:t>*T1WI and T2WI signal intensity is given relative to myocardium</w:t>
      </w:r>
      <w:r>
        <w:rPr>
          <w:rFonts w:ascii="Times New Roman" w:hAnsi="Times New Roman"/>
          <w:sz w:val="18"/>
          <w:szCs w:val="18"/>
        </w:rPr>
        <w:t>.</w:t>
      </w:r>
    </w:p>
    <w:p w14:paraId="4DF3EBF0" w14:textId="77777777" w:rsidR="002569A6" w:rsidRDefault="002569A6">
      <w:pPr>
        <w:spacing w:line="20" w:lineRule="exact"/>
      </w:pPr>
    </w:p>
    <w:sectPr w:rsidR="002569A6">
      <w:pgSz w:w="16838" w:h="11906" w:orient="landscape"/>
      <w:pgMar w:top="1800" w:right="1497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347AB" w14:textId="77777777" w:rsidR="00B06E6D" w:rsidRDefault="00B06E6D" w:rsidP="006A1FDC">
      <w:r>
        <w:separator/>
      </w:r>
    </w:p>
  </w:endnote>
  <w:endnote w:type="continuationSeparator" w:id="0">
    <w:p w14:paraId="7F2377BA" w14:textId="77777777" w:rsidR="00B06E6D" w:rsidRDefault="00B06E6D" w:rsidP="006A1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Neue-Condensed">
    <w:altName w:val="Euphorigenic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8113114"/>
      <w:docPartObj>
        <w:docPartGallery w:val="Page Numbers (Bottom of Page)"/>
        <w:docPartUnique/>
      </w:docPartObj>
    </w:sdtPr>
    <w:sdtEndPr/>
    <w:sdtContent>
      <w:p w14:paraId="5F6254C4" w14:textId="77777777" w:rsidR="00294E1F" w:rsidRDefault="00294E1F" w:rsidP="008D6928">
        <w:pPr>
          <w:pStyle w:val="a7"/>
          <w:ind w:firstLineChars="2300" w:firstLine="4140"/>
        </w:pPr>
        <w:r w:rsidRPr="004B3235">
          <w:rPr>
            <w:rFonts w:ascii="Times New Roman" w:hAnsi="Times New Roman"/>
            <w:b/>
            <w:bCs/>
          </w:rPr>
          <w:fldChar w:fldCharType="begin"/>
        </w:r>
        <w:r w:rsidRPr="004B3235">
          <w:rPr>
            <w:rFonts w:ascii="Times New Roman" w:hAnsi="Times New Roman"/>
            <w:b/>
            <w:bCs/>
          </w:rPr>
          <w:instrText>PAGE   \* MERGEFORMAT</w:instrText>
        </w:r>
        <w:r w:rsidRPr="004B3235">
          <w:rPr>
            <w:rFonts w:ascii="Times New Roman" w:hAnsi="Times New Roman"/>
            <w:b/>
            <w:bCs/>
          </w:rPr>
          <w:fldChar w:fldCharType="separate"/>
        </w:r>
        <w:r w:rsidRPr="004B3235">
          <w:rPr>
            <w:rFonts w:ascii="Times New Roman" w:hAnsi="Times New Roman"/>
            <w:b/>
            <w:bCs/>
            <w:lang w:val="zh-CN"/>
          </w:rPr>
          <w:t>2</w:t>
        </w:r>
        <w:r w:rsidRPr="004B3235">
          <w:rPr>
            <w:rFonts w:ascii="Times New Roman" w:hAnsi="Times New Roman"/>
            <w:b/>
            <w:bCs/>
          </w:rPr>
          <w:fldChar w:fldCharType="end"/>
        </w:r>
      </w:p>
    </w:sdtContent>
  </w:sdt>
  <w:p w14:paraId="5A5ABED7" w14:textId="77777777" w:rsidR="00294E1F" w:rsidRDefault="00294E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C8EF" w14:textId="77777777" w:rsidR="00B06E6D" w:rsidRDefault="00B06E6D" w:rsidP="006A1FDC">
      <w:r>
        <w:separator/>
      </w:r>
    </w:p>
  </w:footnote>
  <w:footnote w:type="continuationSeparator" w:id="0">
    <w:p w14:paraId="42C5AAA4" w14:textId="77777777" w:rsidR="00B06E6D" w:rsidRDefault="00B06E6D" w:rsidP="006A1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VhNGJiMWVmZTg4ZjFhYWZhYWFiMzBkODkwYWRkZmUifQ=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181A1EE4"/>
    <w:rsid w:val="002569A6"/>
    <w:rsid w:val="00294E1F"/>
    <w:rsid w:val="00483F5C"/>
    <w:rsid w:val="004E1647"/>
    <w:rsid w:val="006033B2"/>
    <w:rsid w:val="006A1FDC"/>
    <w:rsid w:val="007A49EE"/>
    <w:rsid w:val="00827670"/>
    <w:rsid w:val="00996B34"/>
    <w:rsid w:val="00A86F9F"/>
    <w:rsid w:val="00B06E6D"/>
    <w:rsid w:val="00BD41F2"/>
    <w:rsid w:val="0109619B"/>
    <w:rsid w:val="030551D8"/>
    <w:rsid w:val="04785EAF"/>
    <w:rsid w:val="049E2BB1"/>
    <w:rsid w:val="04C4579B"/>
    <w:rsid w:val="08776263"/>
    <w:rsid w:val="0E456E02"/>
    <w:rsid w:val="0FCC70E3"/>
    <w:rsid w:val="10833B8F"/>
    <w:rsid w:val="10927C1E"/>
    <w:rsid w:val="14465682"/>
    <w:rsid w:val="150B2427"/>
    <w:rsid w:val="161669EF"/>
    <w:rsid w:val="165710DF"/>
    <w:rsid w:val="16D64E30"/>
    <w:rsid w:val="181A1EE4"/>
    <w:rsid w:val="1E793D67"/>
    <w:rsid w:val="26136A8F"/>
    <w:rsid w:val="26624E5E"/>
    <w:rsid w:val="26881727"/>
    <w:rsid w:val="27B04F67"/>
    <w:rsid w:val="288C0C04"/>
    <w:rsid w:val="2B6E2660"/>
    <w:rsid w:val="2C5E2660"/>
    <w:rsid w:val="32F66A94"/>
    <w:rsid w:val="34607C42"/>
    <w:rsid w:val="368B4D3D"/>
    <w:rsid w:val="36C22E36"/>
    <w:rsid w:val="38E30E42"/>
    <w:rsid w:val="3C9A5A48"/>
    <w:rsid w:val="4250579A"/>
    <w:rsid w:val="42605DF1"/>
    <w:rsid w:val="451A1B5E"/>
    <w:rsid w:val="47FA4868"/>
    <w:rsid w:val="4CFC6CBF"/>
    <w:rsid w:val="4E2515D4"/>
    <w:rsid w:val="4EBC2AC5"/>
    <w:rsid w:val="4EC07803"/>
    <w:rsid w:val="50B05D49"/>
    <w:rsid w:val="52C13B4A"/>
    <w:rsid w:val="53BE48CC"/>
    <w:rsid w:val="542D7800"/>
    <w:rsid w:val="59684D1F"/>
    <w:rsid w:val="59A0095D"/>
    <w:rsid w:val="5A060DA7"/>
    <w:rsid w:val="5A304016"/>
    <w:rsid w:val="5AF12F5F"/>
    <w:rsid w:val="5BC61731"/>
    <w:rsid w:val="5C944E88"/>
    <w:rsid w:val="63006952"/>
    <w:rsid w:val="642A29AB"/>
    <w:rsid w:val="649F523A"/>
    <w:rsid w:val="689D21B9"/>
    <w:rsid w:val="68A45648"/>
    <w:rsid w:val="68B00491"/>
    <w:rsid w:val="6B2F6325"/>
    <w:rsid w:val="6C0160B0"/>
    <w:rsid w:val="6C7D3D18"/>
    <w:rsid w:val="6FA4646D"/>
    <w:rsid w:val="72920575"/>
    <w:rsid w:val="72DA58DB"/>
    <w:rsid w:val="788D2DA6"/>
    <w:rsid w:val="78DA2CB4"/>
    <w:rsid w:val="7CD2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270D09"/>
  <w15:docId w15:val="{B4A1065F-600E-4580-AF41-8B983C77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qFormat/>
    <w:rPr>
      <w:rFonts w:ascii="Times New Roman" w:eastAsia="宋体" w:hAnsi="Times New Roman" w:cs="Times New Roman"/>
      <w:color w:val="0000FF"/>
      <w:u w:val="single"/>
    </w:rPr>
  </w:style>
  <w:style w:type="paragraph" w:customStyle="1" w:styleId="EndNoteBibliographyTitle">
    <w:name w:val="EndNote Bibliography Title"/>
    <w:qFormat/>
    <w:pPr>
      <w:jc w:val="center"/>
    </w:pPr>
    <w:rPr>
      <w:rFonts w:ascii="Calibri" w:hAnsi="Calibri"/>
      <w:kern w:val="2"/>
      <w:szCs w:val="24"/>
    </w:rPr>
  </w:style>
  <w:style w:type="paragraph" w:customStyle="1" w:styleId="EndNoteBibliography">
    <w:name w:val="EndNote Bibliography"/>
    <w:qFormat/>
    <w:pPr>
      <w:jc w:val="both"/>
    </w:pPr>
    <w:rPr>
      <w:rFonts w:ascii="Calibri" w:hAnsi="Calibri"/>
      <w:kern w:val="2"/>
      <w:szCs w:val="24"/>
    </w:rPr>
  </w:style>
  <w:style w:type="character" w:customStyle="1" w:styleId="a4">
    <w:name w:val="页眉 字符"/>
    <w:link w:val="a3"/>
    <w:uiPriority w:val="99"/>
    <w:semiHidden/>
    <w:qFormat/>
  </w:style>
  <w:style w:type="paragraph" w:styleId="a7">
    <w:name w:val="footer"/>
    <w:basedOn w:val="a"/>
    <w:link w:val="a8"/>
    <w:rsid w:val="006A1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A1FDC"/>
    <w:rPr>
      <w:rFonts w:ascii="Calibri" w:hAnsi="Calibri"/>
      <w:kern w:val="2"/>
      <w:sz w:val="18"/>
      <w:szCs w:val="18"/>
    </w:rPr>
  </w:style>
  <w:style w:type="character" w:styleId="a9">
    <w:name w:val="line number"/>
    <w:basedOn w:val="a0"/>
    <w:rsid w:val="00294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80442</dc:creator>
  <cp:lastModifiedBy>曹 玉坤</cp:lastModifiedBy>
  <cp:revision>4</cp:revision>
  <dcterms:created xsi:type="dcterms:W3CDTF">2023-07-18T16:08:00Z</dcterms:created>
  <dcterms:modified xsi:type="dcterms:W3CDTF">2023-08-04T08:22:00Z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1706BE9A49054BA08994A318175D22A8</vt:lpwstr>
  </property>
</Properties>
</file>