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1" w:type="dxa"/>
        <w:shd w:val="clear" w:color="auto" w:fill="FFFFFF"/>
        <w:tblLook w:val="04A0" w:firstRow="1" w:lastRow="0" w:firstColumn="1" w:lastColumn="0" w:noHBand="0" w:noVBand="1"/>
      </w:tblPr>
      <w:tblGrid>
        <w:gridCol w:w="4046"/>
        <w:gridCol w:w="2608"/>
        <w:gridCol w:w="3027"/>
      </w:tblGrid>
      <w:tr w:rsidR="00321205" w14:paraId="0CDD5810" w14:textId="77777777" w:rsidTr="00ED28E0">
        <w:trPr>
          <w:trHeight w:val="425"/>
        </w:trPr>
        <w:tc>
          <w:tcPr>
            <w:tcW w:w="968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D472182" w14:textId="77777777" w:rsidR="00321205" w:rsidRDefault="00321205" w:rsidP="00ED28E0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rPr>
                <w:rFonts w:eastAsia="SimSun" w:cs="Times New Roman"/>
                <w:kern w:val="2"/>
                <w:sz w:val="20"/>
                <w:szCs w:val="20"/>
                <w:lang w:val="it-IT" w:eastAsia="zh-CN"/>
              </w:rPr>
            </w:pPr>
            <w:r>
              <w:rPr>
                <w:rFonts w:eastAsia="DengXian" w:cs="Times New Roman" w:hint="eastAsia"/>
                <w:kern w:val="2"/>
                <w:sz w:val="20"/>
                <w:szCs w:val="20"/>
                <w:lang w:eastAsia="zh-CN"/>
              </w:rPr>
              <w:t>T</w:t>
            </w:r>
            <w:r>
              <w:rPr>
                <w:rFonts w:eastAsia="DengXian" w:cs="Times New Roman"/>
                <w:kern w:val="2"/>
                <w:sz w:val="20"/>
                <w:szCs w:val="20"/>
                <w:lang w:eastAsia="zh-CN"/>
              </w:rPr>
              <w:t>able</w:t>
            </w:r>
            <w:r>
              <w:rPr>
                <w:rFonts w:eastAsia="DengXian" w:cs="Times New Roman" w:hint="eastAsia"/>
                <w:kern w:val="2"/>
                <w:sz w:val="20"/>
                <w:szCs w:val="20"/>
                <w:lang w:eastAsia="zh-CN"/>
              </w:rPr>
              <w:t xml:space="preserve"> S1.</w:t>
            </w:r>
            <w:r>
              <w:rPr>
                <w:rFonts w:eastAsia="DengXi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engXian" w:cs="Times New Roman" w:hint="eastAsia"/>
                <w:kern w:val="2"/>
                <w:sz w:val="20"/>
                <w:szCs w:val="20"/>
                <w:lang w:eastAsia="zh-CN"/>
              </w:rPr>
              <w:t xml:space="preserve">Comparison of clinic-ultrasound features between </w:t>
            </w:r>
            <w:r>
              <w:rPr>
                <w:rFonts w:eastAsia="DengXian" w:cs="Times New Roman"/>
                <w:kern w:val="2"/>
                <w:sz w:val="20"/>
                <w:szCs w:val="20"/>
                <w:lang w:eastAsia="zh-CN"/>
              </w:rPr>
              <w:t>PT</w:t>
            </w:r>
            <w:r>
              <w:rPr>
                <w:rFonts w:eastAsia="DengXian" w:cs="Times New Roman" w:hint="eastAsia"/>
                <w:kern w:val="2"/>
                <w:sz w:val="20"/>
                <w:szCs w:val="20"/>
                <w:lang w:eastAsia="zh-CN"/>
              </w:rPr>
              <w:t xml:space="preserve">C </w:t>
            </w:r>
            <w:r>
              <w:rPr>
                <w:rFonts w:eastAsia="DengXian" w:cs="Times New Roman"/>
                <w:kern w:val="2"/>
                <w:sz w:val="20"/>
                <w:szCs w:val="20"/>
                <w:lang w:eastAsia="zh-CN"/>
              </w:rPr>
              <w:t xml:space="preserve">and SCCT </w:t>
            </w:r>
            <w:r>
              <w:rPr>
                <w:rFonts w:eastAsia="DengXian" w:cs="Times New Roman" w:hint="eastAsia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321205" w14:paraId="21EC7319" w14:textId="77777777" w:rsidTr="00ED28E0">
        <w:trPr>
          <w:trHeight w:val="425"/>
        </w:trPr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881D81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DengXian" w:cs="Times New Roman"/>
                <w:kern w:val="2"/>
                <w:sz w:val="20"/>
                <w:szCs w:val="20"/>
                <w:lang w:eastAsia="zh-CN"/>
              </w:rPr>
              <w:t>Patients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E0A079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PT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C </w:t>
            </w:r>
            <w:r>
              <w:rPr>
                <w:rFonts w:eastAsia="DengXian" w:cs="Times New Roman"/>
                <w:color w:val="000000"/>
                <w:kern w:val="2"/>
                <w:sz w:val="20"/>
                <w:szCs w:val="20"/>
              </w:rPr>
              <w:t>(</w:t>
            </w:r>
            <w:r>
              <w:rPr>
                <w:rFonts w:eastAsia="DengXian" w:cs="Times New Roman"/>
                <w:i/>
                <w:color w:val="000000"/>
                <w:kern w:val="2"/>
                <w:sz w:val="20"/>
                <w:szCs w:val="20"/>
              </w:rPr>
              <w:t>n</w:t>
            </w:r>
            <w:r>
              <w:rPr>
                <w:rFonts w:eastAsia="DengXian" w:cs="Times New Roman"/>
                <w:color w:val="000000"/>
                <w:kern w:val="2"/>
                <w:sz w:val="20"/>
                <w:szCs w:val="20"/>
              </w:rPr>
              <w:t>=1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44/189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792E27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S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CCT(n=26)</w:t>
            </w:r>
          </w:p>
        </w:tc>
      </w:tr>
      <w:tr w:rsidR="00321205" w14:paraId="79B6D924" w14:textId="77777777" w:rsidTr="00ED28E0">
        <w:trPr>
          <w:trHeight w:val="425"/>
        </w:trPr>
        <w:tc>
          <w:tcPr>
            <w:tcW w:w="404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7085356" w14:textId="77777777" w:rsidR="00321205" w:rsidRDefault="00321205" w:rsidP="00ED28E0">
            <w:pPr>
              <w:widowControl w:val="0"/>
              <w:spacing w:before="0" w:after="0" w:line="276" w:lineRule="auto"/>
              <w:ind w:firstLineChars="100" w:firstLine="200"/>
              <w:rPr>
                <w:rFonts w:eastAsia="DengXi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DengXian" w:cs="Times New Roman" w:hint="eastAsia"/>
                <w:kern w:val="2"/>
                <w:sz w:val="20"/>
                <w:szCs w:val="20"/>
                <w:lang w:eastAsia="zh-CN"/>
              </w:rPr>
              <w:t>Incidence of thyroid cancer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571C822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80.0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–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90.0%</w:t>
            </w:r>
          </w:p>
        </w:tc>
        <w:tc>
          <w:tcPr>
            <w:tcW w:w="302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59179B8A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0.5%</w:t>
            </w:r>
          </w:p>
        </w:tc>
      </w:tr>
      <w:tr w:rsidR="00321205" w14:paraId="7139AE71" w14:textId="77777777" w:rsidTr="00ED28E0">
        <w:trPr>
          <w:trHeight w:val="425"/>
        </w:trPr>
        <w:tc>
          <w:tcPr>
            <w:tcW w:w="4046" w:type="dxa"/>
            <w:tcBorders>
              <w:top w:val="nil"/>
            </w:tcBorders>
            <w:shd w:val="clear" w:color="auto" w:fill="FFFFFF"/>
          </w:tcPr>
          <w:p w14:paraId="76B53C60" w14:textId="77777777" w:rsidR="00321205" w:rsidRDefault="00321205" w:rsidP="00ED28E0">
            <w:pPr>
              <w:widowControl w:val="0"/>
              <w:spacing w:before="0" w:after="0" w:line="276" w:lineRule="auto"/>
              <w:ind w:firstLineChars="100" w:firstLine="2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Age, 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Mean ± SD (range),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 years</w:t>
            </w:r>
          </w:p>
        </w:tc>
        <w:tc>
          <w:tcPr>
            <w:tcW w:w="2608" w:type="dxa"/>
            <w:tcBorders>
              <w:top w:val="nil"/>
            </w:tcBorders>
            <w:shd w:val="clear" w:color="auto" w:fill="FFFFFF"/>
          </w:tcPr>
          <w:p w14:paraId="21DA2A49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45.6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±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11.9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(18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–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76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3027" w:type="dxa"/>
            <w:tcBorders>
              <w:top w:val="nil"/>
            </w:tcBorders>
            <w:shd w:val="clear" w:color="auto" w:fill="FFFFFF"/>
          </w:tcPr>
          <w:p w14:paraId="4994EC4A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6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0.2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± 10.1 (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4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2–81)</w:t>
            </w:r>
          </w:p>
        </w:tc>
      </w:tr>
      <w:tr w:rsidR="00321205" w14:paraId="1742841D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4CE623E7" w14:textId="77777777" w:rsidR="00321205" w:rsidRDefault="00321205" w:rsidP="00ED28E0">
            <w:pPr>
              <w:widowControl w:val="0"/>
              <w:spacing w:before="0" w:after="0" w:line="276" w:lineRule="auto"/>
              <w:ind w:firstLineChars="100" w:firstLine="2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Gender </w:t>
            </w:r>
            <w:proofErr w:type="spellStart"/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prodominance</w:t>
            </w:r>
            <w:proofErr w:type="spellEnd"/>
          </w:p>
        </w:tc>
        <w:tc>
          <w:tcPr>
            <w:tcW w:w="2608" w:type="dxa"/>
            <w:shd w:val="clear" w:color="auto" w:fill="FFFFFF"/>
          </w:tcPr>
          <w:p w14:paraId="33FC42B0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3027" w:type="dxa"/>
            <w:shd w:val="clear" w:color="auto" w:fill="FFFFFF"/>
          </w:tcPr>
          <w:p w14:paraId="6F9737BF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Femal</w:t>
            </w:r>
            <w:r>
              <w:rPr>
                <w:rFonts w:eastAsia="SimSun" w:cs="Times New Roman" w:hint="eastAsia"/>
                <w:color w:val="000000"/>
                <w:kern w:val="2"/>
                <w:szCs w:val="24"/>
                <w:vertAlign w:val="superscript"/>
                <w:lang w:eastAsia="zh-CN"/>
              </w:rPr>
              <w:t>a</w:t>
            </w:r>
            <w:proofErr w:type="spellEnd"/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/Male</w:t>
            </w:r>
          </w:p>
        </w:tc>
      </w:tr>
      <w:tr w:rsidR="00321205" w14:paraId="6F1CF238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6DD30B66" w14:textId="77777777" w:rsidR="00321205" w:rsidRDefault="00321205" w:rsidP="00ED28E0">
            <w:pPr>
              <w:widowControl w:val="0"/>
              <w:spacing w:before="0" w:after="0" w:line="276" w:lineRule="auto"/>
              <w:ind w:firstLineChars="100" w:firstLine="200"/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S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  <w:t>ymptoms</w:t>
            </w:r>
          </w:p>
        </w:tc>
        <w:tc>
          <w:tcPr>
            <w:tcW w:w="2608" w:type="dxa"/>
            <w:shd w:val="clear" w:color="auto" w:fill="FFFFFF"/>
          </w:tcPr>
          <w:p w14:paraId="5469311A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027" w:type="dxa"/>
            <w:shd w:val="clear" w:color="auto" w:fill="FFFFFF"/>
          </w:tcPr>
          <w:p w14:paraId="628DA5C2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321205" w14:paraId="0621B6AC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44853A04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TNs detected by ultrasound</w:t>
            </w:r>
          </w:p>
        </w:tc>
        <w:tc>
          <w:tcPr>
            <w:tcW w:w="2608" w:type="dxa"/>
            <w:shd w:val="clear" w:color="auto" w:fill="FFFFFF"/>
          </w:tcPr>
          <w:p w14:paraId="460F860B" w14:textId="77777777" w:rsidR="00321205" w:rsidRDefault="00321205" w:rsidP="00ED28E0">
            <w:pPr>
              <w:widowControl w:val="0"/>
              <w:spacing w:before="0" w:after="0" w:line="276" w:lineRule="auto"/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More common*</w:t>
            </w:r>
          </w:p>
        </w:tc>
        <w:tc>
          <w:tcPr>
            <w:tcW w:w="3027" w:type="dxa"/>
            <w:shd w:val="clear" w:color="auto" w:fill="FFFFFF"/>
          </w:tcPr>
          <w:p w14:paraId="5C961EA0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19.6%</w:t>
            </w:r>
          </w:p>
        </w:tc>
      </w:tr>
      <w:tr w:rsidR="00321205" w14:paraId="726A7E1D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56699017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Rapidly increasing neck mass</w:t>
            </w:r>
          </w:p>
        </w:tc>
        <w:tc>
          <w:tcPr>
            <w:tcW w:w="2608" w:type="dxa"/>
            <w:shd w:val="clear" w:color="auto" w:fill="FFFFFF"/>
          </w:tcPr>
          <w:p w14:paraId="2AC9B79F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Less common*</w:t>
            </w:r>
          </w:p>
        </w:tc>
        <w:tc>
          <w:tcPr>
            <w:tcW w:w="3027" w:type="dxa"/>
            <w:shd w:val="clear" w:color="auto" w:fill="FFFFFF"/>
          </w:tcPr>
          <w:p w14:paraId="17960C81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69.2%</w:t>
            </w:r>
          </w:p>
        </w:tc>
      </w:tr>
      <w:tr w:rsidR="00321205" w14:paraId="7AA05562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7A7502C9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Accompanied compressing symptoms </w:t>
            </w:r>
          </w:p>
        </w:tc>
        <w:tc>
          <w:tcPr>
            <w:tcW w:w="2608" w:type="dxa"/>
            <w:shd w:val="clear" w:color="auto" w:fill="FFFFFF"/>
          </w:tcPr>
          <w:p w14:paraId="75F8DAB8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Less common*</w:t>
            </w:r>
          </w:p>
        </w:tc>
        <w:tc>
          <w:tcPr>
            <w:tcW w:w="3027" w:type="dxa"/>
            <w:shd w:val="clear" w:color="auto" w:fill="FFFFFF"/>
          </w:tcPr>
          <w:p w14:paraId="66EBAEDE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85.0%</w:t>
            </w:r>
          </w:p>
        </w:tc>
      </w:tr>
      <w:tr w:rsidR="00321205" w14:paraId="71715FD3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73F88F87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  <w:t>Neck lymph node metastasis</w:t>
            </w:r>
          </w:p>
        </w:tc>
        <w:tc>
          <w:tcPr>
            <w:tcW w:w="2608" w:type="dxa"/>
            <w:shd w:val="clear" w:color="auto" w:fill="FFFFFF"/>
          </w:tcPr>
          <w:p w14:paraId="21A722DC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20.1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–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50.0%</w:t>
            </w:r>
          </w:p>
        </w:tc>
        <w:tc>
          <w:tcPr>
            <w:tcW w:w="3027" w:type="dxa"/>
            <w:shd w:val="clear" w:color="auto" w:fill="FFFFFF"/>
          </w:tcPr>
          <w:p w14:paraId="23F10C4B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50.0%</w:t>
            </w:r>
          </w:p>
        </w:tc>
      </w:tr>
      <w:tr w:rsidR="00321205" w14:paraId="27CF51B8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257625E7" w14:textId="77777777" w:rsidR="00321205" w:rsidRDefault="00321205" w:rsidP="00ED28E0">
            <w:pPr>
              <w:widowControl w:val="0"/>
              <w:spacing w:before="0" w:after="0" w:line="276" w:lineRule="auto"/>
              <w:ind w:firstLineChars="100" w:firstLine="2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  <w:t>Tumor size</w:t>
            </w:r>
          </w:p>
        </w:tc>
        <w:tc>
          <w:tcPr>
            <w:tcW w:w="2608" w:type="dxa"/>
            <w:shd w:val="clear" w:color="auto" w:fill="FFFFFF"/>
          </w:tcPr>
          <w:p w14:paraId="4098D952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027" w:type="dxa"/>
            <w:shd w:val="clear" w:color="auto" w:fill="FFFFFF"/>
          </w:tcPr>
          <w:p w14:paraId="42D606CA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321205" w14:paraId="31F6C360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577ECD9E" w14:textId="77777777" w:rsidR="00321205" w:rsidRDefault="00321205" w:rsidP="00ED28E0">
            <w:pPr>
              <w:widowControl w:val="0"/>
              <w:spacing w:before="0" w:after="0" w:line="276" w:lineRule="auto"/>
              <w:ind w:firstLineChars="100" w:firstLine="200"/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/>
              </w:rPr>
              <w:t>Mean ± SD, cm</w:t>
            </w:r>
          </w:p>
        </w:tc>
        <w:tc>
          <w:tcPr>
            <w:tcW w:w="2608" w:type="dxa"/>
            <w:shd w:val="clear" w:color="auto" w:fill="FFFFFF"/>
          </w:tcPr>
          <w:p w14:paraId="36A31512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  <w:t>1.5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  <w:t>± 1.1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/2.1 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  <w:t xml:space="preserve">± 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0.8</w:t>
            </w:r>
          </w:p>
        </w:tc>
        <w:tc>
          <w:tcPr>
            <w:tcW w:w="3027" w:type="dxa"/>
            <w:shd w:val="clear" w:color="auto" w:fill="FFFFFF"/>
          </w:tcPr>
          <w:p w14:paraId="296C11E2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3.7 ± 1.3</w:t>
            </w:r>
          </w:p>
        </w:tc>
      </w:tr>
      <w:tr w:rsidR="00321205" w14:paraId="56294924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62B1FD29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/>
              </w:rPr>
              <w:t>&gt;20 mm</w:t>
            </w:r>
          </w:p>
        </w:tc>
        <w:tc>
          <w:tcPr>
            <w:tcW w:w="2608" w:type="dxa"/>
            <w:shd w:val="clear" w:color="auto" w:fill="FFFFFF"/>
          </w:tcPr>
          <w:p w14:paraId="6149EC14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1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%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&amp;</w:t>
            </w:r>
          </w:p>
        </w:tc>
        <w:tc>
          <w:tcPr>
            <w:tcW w:w="3027" w:type="dxa"/>
            <w:shd w:val="clear" w:color="auto" w:fill="FFFFFF"/>
          </w:tcPr>
          <w:p w14:paraId="6BF2A177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88.9%</w:t>
            </w:r>
          </w:p>
        </w:tc>
      </w:tr>
      <w:tr w:rsidR="00321205" w14:paraId="52FF42C4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08E7CE1C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val="it-IT"/>
              </w:rPr>
              <w:t>≤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val="it-IT" w:eastAsia="zh-CN"/>
              </w:rPr>
              <w:t>2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0 mm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608" w:type="dxa"/>
            <w:shd w:val="clear" w:color="auto" w:fill="FFFFFF"/>
          </w:tcPr>
          <w:p w14:paraId="3FDACE74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8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7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.0%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&amp;</w:t>
            </w:r>
          </w:p>
        </w:tc>
        <w:tc>
          <w:tcPr>
            <w:tcW w:w="3027" w:type="dxa"/>
            <w:shd w:val="clear" w:color="auto" w:fill="FFFFFF"/>
          </w:tcPr>
          <w:p w14:paraId="482F2084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11.1%</w:t>
            </w:r>
          </w:p>
        </w:tc>
      </w:tr>
      <w:tr w:rsidR="00321205" w14:paraId="133CA23A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25B138BD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val="it-IT" w:eastAsia="zh-CN"/>
              </w:rPr>
              <w:t xml:space="preserve"> 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val="it-IT" w:eastAsia="zh-CN"/>
              </w:rPr>
              <w:t>≤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val="it-IT" w:eastAsia="zh-CN"/>
              </w:rPr>
              <w:t xml:space="preserve">10 mm 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val="it-IT" w:eastAsia="zh-CN"/>
              </w:rPr>
              <w:tab/>
            </w:r>
          </w:p>
        </w:tc>
        <w:tc>
          <w:tcPr>
            <w:tcW w:w="2608" w:type="dxa"/>
            <w:shd w:val="clear" w:color="auto" w:fill="FFFFFF"/>
          </w:tcPr>
          <w:p w14:paraId="1ADA74D7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val="it-IT" w:eastAsia="zh-CN"/>
              </w:rPr>
              <w:t>49.0%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&amp;</w:t>
            </w:r>
          </w:p>
        </w:tc>
        <w:tc>
          <w:tcPr>
            <w:tcW w:w="3027" w:type="dxa"/>
            <w:shd w:val="clear" w:color="auto" w:fill="FFFFFF"/>
          </w:tcPr>
          <w:p w14:paraId="49C12F33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val="it-IT" w:eastAsia="zh-CN"/>
              </w:rPr>
              <w:t>7.4%</w:t>
            </w:r>
          </w:p>
        </w:tc>
      </w:tr>
      <w:tr w:rsidR="00321205" w14:paraId="31611877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182857BA" w14:textId="77777777" w:rsidR="00321205" w:rsidRDefault="00321205" w:rsidP="00ED28E0">
            <w:pPr>
              <w:widowControl w:val="0"/>
              <w:spacing w:before="0" w:after="0" w:line="276" w:lineRule="auto"/>
              <w:ind w:firstLineChars="100" w:firstLine="200"/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Multifocal 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  <w:t xml:space="preserve">tumors </w:t>
            </w:r>
          </w:p>
        </w:tc>
        <w:tc>
          <w:tcPr>
            <w:tcW w:w="2608" w:type="dxa"/>
            <w:shd w:val="clear" w:color="auto" w:fill="FFFFFF"/>
          </w:tcPr>
          <w:p w14:paraId="5EBA2714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10.0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–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20.0%</w:t>
            </w:r>
          </w:p>
        </w:tc>
        <w:tc>
          <w:tcPr>
            <w:tcW w:w="3027" w:type="dxa"/>
            <w:shd w:val="clear" w:color="auto" w:fill="FFFFFF"/>
          </w:tcPr>
          <w:p w14:paraId="267A000F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Incidental/satellite lesions</w:t>
            </w:r>
          </w:p>
        </w:tc>
      </w:tr>
      <w:tr w:rsidR="00321205" w14:paraId="304D36EF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74F45EF9" w14:textId="77777777" w:rsidR="00321205" w:rsidRDefault="00321205" w:rsidP="00ED28E0">
            <w:pPr>
              <w:widowControl w:val="0"/>
              <w:spacing w:before="0" w:after="0" w:line="276" w:lineRule="auto"/>
              <w:ind w:firstLineChars="100" w:firstLine="200"/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  <w:t>Composition</w:t>
            </w:r>
          </w:p>
          <w:p w14:paraId="5DEC7D2D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ascii="MingLiU" w:eastAsia="DengXian" w:cs="MingLiU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val="it-IT" w:eastAsia="zh-CN"/>
              </w:rPr>
              <w:t>Solid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 and a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  <w:t>lmost completely solid</w:t>
            </w:r>
          </w:p>
        </w:tc>
        <w:tc>
          <w:tcPr>
            <w:tcW w:w="2608" w:type="dxa"/>
            <w:shd w:val="clear" w:color="auto" w:fill="FFFFFF"/>
          </w:tcPr>
          <w:p w14:paraId="548B17F7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 w14:paraId="772338CB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70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.0–98.4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027" w:type="dxa"/>
            <w:shd w:val="clear" w:color="auto" w:fill="FFFFFF"/>
          </w:tcPr>
          <w:p w14:paraId="1D46AA53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 w14:paraId="3B00FF41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100.0%</w:t>
            </w:r>
          </w:p>
        </w:tc>
      </w:tr>
      <w:tr w:rsidR="00321205" w14:paraId="52DE290F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1D412BE5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Variable cystic component</w:t>
            </w:r>
          </w:p>
        </w:tc>
        <w:tc>
          <w:tcPr>
            <w:tcW w:w="2608" w:type="dxa"/>
            <w:shd w:val="clear" w:color="auto" w:fill="FFFFFF"/>
          </w:tcPr>
          <w:p w14:paraId="683DA517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6.3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–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30.0%</w:t>
            </w:r>
          </w:p>
        </w:tc>
        <w:tc>
          <w:tcPr>
            <w:tcW w:w="3027" w:type="dxa"/>
            <w:shd w:val="clear" w:color="auto" w:fill="FFFFFF"/>
          </w:tcPr>
          <w:p w14:paraId="1FF34657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7.4%</w:t>
            </w:r>
          </w:p>
        </w:tc>
      </w:tr>
      <w:tr w:rsidR="00321205" w14:paraId="372A34F9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2FD9F9CB" w14:textId="77777777" w:rsidR="00321205" w:rsidRDefault="00321205" w:rsidP="00ED28E0">
            <w:pPr>
              <w:widowControl w:val="0"/>
              <w:spacing w:before="0" w:after="0" w:line="276" w:lineRule="auto"/>
              <w:ind w:firstLineChars="100" w:firstLine="200"/>
              <w:rPr>
                <w:rFonts w:eastAsia="SimSun" w:cs="Times New Roman"/>
                <w:kern w:val="2"/>
                <w:sz w:val="20"/>
                <w:szCs w:val="20"/>
                <w:lang w:val="it-IT"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val="it-IT" w:eastAsia="zh-CN"/>
              </w:rPr>
              <w:t>Echogenicity</w:t>
            </w:r>
          </w:p>
          <w:p w14:paraId="5850B650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kern w:val="2"/>
                <w:sz w:val="20"/>
                <w:szCs w:val="20"/>
                <w:lang w:val="it-IT" w:eastAsia="zh-CN"/>
              </w:rPr>
            </w:pPr>
            <w:r>
              <w:rPr>
                <w:rFonts w:eastAsia="SimSun" w:cs="Times New Roman" w:hint="eastAsia"/>
                <w:kern w:val="2"/>
                <w:sz w:val="20"/>
                <w:szCs w:val="20"/>
                <w:lang w:val="it-IT" w:eastAsia="zh-CN"/>
              </w:rPr>
              <w:t>H</w:t>
            </w:r>
            <w:r>
              <w:rPr>
                <w:rFonts w:eastAsia="SimSun" w:cs="Times New Roman"/>
                <w:kern w:val="2"/>
                <w:sz w:val="20"/>
                <w:szCs w:val="20"/>
                <w:lang w:val="it-IT" w:eastAsia="zh-CN"/>
              </w:rPr>
              <w:t>ypoechoic</w:t>
            </w:r>
          </w:p>
        </w:tc>
        <w:tc>
          <w:tcPr>
            <w:tcW w:w="2608" w:type="dxa"/>
            <w:shd w:val="clear" w:color="auto" w:fill="FFFFFF"/>
          </w:tcPr>
          <w:p w14:paraId="2B6F058A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kern w:val="2"/>
                <w:sz w:val="20"/>
                <w:szCs w:val="20"/>
                <w:lang w:eastAsia="zh-CN"/>
              </w:rPr>
              <w:t>70.8</w:t>
            </w: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–91.0</w:t>
            </w:r>
            <w:r>
              <w:rPr>
                <w:rFonts w:eastAsia="SimSun" w:cs="Times New Roman" w:hint="eastAsia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027" w:type="dxa"/>
            <w:shd w:val="clear" w:color="auto" w:fill="FFFFFF"/>
          </w:tcPr>
          <w:p w14:paraId="5D3436E1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63.0%</w:t>
            </w:r>
          </w:p>
        </w:tc>
      </w:tr>
      <w:tr w:rsidR="00321205" w14:paraId="1CA64519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693F0920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Very 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hypoechoic</w:t>
            </w:r>
          </w:p>
        </w:tc>
        <w:tc>
          <w:tcPr>
            <w:tcW w:w="2608" w:type="dxa"/>
            <w:shd w:val="clear" w:color="auto" w:fill="FFFFFF"/>
          </w:tcPr>
          <w:p w14:paraId="324DF435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6.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9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–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26.4%</w:t>
            </w:r>
          </w:p>
        </w:tc>
        <w:tc>
          <w:tcPr>
            <w:tcW w:w="3027" w:type="dxa"/>
            <w:shd w:val="clear" w:color="auto" w:fill="FFFFFF"/>
          </w:tcPr>
          <w:p w14:paraId="739E5816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37.0%</w:t>
            </w:r>
          </w:p>
        </w:tc>
      </w:tr>
      <w:tr w:rsidR="00321205" w14:paraId="0B988227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31B5825C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Heterogeneous hyperechoic</w:t>
            </w:r>
          </w:p>
        </w:tc>
        <w:tc>
          <w:tcPr>
            <w:tcW w:w="2608" w:type="dxa"/>
            <w:shd w:val="clear" w:color="auto" w:fill="FFFFFF"/>
          </w:tcPr>
          <w:p w14:paraId="1B56D8B1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2.1–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2.8%</w:t>
            </w:r>
          </w:p>
        </w:tc>
        <w:tc>
          <w:tcPr>
            <w:tcW w:w="3027" w:type="dxa"/>
            <w:shd w:val="clear" w:color="auto" w:fill="FFFFFF"/>
          </w:tcPr>
          <w:p w14:paraId="6DC3CCE6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</w:tr>
      <w:tr w:rsidR="00321205" w14:paraId="3CA8A060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74C5C989" w14:textId="77777777" w:rsidR="00321205" w:rsidRDefault="00321205" w:rsidP="00ED28E0">
            <w:pPr>
              <w:widowControl w:val="0"/>
              <w:spacing w:before="0" w:after="0" w:line="276" w:lineRule="auto"/>
              <w:ind w:firstLineChars="100" w:firstLine="2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Shape</w:t>
            </w:r>
          </w:p>
          <w:p w14:paraId="62D195E3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T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all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er-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than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-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wide</w:t>
            </w:r>
          </w:p>
        </w:tc>
        <w:tc>
          <w:tcPr>
            <w:tcW w:w="2608" w:type="dxa"/>
            <w:shd w:val="clear" w:color="auto" w:fill="FFFFFF"/>
          </w:tcPr>
          <w:p w14:paraId="1D700EE4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33.3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–50.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3%</w:t>
            </w:r>
          </w:p>
        </w:tc>
        <w:tc>
          <w:tcPr>
            <w:tcW w:w="3027" w:type="dxa"/>
            <w:shd w:val="clear" w:color="auto" w:fill="FFFFFF"/>
          </w:tcPr>
          <w:p w14:paraId="6EF80A1B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48.1%</w:t>
            </w:r>
          </w:p>
        </w:tc>
      </w:tr>
      <w:tr w:rsidR="00321205" w14:paraId="5AE0C744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2C1D5260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Wider-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than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-tall</w:t>
            </w:r>
          </w:p>
        </w:tc>
        <w:tc>
          <w:tcPr>
            <w:tcW w:w="2608" w:type="dxa"/>
            <w:shd w:val="clear" w:color="auto" w:fill="FFFFFF"/>
          </w:tcPr>
          <w:p w14:paraId="7BEDFBFF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58.3–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66.7%</w:t>
            </w:r>
          </w:p>
        </w:tc>
        <w:tc>
          <w:tcPr>
            <w:tcW w:w="3027" w:type="dxa"/>
            <w:shd w:val="clear" w:color="auto" w:fill="FFFFFF"/>
          </w:tcPr>
          <w:p w14:paraId="73E95EA5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51.9%</w:t>
            </w:r>
          </w:p>
        </w:tc>
      </w:tr>
      <w:tr w:rsidR="00321205" w14:paraId="3F9CFBA5" w14:textId="77777777" w:rsidTr="00ED28E0">
        <w:trPr>
          <w:trHeight w:val="90"/>
        </w:trPr>
        <w:tc>
          <w:tcPr>
            <w:tcW w:w="4046" w:type="dxa"/>
            <w:shd w:val="clear" w:color="auto" w:fill="FFFFFF"/>
          </w:tcPr>
          <w:p w14:paraId="7C49681F" w14:textId="77777777" w:rsidR="00321205" w:rsidRDefault="00321205" w:rsidP="00ED28E0">
            <w:pPr>
              <w:widowControl w:val="0"/>
              <w:spacing w:before="0" w:after="0" w:line="276" w:lineRule="auto"/>
              <w:ind w:firstLineChars="100" w:firstLine="2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Margin</w:t>
            </w:r>
          </w:p>
          <w:p w14:paraId="272C6719" w14:textId="77777777" w:rsidR="00321205" w:rsidRDefault="00321205" w:rsidP="00ED28E0">
            <w:pPr>
              <w:widowControl w:val="0"/>
              <w:spacing w:before="0" w:after="0" w:line="276" w:lineRule="auto"/>
              <w:ind w:firstLineChars="100" w:firstLine="2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Smooth or unclear</w:t>
            </w:r>
          </w:p>
        </w:tc>
        <w:tc>
          <w:tcPr>
            <w:tcW w:w="2608" w:type="dxa"/>
            <w:shd w:val="clear" w:color="auto" w:fill="FFFFFF"/>
          </w:tcPr>
          <w:p w14:paraId="6D7BEB0B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 w14:paraId="45F4F158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45.1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–46.0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027" w:type="dxa"/>
            <w:shd w:val="clear" w:color="auto" w:fill="FFFFFF"/>
          </w:tcPr>
          <w:p w14:paraId="60DB899E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 w14:paraId="613B6BA1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</w:tr>
      <w:tr w:rsidR="00321205" w14:paraId="3B13D747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046EC1F6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I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rregular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/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spiculated/lobulated</w:t>
            </w:r>
          </w:p>
        </w:tc>
        <w:tc>
          <w:tcPr>
            <w:tcW w:w="2608" w:type="dxa"/>
            <w:shd w:val="clear" w:color="auto" w:fill="FFFFFF"/>
          </w:tcPr>
          <w:p w14:paraId="2813A5C1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14.6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–41.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3%</w:t>
            </w:r>
          </w:p>
        </w:tc>
        <w:tc>
          <w:tcPr>
            <w:tcW w:w="3027" w:type="dxa"/>
            <w:shd w:val="clear" w:color="auto" w:fill="FFFFFF"/>
          </w:tcPr>
          <w:p w14:paraId="14CA971C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59.2%</w:t>
            </w:r>
          </w:p>
        </w:tc>
      </w:tr>
      <w:tr w:rsidR="00321205" w14:paraId="177588AA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03368AED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E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xtra thyroidal extension</w:t>
            </w:r>
          </w:p>
        </w:tc>
        <w:tc>
          <w:tcPr>
            <w:tcW w:w="2608" w:type="dxa"/>
            <w:shd w:val="clear" w:color="auto" w:fill="FFFFFF"/>
          </w:tcPr>
          <w:p w14:paraId="5E7C4830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12.7–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40.3%</w:t>
            </w:r>
          </w:p>
        </w:tc>
        <w:tc>
          <w:tcPr>
            <w:tcW w:w="3027" w:type="dxa"/>
            <w:shd w:val="clear" w:color="auto" w:fill="FFFFFF"/>
          </w:tcPr>
          <w:p w14:paraId="60EA4C14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100.0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:rsidR="00321205" w14:paraId="6D316A8C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13089CBB" w14:textId="77777777" w:rsidR="00321205" w:rsidRDefault="00321205" w:rsidP="00ED28E0">
            <w:pPr>
              <w:widowControl w:val="0"/>
              <w:spacing w:before="0" w:after="0" w:line="276" w:lineRule="auto"/>
              <w:ind w:firstLineChars="100" w:firstLine="2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Echogenic foci</w:t>
            </w:r>
          </w:p>
          <w:p w14:paraId="4C716389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Micro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calcification</w:t>
            </w:r>
          </w:p>
        </w:tc>
        <w:tc>
          <w:tcPr>
            <w:tcW w:w="2608" w:type="dxa"/>
            <w:shd w:val="clear" w:color="auto" w:fill="FFFFFF"/>
          </w:tcPr>
          <w:p w14:paraId="3504620D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 w14:paraId="04325A0D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25.0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–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62.5%</w:t>
            </w:r>
          </w:p>
        </w:tc>
        <w:tc>
          <w:tcPr>
            <w:tcW w:w="3027" w:type="dxa"/>
            <w:shd w:val="clear" w:color="auto" w:fill="FFFFFF"/>
          </w:tcPr>
          <w:p w14:paraId="1AB56996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 w14:paraId="3CA05032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77.8%</w:t>
            </w:r>
          </w:p>
        </w:tc>
      </w:tr>
      <w:tr w:rsidR="00321205" w14:paraId="207F3910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1BD17BA4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P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EF</w:t>
            </w:r>
          </w:p>
        </w:tc>
        <w:tc>
          <w:tcPr>
            <w:tcW w:w="2608" w:type="dxa"/>
            <w:shd w:val="clear" w:color="auto" w:fill="FFFFFF"/>
          </w:tcPr>
          <w:p w14:paraId="4E8102F1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14.6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–16.7%</w:t>
            </w:r>
          </w:p>
        </w:tc>
        <w:tc>
          <w:tcPr>
            <w:tcW w:w="3027" w:type="dxa"/>
            <w:shd w:val="clear" w:color="auto" w:fill="FFFFFF"/>
          </w:tcPr>
          <w:p w14:paraId="465AB283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22.2%</w:t>
            </w:r>
          </w:p>
        </w:tc>
      </w:tr>
      <w:tr w:rsidR="00321205" w14:paraId="4D8D8A2E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4BBCDCC0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Coarse/rim calcification</w:t>
            </w:r>
          </w:p>
        </w:tc>
        <w:tc>
          <w:tcPr>
            <w:tcW w:w="2608" w:type="dxa"/>
            <w:shd w:val="clear" w:color="auto" w:fill="FFFFFF"/>
          </w:tcPr>
          <w:p w14:paraId="276D8599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9.5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–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27.8%</w:t>
            </w:r>
          </w:p>
        </w:tc>
        <w:tc>
          <w:tcPr>
            <w:tcW w:w="3027" w:type="dxa"/>
            <w:shd w:val="clear" w:color="auto" w:fill="FFFFFF"/>
          </w:tcPr>
          <w:p w14:paraId="2FAAFBE0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</w:tr>
      <w:tr w:rsidR="00321205" w14:paraId="69E74DA2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49FADD54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    Hypervascularity </w:t>
            </w:r>
          </w:p>
        </w:tc>
        <w:tc>
          <w:tcPr>
            <w:tcW w:w="2608" w:type="dxa"/>
            <w:shd w:val="clear" w:color="auto" w:fill="FFFFFF"/>
          </w:tcPr>
          <w:p w14:paraId="3809B875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90.0%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&amp;</w:t>
            </w:r>
          </w:p>
        </w:tc>
        <w:tc>
          <w:tcPr>
            <w:tcW w:w="3027" w:type="dxa"/>
            <w:shd w:val="clear" w:color="auto" w:fill="FFFFFF"/>
          </w:tcPr>
          <w:p w14:paraId="67F62B48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85.2%</w:t>
            </w:r>
          </w:p>
        </w:tc>
      </w:tr>
      <w:tr w:rsidR="00321205" w14:paraId="16AE1048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699A2FF1" w14:textId="77777777" w:rsidR="00321205" w:rsidRDefault="00321205" w:rsidP="00ED28E0">
            <w:pPr>
              <w:widowControl w:val="0"/>
              <w:spacing w:before="0" w:after="0" w:line="276" w:lineRule="auto"/>
              <w:ind w:firstLineChars="100" w:firstLine="2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ACR-TIRADS risk levels </w:t>
            </w:r>
          </w:p>
        </w:tc>
        <w:tc>
          <w:tcPr>
            <w:tcW w:w="2608" w:type="dxa"/>
            <w:shd w:val="clear" w:color="auto" w:fill="FFFFFF"/>
          </w:tcPr>
          <w:p w14:paraId="5B2E2690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027" w:type="dxa"/>
            <w:shd w:val="clear" w:color="auto" w:fill="FFFFFF"/>
          </w:tcPr>
          <w:p w14:paraId="148A3F60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321205" w14:paraId="58318616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2EB35BCB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TR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3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for 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val="it-IT"/>
              </w:rPr>
              <w:t>≤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5%</w:t>
            </w:r>
          </w:p>
        </w:tc>
        <w:tc>
          <w:tcPr>
            <w:tcW w:w="2608" w:type="dxa"/>
            <w:shd w:val="clear" w:color="auto" w:fill="FFFFFF"/>
          </w:tcPr>
          <w:p w14:paraId="31D55915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0.7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–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1.6%</w:t>
            </w:r>
          </w:p>
        </w:tc>
        <w:tc>
          <w:tcPr>
            <w:tcW w:w="3027" w:type="dxa"/>
            <w:shd w:val="clear" w:color="auto" w:fill="FFFFFF"/>
          </w:tcPr>
          <w:p w14:paraId="60C74867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</w:tr>
      <w:tr w:rsidR="00321205" w14:paraId="31301409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7EF1DEB1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TR4 for 5–20%</w:t>
            </w:r>
          </w:p>
        </w:tc>
        <w:tc>
          <w:tcPr>
            <w:tcW w:w="2608" w:type="dxa"/>
            <w:shd w:val="clear" w:color="auto" w:fill="FFFFFF"/>
          </w:tcPr>
          <w:p w14:paraId="1FF9314D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2.1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–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15.6%</w:t>
            </w:r>
          </w:p>
        </w:tc>
        <w:tc>
          <w:tcPr>
            <w:tcW w:w="3027" w:type="dxa"/>
            <w:shd w:val="clear" w:color="auto" w:fill="FFFFFF"/>
          </w:tcPr>
          <w:p w14:paraId="35E51A56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7.4%</w:t>
            </w:r>
          </w:p>
        </w:tc>
      </w:tr>
      <w:tr w:rsidR="00321205" w14:paraId="37EC7DA3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1C7D58FD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TR5 for at least 20%</w:t>
            </w:r>
          </w:p>
        </w:tc>
        <w:tc>
          <w:tcPr>
            <w:tcW w:w="2608" w:type="dxa"/>
            <w:shd w:val="clear" w:color="auto" w:fill="FFFFFF"/>
          </w:tcPr>
          <w:p w14:paraId="0FCBB2D6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65.3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–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97.2%</w:t>
            </w:r>
          </w:p>
        </w:tc>
        <w:tc>
          <w:tcPr>
            <w:tcW w:w="3027" w:type="dxa"/>
            <w:shd w:val="clear" w:color="auto" w:fill="FFFFFF"/>
          </w:tcPr>
          <w:p w14:paraId="149875D1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92.6%</w:t>
            </w:r>
          </w:p>
        </w:tc>
      </w:tr>
      <w:tr w:rsidR="00321205" w14:paraId="135F0B9E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069C9E3A" w14:textId="77777777" w:rsidR="00321205" w:rsidRDefault="00321205" w:rsidP="00ED28E0">
            <w:pPr>
              <w:widowControl w:val="0"/>
              <w:spacing w:before="0" w:after="0" w:line="276" w:lineRule="auto"/>
              <w:ind w:firstLineChars="100" w:firstLine="2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C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-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TIRADS category for malignancy risk rate </w:t>
            </w:r>
          </w:p>
        </w:tc>
        <w:tc>
          <w:tcPr>
            <w:tcW w:w="2608" w:type="dxa"/>
            <w:shd w:val="clear" w:color="auto" w:fill="FFFFFF"/>
          </w:tcPr>
          <w:p w14:paraId="416EB98A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027" w:type="dxa"/>
            <w:shd w:val="clear" w:color="auto" w:fill="FFFFFF"/>
          </w:tcPr>
          <w:p w14:paraId="4FD0ABE3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321205" w14:paraId="3B8C2CEE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404D724F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4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A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for 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2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–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1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2608" w:type="dxa"/>
            <w:shd w:val="clear" w:color="auto" w:fill="FFFFFF"/>
          </w:tcPr>
          <w:p w14:paraId="7627063B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1.4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%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&amp;</w:t>
            </w:r>
          </w:p>
        </w:tc>
        <w:tc>
          <w:tcPr>
            <w:tcW w:w="3027" w:type="dxa"/>
            <w:shd w:val="clear" w:color="auto" w:fill="FFFFFF"/>
          </w:tcPr>
          <w:p w14:paraId="5226F4DA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</w:tr>
      <w:tr w:rsidR="00321205" w14:paraId="78902D3B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0BA48938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4B for 10–50%</w:t>
            </w:r>
          </w:p>
        </w:tc>
        <w:tc>
          <w:tcPr>
            <w:tcW w:w="2608" w:type="dxa"/>
            <w:shd w:val="clear" w:color="auto" w:fill="FFFFFF"/>
          </w:tcPr>
          <w:p w14:paraId="4230EC41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6.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9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%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&amp;</w:t>
            </w:r>
          </w:p>
        </w:tc>
        <w:tc>
          <w:tcPr>
            <w:tcW w:w="3027" w:type="dxa"/>
            <w:shd w:val="clear" w:color="auto" w:fill="FFFFFF"/>
          </w:tcPr>
          <w:p w14:paraId="69E45B51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11.1%</w:t>
            </w:r>
          </w:p>
        </w:tc>
      </w:tr>
      <w:tr w:rsidR="00321205" w14:paraId="4E5CAC5A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4E242579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4C for 50</w:t>
            </w:r>
            <w:r>
              <w:rPr>
                <w:rFonts w:eastAsia="DengXian" w:cs="Times New Roman" w:hint="eastAsia"/>
                <w:kern w:val="2"/>
                <w:sz w:val="21"/>
                <w:szCs w:val="21"/>
                <w:lang w:eastAsia="zh-CN"/>
              </w:rPr>
              <w:t>–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90%</w:t>
            </w:r>
          </w:p>
        </w:tc>
        <w:tc>
          <w:tcPr>
            <w:tcW w:w="2608" w:type="dxa"/>
            <w:shd w:val="clear" w:color="auto" w:fill="FFFFFF"/>
          </w:tcPr>
          <w:p w14:paraId="5BBE624E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2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8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.5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%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&amp;</w:t>
            </w:r>
          </w:p>
        </w:tc>
        <w:tc>
          <w:tcPr>
            <w:tcW w:w="3027" w:type="dxa"/>
            <w:shd w:val="clear" w:color="auto" w:fill="FFFFFF"/>
          </w:tcPr>
          <w:p w14:paraId="31CE31E3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85.2%</w:t>
            </w:r>
          </w:p>
        </w:tc>
      </w:tr>
      <w:tr w:rsidR="00321205" w14:paraId="2074528C" w14:textId="77777777" w:rsidTr="00ED28E0">
        <w:trPr>
          <w:trHeight w:val="425"/>
        </w:trPr>
        <w:tc>
          <w:tcPr>
            <w:tcW w:w="4046" w:type="dxa"/>
            <w:shd w:val="clear" w:color="auto" w:fill="FFFFFF"/>
          </w:tcPr>
          <w:p w14:paraId="544CDF32" w14:textId="77777777" w:rsidR="00321205" w:rsidRDefault="00321205" w:rsidP="00ED28E0">
            <w:pPr>
              <w:widowControl w:val="0"/>
              <w:spacing w:before="0" w:after="0" w:line="276" w:lineRule="auto"/>
              <w:ind w:firstLineChars="200" w:firstLine="400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5 &gt;90%</w:t>
            </w:r>
          </w:p>
        </w:tc>
        <w:tc>
          <w:tcPr>
            <w:tcW w:w="2608" w:type="dxa"/>
            <w:shd w:val="clear" w:color="auto" w:fill="FFFFFF"/>
          </w:tcPr>
          <w:p w14:paraId="241B6D96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6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2</w:t>
            </w: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–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90.0%</w:t>
            </w:r>
          </w:p>
        </w:tc>
        <w:tc>
          <w:tcPr>
            <w:tcW w:w="3027" w:type="dxa"/>
            <w:shd w:val="clear" w:color="auto" w:fill="FFFFFF"/>
          </w:tcPr>
          <w:p w14:paraId="4B47E6F6" w14:textId="77777777" w:rsidR="00321205" w:rsidRDefault="00321205" w:rsidP="00ED28E0">
            <w:pPr>
              <w:widowControl w:val="0"/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  <w:t>3.7%</w:t>
            </w:r>
          </w:p>
        </w:tc>
      </w:tr>
      <w:tr w:rsidR="00321205" w14:paraId="3C0EE1A6" w14:textId="77777777" w:rsidTr="00ED28E0">
        <w:trPr>
          <w:trHeight w:val="425"/>
        </w:trPr>
        <w:tc>
          <w:tcPr>
            <w:tcW w:w="96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98F7CE8" w14:textId="77777777" w:rsidR="00321205" w:rsidRDefault="00321205" w:rsidP="00ED28E0">
            <w:pPr>
              <w:widowControl w:val="0"/>
              <w:numPr>
                <w:ilvl w:val="255"/>
                <w:numId w:val="0"/>
              </w:numPr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Cs w:val="24"/>
                <w:vertAlign w:val="superscript"/>
                <w:lang w:eastAsia="zh-CN"/>
              </w:rPr>
              <w:t>a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 Female </w:t>
            </w:r>
            <w:proofErr w:type="spellStart"/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prodominance</w:t>
            </w:r>
            <w:proofErr w:type="spellEnd"/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 was reported in most of literature.</w:t>
            </w:r>
          </w:p>
          <w:p w14:paraId="00B7A508" w14:textId="77777777" w:rsidR="00321205" w:rsidRDefault="00321205" w:rsidP="00ED28E0">
            <w:pPr>
              <w:widowControl w:val="0"/>
              <w:numPr>
                <w:ilvl w:val="255"/>
                <w:numId w:val="0"/>
              </w:numPr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*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 xml:space="preserve"> </w:t>
            </w:r>
            <w:proofErr w:type="spellStart"/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Quatitative</w:t>
            </w:r>
            <w:proofErr w:type="spellEnd"/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 value </w:t>
            </w:r>
            <w:proofErr w:type="gramStart"/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of  PTC</w:t>
            </w:r>
            <w:proofErr w:type="gramEnd"/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 was unavailable.</w:t>
            </w:r>
          </w:p>
          <w:p w14:paraId="2042C1BB" w14:textId="77777777" w:rsidR="00321205" w:rsidRDefault="00321205" w:rsidP="00ED28E0">
            <w:pPr>
              <w:widowControl w:val="0"/>
              <w:numPr>
                <w:ilvl w:val="255"/>
                <w:numId w:val="0"/>
              </w:numPr>
              <w:spacing w:before="0" w:after="0" w:line="276" w:lineRule="auto"/>
              <w:rPr>
                <w:rFonts w:eastAsia="SimSu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 xml:space="preserve">&amp; </w:t>
            </w:r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Partial </w:t>
            </w:r>
            <w:proofErr w:type="spellStart"/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quatitative</w:t>
            </w:r>
            <w:proofErr w:type="spellEnd"/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 value </w:t>
            </w:r>
            <w:proofErr w:type="gramStart"/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>of  PTC</w:t>
            </w:r>
            <w:proofErr w:type="gramEnd"/>
            <w:r>
              <w:rPr>
                <w:rFonts w:eastAsia="SimSun" w:cs="Times New Roman" w:hint="eastAsia"/>
                <w:color w:val="000000"/>
                <w:kern w:val="2"/>
                <w:sz w:val="20"/>
                <w:szCs w:val="20"/>
                <w:lang w:eastAsia="zh-CN"/>
              </w:rPr>
              <w:t xml:space="preserve"> was unavailable.</w:t>
            </w:r>
          </w:p>
        </w:tc>
      </w:tr>
    </w:tbl>
    <w:p w14:paraId="581B51DE" w14:textId="77777777" w:rsidR="0068470E" w:rsidRDefault="0068470E"/>
    <w:sectPr w:rsidR="00684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05"/>
    <w:rsid w:val="00321205"/>
    <w:rsid w:val="0068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706E9"/>
  <w15:chartTrackingRefBased/>
  <w15:docId w15:val="{E5523318-D17E-4C3D-8F4F-F63AC438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205"/>
    <w:pPr>
      <w:spacing w:before="120" w:after="24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Company>Frontiers Media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Valsecchi</dc:creator>
  <cp:keywords/>
  <dc:description/>
  <cp:lastModifiedBy>Giulia Valsecchi</cp:lastModifiedBy>
  <cp:revision>1</cp:revision>
  <dcterms:created xsi:type="dcterms:W3CDTF">2023-10-17T12:22:00Z</dcterms:created>
  <dcterms:modified xsi:type="dcterms:W3CDTF">2023-10-17T12:22:00Z</dcterms:modified>
</cp:coreProperties>
</file>