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311814C8" w:rsidR="00817DD6" w:rsidRPr="001549D3" w:rsidRDefault="00E7539F" w:rsidP="00E7539F">
      <w:pPr>
        <w:pStyle w:val="Title"/>
      </w:pPr>
      <w:r>
        <w:t xml:space="preserve">Lab-on-a-chip – fostering a sustainable </w:t>
      </w:r>
      <w:proofErr w:type="gramStart"/>
      <w:r>
        <w:t>future</w:t>
      </w:r>
      <w:proofErr w:type="gramEnd"/>
    </w:p>
    <w:p w14:paraId="25D2C293" w14:textId="4004C72B" w:rsidR="002868E2" w:rsidRPr="00994A3D" w:rsidRDefault="00A477C8" w:rsidP="0001436A">
      <w:pPr>
        <w:pStyle w:val="AuthorList"/>
      </w:pPr>
      <w:r>
        <w:t>Giulia Core</w:t>
      </w:r>
      <w:r w:rsidR="002868E2" w:rsidRPr="00994A3D">
        <w:t>*</w:t>
      </w:r>
    </w:p>
    <w:p w14:paraId="217F3AE0" w14:textId="3BB7E283" w:rsidR="002868E2" w:rsidRPr="00994A3D" w:rsidRDefault="002868E2" w:rsidP="00994A3D">
      <w:pPr>
        <w:spacing w:before="240" w:after="0"/>
        <w:rPr>
          <w:rFonts w:cs="Times New Roman"/>
        </w:rPr>
      </w:pPr>
      <w:r w:rsidRPr="00994A3D">
        <w:rPr>
          <w:rFonts w:cs="Times New Roman"/>
          <w:b/>
        </w:rPr>
        <w:t xml:space="preserve">* Correspondence: </w:t>
      </w:r>
      <w:r w:rsidR="00B25389">
        <w:rPr>
          <w:rFonts w:cs="Times New Roman"/>
          <w:szCs w:val="24"/>
        </w:rPr>
        <w:t xml:space="preserve">Giulia Core: </w:t>
      </w:r>
      <w:r w:rsidR="00B25389" w:rsidRPr="0026785F">
        <w:rPr>
          <w:lang w:eastAsia="en-GB"/>
        </w:rPr>
        <w:t>g.core.1@research.gla.ac.uk</w:t>
      </w:r>
    </w:p>
    <w:p w14:paraId="29026311" w14:textId="77777777" w:rsidR="00EA3D3C" w:rsidRPr="00994A3D" w:rsidRDefault="00654E8F" w:rsidP="0001436A">
      <w:pPr>
        <w:pStyle w:val="Heading1"/>
      </w:pPr>
      <w:r w:rsidRPr="00994A3D">
        <w:t>Supplementary Data</w:t>
      </w:r>
    </w:p>
    <w:p w14:paraId="0454950C" w14:textId="00581E5B" w:rsidR="000533A0" w:rsidRPr="0054359A" w:rsidRDefault="0054359A" w:rsidP="0054359A">
      <w:r>
        <w:t xml:space="preserve">The identification of a product’s environmental load is usually performed through a life cycle assessment (LCA), which quantifies potential impacts on the natural environment, human </w:t>
      </w:r>
      <w:proofErr w:type="gramStart"/>
      <w:r>
        <w:t>health</w:t>
      </w:r>
      <w:proofErr w:type="gramEnd"/>
      <w:r>
        <w:t xml:space="preserve"> and resources during each step of the life cycle of a product or service. A LCA, as defined in the </w:t>
      </w:r>
      <w:r w:rsidRPr="00B64DC0">
        <w:t>International Organization for Standardization (ISO) 14040 and 14044 documents</w:t>
      </w:r>
      <w:r>
        <w:t xml:space="preserve">, includes four different steps, which are (1) goal and scope definition; (2) inventory analysis; (3) impact assessment; and (4) interpretation of the results </w:t>
      </w:r>
      <w:r>
        <w:fldChar w:fldCharType="begin"/>
      </w:r>
      <w:r>
        <w:instrText xml:space="preserve"> ADDIN ZOTERO_ITEM CSL_CITATION {"citationID":"2lhvt5et","properties":{"formattedCitation":"(Guin\\uc0\\u233{}e, 2002)","plainCitation":"(Guinée, 2002)","noteIndex":0},"citationItems":[{"id":2281,"uris":["http://zotero.org/users/8691567/items/I2Z69ATK"],"itemData":{"id":2281,"type":"book","call-number":"TS161 .H362 2002","collection-number":"v. 7","collection-title":"Eco-efficiency in industry and science","event-place":"Dordrecht ; Boston","ISBN":"978-1-4020-0228-1","language":"en","number-of-pages":"692","publisher":"Kluwer Academic Publishers","publisher-place":"Dordrecht ; Boston","source":"Library of Congress ISBN","title":"Handbook on life cycle assessment: operational guide to the ISO standards","title-short":"Handbook on life cycle assessment","editor":[{"family":"Guinée","given":"J. B."}],"issued":{"date-parts":[["2002"]]}}}],"schema":"https://github.com/citation-style-language/schema/raw/master/csl-citation.json"} </w:instrText>
      </w:r>
      <w:r>
        <w:fldChar w:fldCharType="separate"/>
      </w:r>
      <w:r w:rsidRPr="00D02DF0">
        <w:rPr>
          <w:rFonts w:cs="Times New Roman"/>
          <w:szCs w:val="24"/>
        </w:rPr>
        <w:t>(Guinée, 2002)</w:t>
      </w:r>
      <w:r>
        <w:fldChar w:fldCharType="end"/>
      </w:r>
      <w:r>
        <w:t xml:space="preserve">. </w:t>
      </w:r>
      <w:r w:rsidRPr="00D05473">
        <w:t>The goal and scope define the system boundaries and the functional unit, which determine the emissions and extractions to be included in the model. The inventory analysis quantifies the environmental emissions and the raw material extraction for the functional unit. The impact assessment evaluates the environmental impacts of the emissions quantified in the inventory analysis. The interpretation phase identifies the key parameters of the model and performs sensitivity studies on them.</w:t>
      </w:r>
      <w:r>
        <w:t xml:space="preserve"> Therefore, t</w:t>
      </w:r>
      <w:r w:rsidR="00D83CDF" w:rsidRPr="000364BF">
        <w:t xml:space="preserve">he environmental </w:t>
      </w:r>
      <w:r w:rsidR="00C1452A">
        <w:t>impacts</w:t>
      </w:r>
      <w:r w:rsidR="00D83CDF" w:rsidRPr="000364BF">
        <w:t xml:space="preserve"> of different materials depend on </w:t>
      </w:r>
      <w:proofErr w:type="gramStart"/>
      <w:r w:rsidR="003012ED">
        <w:t>a large number of</w:t>
      </w:r>
      <w:proofErr w:type="gramEnd"/>
      <w:r w:rsidR="003012ED" w:rsidRPr="000364BF">
        <w:t xml:space="preserve"> </w:t>
      </w:r>
      <w:r w:rsidR="00D83CDF" w:rsidRPr="000364BF">
        <w:t xml:space="preserve">factors, such as the </w:t>
      </w:r>
      <w:r w:rsidR="00BD1388">
        <w:t xml:space="preserve">functional unit, the </w:t>
      </w:r>
      <w:r w:rsidR="00D83CDF" w:rsidRPr="000364BF">
        <w:t xml:space="preserve">country of production, </w:t>
      </w:r>
      <w:r w:rsidR="003D11DC" w:rsidRPr="000364BF">
        <w:t xml:space="preserve">the type of </w:t>
      </w:r>
      <w:r w:rsidR="00D83CDF" w:rsidRPr="000364BF">
        <w:t>use and disposal</w:t>
      </w:r>
      <w:r w:rsidR="004B63F4">
        <w:t xml:space="preserve">, </w:t>
      </w:r>
      <w:r w:rsidR="00551140">
        <w:t xml:space="preserve">and </w:t>
      </w:r>
      <w:r w:rsidR="004B63F4">
        <w:t xml:space="preserve">the </w:t>
      </w:r>
      <w:r w:rsidR="001A61E7">
        <w:t xml:space="preserve">methodology and assumptions made </w:t>
      </w:r>
      <w:r w:rsidR="00551140">
        <w:t>to conduct</w:t>
      </w:r>
      <w:r w:rsidR="001A61E7">
        <w:t xml:space="preserve"> the stud</w:t>
      </w:r>
      <w:r w:rsidR="00551140">
        <w:t>y</w:t>
      </w:r>
      <w:r w:rsidR="00402FFB" w:rsidRPr="000364BF">
        <w:t>.</w:t>
      </w:r>
      <w:r w:rsidR="00D83CDF" w:rsidRPr="000364BF">
        <w:t xml:space="preserve"> </w:t>
      </w:r>
      <w:r w:rsidR="003C4083">
        <w:t xml:space="preserve">The </w:t>
      </w:r>
      <w:r w:rsidR="00477149">
        <w:t xml:space="preserve">heterogeneity of scenarios </w:t>
      </w:r>
      <w:r w:rsidR="002E219E">
        <w:t xml:space="preserve">makes </w:t>
      </w:r>
      <w:r w:rsidR="00D83CDF" w:rsidRPr="000364BF">
        <w:t xml:space="preserve">general comparisons of </w:t>
      </w:r>
      <w:r w:rsidR="00283CCB">
        <w:t>environmental impacts</w:t>
      </w:r>
      <w:r w:rsidR="00D83CDF" w:rsidRPr="000364BF">
        <w:t xml:space="preserve"> </w:t>
      </w:r>
      <w:r w:rsidR="00402FFB" w:rsidRPr="000364BF">
        <w:t>among</w:t>
      </w:r>
      <w:r w:rsidR="00D83CDF" w:rsidRPr="000364BF">
        <w:t xml:space="preserve"> different materials</w:t>
      </w:r>
      <w:r w:rsidR="00402FFB" w:rsidRPr="000364BF">
        <w:t xml:space="preserve"> </w:t>
      </w:r>
      <w:r w:rsidR="00283CCB">
        <w:t xml:space="preserve">difficult </w:t>
      </w:r>
      <w:r w:rsidR="001032D9" w:rsidRPr="000364BF">
        <w:t>unless proper and in-depth analys</w:t>
      </w:r>
      <w:r w:rsidR="00B01965">
        <w:t>e</w:t>
      </w:r>
      <w:r w:rsidR="001032D9" w:rsidRPr="000364BF">
        <w:t>s are carried out</w:t>
      </w:r>
      <w:r w:rsidR="00D83CDF" w:rsidRPr="000364BF">
        <w:t>. To illustrate this complexity, we present some examples of studies that compare different materials under different aspects, focusing on</w:t>
      </w:r>
      <w:r w:rsidR="001032D9" w:rsidRPr="000364BF">
        <w:t xml:space="preserve"> </w:t>
      </w:r>
      <w:r w:rsidR="00D83CDF" w:rsidRPr="000364BF">
        <w:t xml:space="preserve">the global warming potential (GWP) </w:t>
      </w:r>
      <w:r w:rsidR="00BA2D12" w:rsidRPr="000364BF">
        <w:t xml:space="preserve">impact category </w:t>
      </w:r>
      <w:r w:rsidR="00D83CDF" w:rsidRPr="000364BF">
        <w:t>in kg CO</w:t>
      </w:r>
      <w:r w:rsidR="00D83CDF" w:rsidRPr="00241D17">
        <w:rPr>
          <w:vertAlign w:val="subscript"/>
        </w:rPr>
        <w:t>2</w:t>
      </w:r>
      <w:r w:rsidR="00D83CDF" w:rsidRPr="000364BF">
        <w:t>-equivalents (CO</w:t>
      </w:r>
      <w:r w:rsidR="00D83CDF" w:rsidRPr="00241D17">
        <w:rPr>
          <w:vertAlign w:val="subscript"/>
        </w:rPr>
        <w:t>2</w:t>
      </w:r>
      <w:r w:rsidR="00D83CDF" w:rsidRPr="000364BF">
        <w:t xml:space="preserve">-eq). This is one of the </w:t>
      </w:r>
      <w:r w:rsidR="003C556B" w:rsidRPr="000364BF">
        <w:t>most used</w:t>
      </w:r>
      <w:r w:rsidR="00D83CDF" w:rsidRPr="000364BF">
        <w:t xml:space="preserve"> impact categories for assessing the environmental performance of materials. However, we also emphasize the need for specific </w:t>
      </w:r>
      <w:r w:rsidR="00E27BC2">
        <w:t xml:space="preserve">LCA </w:t>
      </w:r>
      <w:r w:rsidR="00D83CDF" w:rsidRPr="000364BF">
        <w:t>studies for lab-on-chip applications, as they may have different environmental implications</w:t>
      </w:r>
      <w:r w:rsidR="00495E48">
        <w:t>.</w:t>
      </w:r>
      <w:r w:rsidR="00530272">
        <w:t xml:space="preserve"> </w:t>
      </w:r>
      <w:r w:rsidR="00D376F3">
        <w:t xml:space="preserve">In addition, it would be of paramount importance </w:t>
      </w:r>
      <w:r w:rsidR="004F4B0B">
        <w:t xml:space="preserve">to define key common parameters and </w:t>
      </w:r>
      <w:r w:rsidR="001C58C5">
        <w:t>assumptions</w:t>
      </w:r>
      <w:r w:rsidR="004F4B0B">
        <w:t xml:space="preserve"> among different scenarios t</w:t>
      </w:r>
      <w:r w:rsidR="004D505A">
        <w:t xml:space="preserve">o enhance the utility </w:t>
      </w:r>
      <w:r w:rsidR="00950ABC" w:rsidRPr="00950ABC">
        <w:t xml:space="preserve">of </w:t>
      </w:r>
      <w:r w:rsidR="004F4B0B">
        <w:t>LCA</w:t>
      </w:r>
      <w:r w:rsidR="00950ABC" w:rsidRPr="00950ABC">
        <w:t xml:space="preserve"> </w:t>
      </w:r>
      <w:r w:rsidR="00F9597C">
        <w:t>studies and</w:t>
      </w:r>
      <w:r w:rsidR="00AF7E96">
        <w:t xml:space="preserve"> reduce their</w:t>
      </w:r>
      <w:r w:rsidR="00950ABC" w:rsidRPr="00950ABC">
        <w:t xml:space="preserve"> variability</w:t>
      </w:r>
      <w:r w:rsidR="00D83CDF" w:rsidRPr="000364BF">
        <w:t>.</w:t>
      </w:r>
    </w:p>
    <w:p w14:paraId="1C7D1E37" w14:textId="1CECE7EA" w:rsidR="00212395" w:rsidRDefault="00550519" w:rsidP="00E8028B">
      <w:proofErr w:type="spellStart"/>
      <w:r>
        <w:t>Cherrett</w:t>
      </w:r>
      <w:proofErr w:type="spellEnd"/>
      <w:r>
        <w:t xml:space="preserve"> </w:t>
      </w:r>
      <w:r w:rsidRPr="00550519">
        <w:rPr>
          <w:i/>
          <w:iCs/>
        </w:rPr>
        <w:t>et al.</w:t>
      </w:r>
      <w:r>
        <w:t xml:space="preserve"> </w:t>
      </w:r>
      <w:r w:rsidRPr="00550519">
        <w:fldChar w:fldCharType="begin"/>
      </w:r>
      <w:r w:rsidRPr="00550519">
        <w:instrText xml:space="preserve"> ADDIN ZOTERO_ITEM CSL_CITATION {"citationID":"n6sL9IC6","properties":{"formattedCitation":"(Cherrett, 2005)","plainCitation":"(Cherrett, 2005)","noteIndex":0},"citationItems":[{"id":2274,"uris":["http://zotero.org/users/8691567/items/W8K592D8"],"itemData":{"id":2274,"type":"book","event-place":"Stockholm","ISBN":"978-91-975238-2-0","language":"en","note":"OCLC: 682912184","publisher":"Stockholm Environmental Institute","publisher-place":"Stockholm","source":"Open WorldCat","title":"Ecological footprint and water analysis of cotton, hemp and polyester","author":[{"family":"Cherrett","given":"Nia"}],"issued":{"date-parts":[["2005"]]}}}],"schema":"https://github.com/citation-style-language/schema/raw/master/csl-citation.json"} </w:instrText>
      </w:r>
      <w:r w:rsidRPr="00550519">
        <w:fldChar w:fldCharType="separate"/>
      </w:r>
      <w:r w:rsidRPr="00550519">
        <w:rPr>
          <w:rFonts w:cs="Times New Roman"/>
        </w:rPr>
        <w:t>(Cherrett, 2005)</w:t>
      </w:r>
      <w:r w:rsidRPr="00550519">
        <w:fldChar w:fldCharType="end"/>
      </w:r>
      <w:r>
        <w:t xml:space="preserve"> show how </w:t>
      </w:r>
      <w:r w:rsidR="00A7307B">
        <w:t xml:space="preserve">cultivation and production </w:t>
      </w:r>
      <w:r w:rsidR="00843876">
        <w:t xml:space="preserve">of cotton in the USA </w:t>
      </w:r>
      <w:r w:rsidR="00A7307B">
        <w:t xml:space="preserve">has </w:t>
      </w:r>
      <w:r w:rsidR="003012ED">
        <w:t xml:space="preserve">ca. </w:t>
      </w:r>
      <w:r w:rsidR="00A7307B">
        <w:t>62% lower CO</w:t>
      </w:r>
      <w:r w:rsidR="00A7307B" w:rsidRPr="00975F2E">
        <w:rPr>
          <w:vertAlign w:val="subscript"/>
        </w:rPr>
        <w:t>2</w:t>
      </w:r>
      <w:r w:rsidR="00A7307B">
        <w:t xml:space="preserve"> emissions compared to polyester fibers</w:t>
      </w:r>
      <w:r w:rsidR="00BF1AD4">
        <w:t xml:space="preserve">, and that </w:t>
      </w:r>
      <w:r w:rsidR="00DE4356">
        <w:t xml:space="preserve">the cultivation of </w:t>
      </w:r>
      <w:r w:rsidR="00BF1AD4">
        <w:t xml:space="preserve">organic cotton </w:t>
      </w:r>
      <w:r w:rsidR="00DE4356">
        <w:t>could further lower CO</w:t>
      </w:r>
      <w:r w:rsidR="00DE4356" w:rsidRPr="00975F2E">
        <w:rPr>
          <w:vertAlign w:val="subscript"/>
        </w:rPr>
        <w:t>2</w:t>
      </w:r>
      <w:r w:rsidR="00DE4356">
        <w:t xml:space="preserve"> emissions</w:t>
      </w:r>
      <w:r w:rsidR="00976FEB">
        <w:t xml:space="preserve"> (</w:t>
      </w:r>
      <w:r w:rsidR="00976FEB">
        <w:fldChar w:fldCharType="begin"/>
      </w:r>
      <w:r w:rsidR="00976FEB">
        <w:instrText xml:space="preserve"> REF _Ref140501860 \h </w:instrText>
      </w:r>
      <w:r w:rsidR="00976FEB">
        <w:fldChar w:fldCharType="separate"/>
      </w:r>
      <w:r w:rsidR="00976FEB">
        <w:t xml:space="preserve">Table </w:t>
      </w:r>
      <w:r w:rsidR="00976FEB">
        <w:rPr>
          <w:noProof/>
        </w:rPr>
        <w:t>1</w:t>
      </w:r>
      <w:r w:rsidR="00976FEB">
        <w:fldChar w:fldCharType="end"/>
      </w:r>
      <w:r w:rsidR="00976FEB">
        <w:t>)</w:t>
      </w:r>
      <w:r w:rsidR="00A7307B">
        <w:t xml:space="preserve">. However, </w:t>
      </w:r>
      <w:r w:rsidR="003012ED">
        <w:t xml:space="preserve">the </w:t>
      </w:r>
      <w:r w:rsidR="00843876">
        <w:t xml:space="preserve">study </w:t>
      </w:r>
      <w:r w:rsidR="00ED19EF">
        <w:t xml:space="preserve">does </w:t>
      </w:r>
      <w:r w:rsidR="00843876">
        <w:t xml:space="preserve">not </w:t>
      </w:r>
      <w:r w:rsidR="00A92588">
        <w:t>consider</w:t>
      </w:r>
      <w:r w:rsidR="00843876">
        <w:t xml:space="preserve"> the </w:t>
      </w:r>
      <w:r w:rsidR="0085771E">
        <w:t>use phase of the different fibers</w:t>
      </w:r>
      <w:r w:rsidR="00EB5748">
        <w:t xml:space="preserve">, </w:t>
      </w:r>
      <w:r w:rsidR="0085771E">
        <w:t xml:space="preserve">the </w:t>
      </w:r>
      <w:r w:rsidR="00843876">
        <w:t xml:space="preserve">socio-economic impacts associated with agrochemicals used in crops and </w:t>
      </w:r>
      <w:r w:rsidR="00ED19EF">
        <w:t xml:space="preserve">the </w:t>
      </w:r>
      <w:r w:rsidR="00A92588">
        <w:t>potential air and water</w:t>
      </w:r>
      <w:r w:rsidR="00843876">
        <w:t xml:space="preserve"> pollution.</w:t>
      </w:r>
      <w:r w:rsidR="009F03D7">
        <w:t xml:space="preserve"> </w:t>
      </w:r>
      <w:r w:rsidR="003012ED">
        <w:t>It however</w:t>
      </w:r>
      <w:r w:rsidR="009F03D7">
        <w:t xml:space="preserve"> highlights how</w:t>
      </w:r>
      <w:r w:rsidR="003012ED">
        <w:t xml:space="preserve"> significantly</w:t>
      </w:r>
      <w:r w:rsidR="009F03D7">
        <w:t xml:space="preserve"> emissions </w:t>
      </w:r>
      <w:r w:rsidR="003012ED">
        <w:t xml:space="preserve">can vary </w:t>
      </w:r>
      <w:r w:rsidR="009F03D7">
        <w:t xml:space="preserve">when </w:t>
      </w:r>
      <w:r w:rsidR="00E8028B">
        <w:t>an environmental impact study is carried out in different countries, as the fossil fuels and energy systems differ.</w:t>
      </w:r>
      <w:r w:rsidR="00A7307B">
        <w:t xml:space="preserve"> </w:t>
      </w:r>
      <w:r w:rsidR="003012ED">
        <w:t xml:space="preserve">As a further illustration in a different application, </w:t>
      </w:r>
      <w:r w:rsidR="00BF3527">
        <w:t xml:space="preserve">Schmutz </w:t>
      </w:r>
      <w:r w:rsidR="00BF3527" w:rsidRPr="00BF3527">
        <w:rPr>
          <w:i/>
          <w:iCs/>
        </w:rPr>
        <w:t>et al.</w:t>
      </w:r>
      <w:r w:rsidR="00BD5590">
        <w:t xml:space="preserve"> </w:t>
      </w:r>
      <w:r w:rsidR="00423725">
        <w:fldChar w:fldCharType="begin"/>
      </w:r>
      <w:r w:rsidR="00423725">
        <w:instrText xml:space="preserve"> ADDIN ZOTERO_ITEM CSL_CITATION {"citationID":"g1gLHQPd","properties":{"formattedCitation":"(Schmutz et al., 2021)","plainCitation":"(Schmutz et al., 2021)","noteIndex":0},"citationItems":[{"id":2276,"uris":["http://zotero.org/users/8691567/items/7X42L8UM"],"itemData":{"id":2276,"type":"article-journal","abstract":"Cotton t-shirts are a basic clothing item that everyone possesses. To date, no studies have taken into account the consumers’ perspective, even though they can play an important role regarding the actual environmental impact of their clothing items. Therefore, a life cycle assessment study was performed in order to inform the public about the environmental impacts of a typical cotton tshirt and the relevance of consumer behavior (i.e., washing and drying) on the overall impacts along the entire life cycle of such a t-shirt. The aim was to provide hints, allowing users to reduce the impacts of their t-shirts. While the production phase was based on global data, the use phase focused on Switzerland as the study was established in the context of an exhibition in the Textile Museum in St. Gallen (Switzerland). With this study, it was found that users have various choices in order to make their t-shirt more sustainable. Wearing the t-shirt throughout its entire life expectancy was found to be the most important factor influencing the overall environmental performance of such a clothing item. The relevance of filling the washing machine to maximum capacity, washing at a lower temperature, or using a tumbler was also illustrated. In addition, choosing materials other than cotton or choosing textiles labelled for lower environmental impacts during production could further improve the environmental performance of t-shirts.","container-title":"Sustainability","DOI":"10.3390/su13052498","ISSN":"2071-1050","issue":"5","journalAbbreviation":"Sustainability","language":"en","page":"2498","source":"DOI.org (Crossref)","title":"Factors Allowing Users to Influence the Environmental Performance of Their T-Shirt","volume":"13","author":[{"family":"Schmutz","given":"Mélanie"},{"family":"Hischier","given":"Roland"},{"family":"Som","given":"Claudia"}],"issued":{"date-parts":[["2021",2,25]]}}}],"schema":"https://github.com/citation-style-language/schema/raw/master/csl-citation.json"} </w:instrText>
      </w:r>
      <w:r w:rsidR="00423725">
        <w:fldChar w:fldCharType="separate"/>
      </w:r>
      <w:r w:rsidR="00423725" w:rsidRPr="00423725">
        <w:rPr>
          <w:rFonts w:cs="Times New Roman"/>
        </w:rPr>
        <w:t>(Schmutz et al., 2021)</w:t>
      </w:r>
      <w:r w:rsidR="00423725">
        <w:fldChar w:fldCharType="end"/>
      </w:r>
      <w:r w:rsidR="00795EEE">
        <w:t xml:space="preserve"> </w:t>
      </w:r>
      <w:r w:rsidR="00BD5590">
        <w:t>perform</w:t>
      </w:r>
      <w:r w:rsidR="003012ED">
        <w:t>ed</w:t>
      </w:r>
      <w:r w:rsidR="00BF3527">
        <w:t xml:space="preserve"> LCA </w:t>
      </w:r>
      <w:r w:rsidR="00423725">
        <w:t xml:space="preserve">to </w:t>
      </w:r>
      <w:r w:rsidR="00D72462">
        <w:t>inform about 4 environmental impacts of a globally produced t-shirt (</w:t>
      </w:r>
      <w:r w:rsidR="00D72462">
        <w:fldChar w:fldCharType="begin"/>
      </w:r>
      <w:r w:rsidR="00D72462">
        <w:instrText xml:space="preserve"> REF _Ref140510213 \h </w:instrText>
      </w:r>
      <w:r w:rsidR="00D72462">
        <w:fldChar w:fldCharType="separate"/>
      </w:r>
      <w:r w:rsidR="00D72462">
        <w:t xml:space="preserve">Table </w:t>
      </w:r>
      <w:r w:rsidR="00D72462">
        <w:rPr>
          <w:noProof/>
        </w:rPr>
        <w:t>2</w:t>
      </w:r>
      <w:r w:rsidR="00D72462">
        <w:fldChar w:fldCharType="end"/>
      </w:r>
      <w:r w:rsidR="00D72462">
        <w:t>).</w:t>
      </w:r>
    </w:p>
    <w:p w14:paraId="3FA32745" w14:textId="7F3916FC" w:rsidR="00550519" w:rsidRPr="00550519" w:rsidRDefault="00B741FA" w:rsidP="00550519">
      <w:pPr>
        <w:pStyle w:val="Caption"/>
        <w:rPr>
          <w:b w:val="0"/>
          <w:bCs w:val="0"/>
        </w:rPr>
      </w:pPr>
      <w:bookmarkStart w:id="0" w:name="_Ref140501860"/>
      <w:r>
        <w:lastRenderedPageBreak/>
        <w:t xml:space="preserve">Supplementary </w:t>
      </w:r>
      <w:r w:rsidR="00550519">
        <w:t xml:space="preserve">Table </w:t>
      </w:r>
      <w:fldSimple w:instr=" SEQ Table \* ARABIC ">
        <w:r w:rsidR="0015710A">
          <w:rPr>
            <w:noProof/>
          </w:rPr>
          <w:t>1</w:t>
        </w:r>
      </w:fldSimple>
      <w:bookmarkEnd w:id="0"/>
      <w:r w:rsidR="00AF607E">
        <w:t>.</w:t>
      </w:r>
      <w:r w:rsidR="00550519">
        <w:t xml:space="preserve"> </w:t>
      </w:r>
      <w:r w:rsidR="00550519" w:rsidRPr="00550519">
        <w:rPr>
          <w:b w:val="0"/>
          <w:bCs w:val="0"/>
        </w:rPr>
        <w:t>Carbon footprint analysis for different textile materials</w:t>
      </w:r>
      <w:r w:rsidR="007450B2">
        <w:rPr>
          <w:b w:val="0"/>
          <w:bCs w:val="0"/>
        </w:rPr>
        <w:t>,</w:t>
      </w:r>
      <w:r w:rsidR="00BD2915">
        <w:rPr>
          <w:b w:val="0"/>
          <w:bCs w:val="0"/>
        </w:rPr>
        <w:t xml:space="preserve"> adapted from</w:t>
      </w:r>
      <w:r w:rsidR="00550519" w:rsidRPr="00550519">
        <w:rPr>
          <w:b w:val="0"/>
          <w:bCs w:val="0"/>
        </w:rPr>
        <w:t xml:space="preserve"> </w:t>
      </w:r>
      <w:r w:rsidR="00550519" w:rsidRPr="00550519">
        <w:rPr>
          <w:b w:val="0"/>
          <w:bCs w:val="0"/>
        </w:rPr>
        <w:fldChar w:fldCharType="begin"/>
      </w:r>
      <w:r w:rsidR="00233454">
        <w:rPr>
          <w:b w:val="0"/>
          <w:bCs w:val="0"/>
        </w:rPr>
        <w:instrText xml:space="preserve"> ADDIN ZOTERO_ITEM CSL_CITATION {"citationID":"fh6xRdCx","properties":{"formattedCitation":"(Cherrett, 2005)","plainCitation":"(Cherrett, 2005)","noteIndex":0},"citationItems":[{"id":2274,"uris":["http://zotero.org/users/8691567/items/W8K592D8"],"itemData":{"id":2274,"type":"book","event-place":"Stockholm","ISBN":"978-91-975238-2-0","language":"en","note":"OCLC: 682912184","publisher":"Stockholm Environmental Institute","publisher-place":"Stockholm","source":"Open WorldCat","title":"Ecological footprint and water analysis of cotton, hemp and polyester","author":[{"family":"Cherrett","given":"Nia"}],"issued":{"date-parts":[["2005"]]}}}],"schema":"https://github.com/citation-style-language/schema/raw/master/csl-citation.json"} </w:instrText>
      </w:r>
      <w:r w:rsidR="00550519" w:rsidRPr="00550519">
        <w:rPr>
          <w:b w:val="0"/>
          <w:bCs w:val="0"/>
        </w:rPr>
        <w:fldChar w:fldCharType="separate"/>
      </w:r>
      <w:r w:rsidR="00550519" w:rsidRPr="00550519">
        <w:rPr>
          <w:b w:val="0"/>
          <w:bCs w:val="0"/>
        </w:rPr>
        <w:t>(Cherrett, 2005)</w:t>
      </w:r>
      <w:r w:rsidR="00550519" w:rsidRPr="00550519">
        <w:rPr>
          <w:b w:val="0"/>
          <w:bCs w:val="0"/>
        </w:rPr>
        <w:fldChar w:fldCharType="end"/>
      </w:r>
      <w:r w:rsidR="00550519" w:rsidRPr="00550519">
        <w:rPr>
          <w:b w:val="0"/>
          <w:bCs w:val="0"/>
        </w:rPr>
        <w:t>.</w:t>
      </w:r>
      <w:r w:rsidR="00A553CD">
        <w:rPr>
          <w:b w:val="0"/>
          <w:bCs w:val="0"/>
        </w:rPr>
        <w:t xml:space="preserve"> Functional unit: tons of spun fibers.</w:t>
      </w:r>
    </w:p>
    <w:tbl>
      <w:tblPr>
        <w:tblStyle w:val="TableGrid"/>
        <w:tblW w:w="8642" w:type="dxa"/>
        <w:jc w:val="center"/>
        <w:tblLook w:val="04A0" w:firstRow="1" w:lastRow="0" w:firstColumn="1" w:lastColumn="0" w:noHBand="0" w:noVBand="1"/>
      </w:tblPr>
      <w:tblGrid>
        <w:gridCol w:w="3114"/>
        <w:gridCol w:w="1843"/>
        <w:gridCol w:w="1842"/>
        <w:gridCol w:w="1843"/>
      </w:tblGrid>
      <w:tr w:rsidR="00A43859" w:rsidRPr="00EB1A06" w14:paraId="304B8F73" w14:textId="77777777" w:rsidTr="0039044F">
        <w:trPr>
          <w:jc w:val="center"/>
        </w:trPr>
        <w:tc>
          <w:tcPr>
            <w:tcW w:w="3114" w:type="dxa"/>
          </w:tcPr>
          <w:p w14:paraId="5CD587F9" w14:textId="77777777" w:rsidR="00A43859" w:rsidRDefault="00A43859" w:rsidP="0039044F">
            <w:pPr>
              <w:spacing w:before="0" w:after="0"/>
              <w:jc w:val="center"/>
              <w:rPr>
                <w:rFonts w:cs="Times New Roman"/>
                <w:szCs w:val="24"/>
              </w:rPr>
            </w:pPr>
          </w:p>
        </w:tc>
        <w:tc>
          <w:tcPr>
            <w:tcW w:w="5528" w:type="dxa"/>
            <w:gridSpan w:val="3"/>
          </w:tcPr>
          <w:p w14:paraId="3BABFC13" w14:textId="25BC85DC" w:rsidR="00740290" w:rsidRDefault="00740290" w:rsidP="00A43859">
            <w:pPr>
              <w:spacing w:before="0" w:after="0"/>
              <w:jc w:val="center"/>
              <w:rPr>
                <w:rFonts w:cs="Times New Roman"/>
                <w:szCs w:val="24"/>
              </w:rPr>
            </w:pPr>
            <w:r>
              <w:rPr>
                <w:rFonts w:cs="Times New Roman"/>
                <w:szCs w:val="24"/>
              </w:rPr>
              <w:t>Carbon footprint</w:t>
            </w:r>
          </w:p>
          <w:p w14:paraId="0AE5E33F" w14:textId="01C69E1A" w:rsidR="00A43859" w:rsidRDefault="00A43859" w:rsidP="00A43859">
            <w:pPr>
              <w:spacing w:before="0" w:after="0"/>
              <w:jc w:val="center"/>
              <w:rPr>
                <w:rFonts w:cs="Times New Roman"/>
                <w:szCs w:val="24"/>
              </w:rPr>
            </w:pPr>
            <w:r>
              <w:rPr>
                <w:rFonts w:cs="Times New Roman"/>
                <w:szCs w:val="24"/>
              </w:rPr>
              <w:t>Kg CO</w:t>
            </w:r>
            <w:r w:rsidRPr="00FA0062">
              <w:rPr>
                <w:rFonts w:cs="Times New Roman"/>
                <w:szCs w:val="24"/>
                <w:vertAlign w:val="subscript"/>
              </w:rPr>
              <w:t>2</w:t>
            </w:r>
            <w:r>
              <w:rPr>
                <w:rFonts w:cs="Times New Roman"/>
                <w:szCs w:val="24"/>
              </w:rPr>
              <w:t>-eq/ton of spun fiber</w:t>
            </w:r>
          </w:p>
        </w:tc>
      </w:tr>
      <w:tr w:rsidR="00A43859" w:rsidRPr="00EB1A06" w14:paraId="21452713" w14:textId="77777777" w:rsidTr="0039044F">
        <w:trPr>
          <w:jc w:val="center"/>
        </w:trPr>
        <w:tc>
          <w:tcPr>
            <w:tcW w:w="3114" w:type="dxa"/>
          </w:tcPr>
          <w:p w14:paraId="25998166" w14:textId="69B4307E" w:rsidR="00A43859" w:rsidRDefault="00A43859" w:rsidP="00A43859">
            <w:pPr>
              <w:spacing w:before="0" w:after="0"/>
              <w:rPr>
                <w:rFonts w:cs="Times New Roman"/>
                <w:szCs w:val="24"/>
              </w:rPr>
            </w:pPr>
            <w:r>
              <w:rPr>
                <w:rFonts w:cs="Times New Roman"/>
                <w:szCs w:val="24"/>
              </w:rPr>
              <w:t>Material</w:t>
            </w:r>
          </w:p>
        </w:tc>
        <w:tc>
          <w:tcPr>
            <w:tcW w:w="1843" w:type="dxa"/>
          </w:tcPr>
          <w:p w14:paraId="0D05EFA3" w14:textId="40B5484F" w:rsidR="00A43859" w:rsidRDefault="00A43859" w:rsidP="00A43859">
            <w:pPr>
              <w:spacing w:before="0" w:after="0"/>
              <w:rPr>
                <w:rFonts w:cs="Times New Roman"/>
                <w:szCs w:val="24"/>
              </w:rPr>
            </w:pPr>
            <w:r>
              <w:rPr>
                <w:rFonts w:cs="Times New Roman"/>
                <w:szCs w:val="24"/>
              </w:rPr>
              <w:t>Crop cultivation</w:t>
            </w:r>
          </w:p>
        </w:tc>
        <w:tc>
          <w:tcPr>
            <w:tcW w:w="1842" w:type="dxa"/>
          </w:tcPr>
          <w:p w14:paraId="37C701EE" w14:textId="05A3E62E" w:rsidR="00A43859" w:rsidRDefault="00A43859" w:rsidP="00A43859">
            <w:pPr>
              <w:spacing w:before="0" w:after="0"/>
              <w:rPr>
                <w:rFonts w:cs="Times New Roman"/>
                <w:szCs w:val="24"/>
              </w:rPr>
            </w:pPr>
            <w:r>
              <w:rPr>
                <w:rFonts w:cs="Times New Roman"/>
                <w:szCs w:val="24"/>
              </w:rPr>
              <w:t>Fiber production</w:t>
            </w:r>
          </w:p>
        </w:tc>
        <w:tc>
          <w:tcPr>
            <w:tcW w:w="1843" w:type="dxa"/>
          </w:tcPr>
          <w:p w14:paraId="68A1C666" w14:textId="7BC22044" w:rsidR="00A43859" w:rsidRDefault="00A43859" w:rsidP="00A43859">
            <w:pPr>
              <w:spacing w:before="0" w:after="0"/>
              <w:rPr>
                <w:rFonts w:cs="Times New Roman"/>
                <w:szCs w:val="24"/>
              </w:rPr>
            </w:pPr>
            <w:r>
              <w:rPr>
                <w:rFonts w:cs="Times New Roman"/>
                <w:szCs w:val="24"/>
              </w:rPr>
              <w:t>Total emissions</w:t>
            </w:r>
          </w:p>
        </w:tc>
      </w:tr>
      <w:tr w:rsidR="000D0F0D" w:rsidRPr="00EB1A06" w14:paraId="313B64A9" w14:textId="77777777" w:rsidTr="0039044F">
        <w:trPr>
          <w:jc w:val="center"/>
        </w:trPr>
        <w:tc>
          <w:tcPr>
            <w:tcW w:w="3114" w:type="dxa"/>
            <w:vAlign w:val="center"/>
          </w:tcPr>
          <w:p w14:paraId="0E1F183A" w14:textId="77777777" w:rsidR="000D0F0D" w:rsidRPr="00C742E3" w:rsidRDefault="000D0F0D" w:rsidP="00D31396">
            <w:pPr>
              <w:spacing w:before="0" w:after="0"/>
              <w:rPr>
                <w:rFonts w:eastAsia="Times New Roman" w:cs="Times New Roman"/>
                <w:szCs w:val="24"/>
                <w:lang w:eastAsia="en-GB"/>
              </w:rPr>
            </w:pPr>
            <w:r>
              <w:rPr>
                <w:rFonts w:eastAsia="Times New Roman" w:cs="Times New Roman"/>
                <w:szCs w:val="24"/>
                <w:lang w:eastAsia="en-GB"/>
              </w:rPr>
              <w:t xml:space="preserve">Organic </w:t>
            </w:r>
            <w:r w:rsidRPr="00C742E3">
              <w:rPr>
                <w:rFonts w:eastAsia="Times New Roman" w:cs="Times New Roman"/>
                <w:szCs w:val="24"/>
                <w:lang w:eastAsia="en-GB"/>
              </w:rPr>
              <w:t>cotton, USA</w:t>
            </w:r>
          </w:p>
        </w:tc>
        <w:tc>
          <w:tcPr>
            <w:tcW w:w="1843" w:type="dxa"/>
            <w:vAlign w:val="center"/>
          </w:tcPr>
          <w:p w14:paraId="59F11A72" w14:textId="77777777" w:rsidR="000D0F0D" w:rsidRPr="00C742E3" w:rsidRDefault="000D0F0D" w:rsidP="00D31396">
            <w:pPr>
              <w:spacing w:before="0" w:after="0"/>
              <w:jc w:val="center"/>
              <w:rPr>
                <w:rFonts w:eastAsia="Times New Roman" w:cs="Times New Roman"/>
                <w:szCs w:val="24"/>
                <w:lang w:eastAsia="en-GB"/>
              </w:rPr>
            </w:pPr>
            <w:r w:rsidRPr="00C742E3">
              <w:rPr>
                <w:rFonts w:eastAsia="Times New Roman" w:cs="Times New Roman"/>
                <w:szCs w:val="24"/>
                <w:lang w:eastAsia="en-GB"/>
              </w:rPr>
              <w:t>0.9</w:t>
            </w:r>
          </w:p>
        </w:tc>
        <w:tc>
          <w:tcPr>
            <w:tcW w:w="1842" w:type="dxa"/>
            <w:vAlign w:val="center"/>
          </w:tcPr>
          <w:p w14:paraId="11907C28" w14:textId="77777777" w:rsidR="000D0F0D" w:rsidRPr="00C742E3" w:rsidRDefault="000D0F0D" w:rsidP="00D31396">
            <w:pPr>
              <w:spacing w:before="0" w:after="0"/>
              <w:jc w:val="center"/>
              <w:rPr>
                <w:rFonts w:eastAsia="Times New Roman" w:cs="Times New Roman"/>
                <w:szCs w:val="24"/>
                <w:lang w:eastAsia="en-GB"/>
              </w:rPr>
            </w:pPr>
            <w:r w:rsidRPr="00C742E3">
              <w:rPr>
                <w:rFonts w:eastAsia="Times New Roman" w:cs="Times New Roman"/>
                <w:szCs w:val="24"/>
                <w:lang w:eastAsia="en-GB"/>
              </w:rPr>
              <w:t>1.45</w:t>
            </w:r>
          </w:p>
        </w:tc>
        <w:tc>
          <w:tcPr>
            <w:tcW w:w="1843" w:type="dxa"/>
            <w:vAlign w:val="center"/>
          </w:tcPr>
          <w:p w14:paraId="6EF7BDDB" w14:textId="66EC65C1" w:rsidR="000D0F0D" w:rsidRPr="00C742E3" w:rsidRDefault="000D0F0D" w:rsidP="00D31396">
            <w:pPr>
              <w:spacing w:before="0" w:after="0"/>
              <w:jc w:val="center"/>
              <w:rPr>
                <w:rFonts w:eastAsia="Times New Roman" w:cs="Times New Roman"/>
                <w:szCs w:val="24"/>
                <w:lang w:eastAsia="en-GB"/>
              </w:rPr>
            </w:pPr>
            <w:r>
              <w:rPr>
                <w:rFonts w:eastAsia="Times New Roman" w:cs="Times New Roman"/>
                <w:szCs w:val="24"/>
                <w:lang w:eastAsia="en-GB"/>
              </w:rPr>
              <w:t>2.35</w:t>
            </w:r>
          </w:p>
        </w:tc>
      </w:tr>
      <w:tr w:rsidR="000D0F0D" w:rsidRPr="00EB1A06" w14:paraId="2546B622" w14:textId="77777777" w:rsidTr="0039044F">
        <w:trPr>
          <w:jc w:val="center"/>
        </w:trPr>
        <w:tc>
          <w:tcPr>
            <w:tcW w:w="3114" w:type="dxa"/>
            <w:vAlign w:val="center"/>
          </w:tcPr>
          <w:p w14:paraId="4E9162AA" w14:textId="77777777" w:rsidR="000D0F0D" w:rsidRDefault="000D0F0D" w:rsidP="00D31396">
            <w:pPr>
              <w:spacing w:before="0" w:after="0"/>
              <w:rPr>
                <w:rFonts w:eastAsia="Times New Roman" w:cs="Times New Roman"/>
                <w:szCs w:val="24"/>
                <w:lang w:eastAsia="en-GB"/>
              </w:rPr>
            </w:pPr>
            <w:r>
              <w:rPr>
                <w:rFonts w:eastAsia="Times New Roman" w:cs="Times New Roman"/>
                <w:szCs w:val="24"/>
                <w:lang w:eastAsia="en-GB"/>
              </w:rPr>
              <w:t>Organic cotton, Punjab, India</w:t>
            </w:r>
          </w:p>
        </w:tc>
        <w:tc>
          <w:tcPr>
            <w:tcW w:w="1843" w:type="dxa"/>
            <w:vAlign w:val="center"/>
          </w:tcPr>
          <w:p w14:paraId="3A82E13C" w14:textId="77777777" w:rsidR="000D0F0D" w:rsidRPr="00C742E3" w:rsidRDefault="000D0F0D" w:rsidP="00D31396">
            <w:pPr>
              <w:spacing w:before="0" w:after="0"/>
              <w:jc w:val="center"/>
              <w:rPr>
                <w:rFonts w:eastAsia="Times New Roman" w:cs="Times New Roman"/>
                <w:szCs w:val="24"/>
                <w:lang w:eastAsia="en-GB"/>
              </w:rPr>
            </w:pPr>
            <w:r>
              <w:rPr>
                <w:rFonts w:eastAsia="Times New Roman" w:cs="Times New Roman"/>
                <w:szCs w:val="24"/>
                <w:lang w:eastAsia="en-GB"/>
              </w:rPr>
              <w:t>2</w:t>
            </w:r>
          </w:p>
        </w:tc>
        <w:tc>
          <w:tcPr>
            <w:tcW w:w="1842" w:type="dxa"/>
            <w:vAlign w:val="center"/>
          </w:tcPr>
          <w:p w14:paraId="4A078D98" w14:textId="77777777" w:rsidR="000D0F0D" w:rsidRPr="00C742E3" w:rsidRDefault="000D0F0D" w:rsidP="00D31396">
            <w:pPr>
              <w:spacing w:before="0" w:after="0"/>
              <w:jc w:val="center"/>
              <w:rPr>
                <w:rFonts w:eastAsia="Times New Roman" w:cs="Times New Roman"/>
                <w:szCs w:val="24"/>
                <w:lang w:eastAsia="en-GB"/>
              </w:rPr>
            </w:pPr>
            <w:r>
              <w:rPr>
                <w:rFonts w:eastAsia="Times New Roman" w:cs="Times New Roman"/>
                <w:szCs w:val="24"/>
                <w:lang w:eastAsia="en-GB"/>
              </w:rPr>
              <w:t>1.8</w:t>
            </w:r>
          </w:p>
        </w:tc>
        <w:tc>
          <w:tcPr>
            <w:tcW w:w="1843" w:type="dxa"/>
            <w:vAlign w:val="center"/>
          </w:tcPr>
          <w:p w14:paraId="1ECFCF0C" w14:textId="77777777" w:rsidR="000D0F0D" w:rsidRPr="00C742E3" w:rsidRDefault="000D0F0D" w:rsidP="00D31396">
            <w:pPr>
              <w:spacing w:before="0" w:after="0"/>
              <w:jc w:val="center"/>
              <w:rPr>
                <w:rFonts w:eastAsia="Times New Roman" w:cs="Times New Roman"/>
                <w:szCs w:val="24"/>
                <w:lang w:eastAsia="en-GB"/>
              </w:rPr>
            </w:pPr>
            <w:r>
              <w:rPr>
                <w:rFonts w:eastAsia="Times New Roman" w:cs="Times New Roman"/>
                <w:szCs w:val="24"/>
                <w:lang w:eastAsia="en-GB"/>
              </w:rPr>
              <w:t>3.8</w:t>
            </w:r>
          </w:p>
        </w:tc>
      </w:tr>
      <w:tr w:rsidR="00D35F44" w:rsidRPr="00EB1A06" w14:paraId="3D1FFF66" w14:textId="77777777" w:rsidTr="0039044F">
        <w:trPr>
          <w:jc w:val="center"/>
        </w:trPr>
        <w:tc>
          <w:tcPr>
            <w:tcW w:w="3114" w:type="dxa"/>
            <w:vAlign w:val="center"/>
          </w:tcPr>
          <w:p w14:paraId="4437F844" w14:textId="6787ADEC" w:rsidR="00D35F44" w:rsidRPr="00EB1A06" w:rsidRDefault="00D35F44" w:rsidP="00D35F44">
            <w:pPr>
              <w:spacing w:before="0" w:after="0"/>
              <w:rPr>
                <w:rFonts w:cs="Times New Roman"/>
                <w:szCs w:val="24"/>
              </w:rPr>
            </w:pPr>
            <w:r>
              <w:rPr>
                <w:rFonts w:eastAsia="Times New Roman" w:cs="Times New Roman"/>
                <w:szCs w:val="24"/>
                <w:lang w:eastAsia="en-GB"/>
              </w:rPr>
              <w:t>C</w:t>
            </w:r>
            <w:r w:rsidRPr="00C742E3">
              <w:rPr>
                <w:rFonts w:eastAsia="Times New Roman" w:cs="Times New Roman"/>
                <w:szCs w:val="24"/>
                <w:lang w:eastAsia="en-GB"/>
              </w:rPr>
              <w:t>onventional</w:t>
            </w:r>
            <w:r>
              <w:rPr>
                <w:rFonts w:eastAsia="Times New Roman" w:cs="Times New Roman"/>
                <w:szCs w:val="24"/>
                <w:lang w:eastAsia="en-GB"/>
              </w:rPr>
              <w:t xml:space="preserve"> cotton</w:t>
            </w:r>
            <w:r w:rsidRPr="00C742E3">
              <w:rPr>
                <w:rFonts w:eastAsia="Times New Roman" w:cs="Times New Roman"/>
                <w:szCs w:val="24"/>
                <w:lang w:eastAsia="en-GB"/>
              </w:rPr>
              <w:t>, USA</w:t>
            </w:r>
          </w:p>
        </w:tc>
        <w:tc>
          <w:tcPr>
            <w:tcW w:w="1843" w:type="dxa"/>
            <w:vAlign w:val="center"/>
          </w:tcPr>
          <w:p w14:paraId="323C1B6D" w14:textId="50644196" w:rsidR="00D35F44" w:rsidRPr="00EB1A06" w:rsidRDefault="00D35F44" w:rsidP="00D35F44">
            <w:pPr>
              <w:spacing w:before="0" w:after="0"/>
              <w:jc w:val="center"/>
              <w:rPr>
                <w:rFonts w:cs="Times New Roman"/>
                <w:szCs w:val="24"/>
              </w:rPr>
            </w:pPr>
            <w:r w:rsidRPr="00C742E3">
              <w:rPr>
                <w:rFonts w:eastAsia="Times New Roman" w:cs="Times New Roman"/>
                <w:szCs w:val="24"/>
                <w:lang w:eastAsia="en-GB"/>
              </w:rPr>
              <w:t>4.2</w:t>
            </w:r>
          </w:p>
        </w:tc>
        <w:tc>
          <w:tcPr>
            <w:tcW w:w="1842" w:type="dxa"/>
            <w:vAlign w:val="center"/>
          </w:tcPr>
          <w:p w14:paraId="0FC09B55" w14:textId="5AEE1EEF" w:rsidR="00D35F44" w:rsidRPr="00C742E3" w:rsidRDefault="00D35F44" w:rsidP="00D35F44">
            <w:pPr>
              <w:spacing w:before="0" w:after="0"/>
              <w:jc w:val="center"/>
              <w:rPr>
                <w:rFonts w:eastAsia="Times New Roman" w:cs="Times New Roman"/>
                <w:szCs w:val="24"/>
                <w:lang w:eastAsia="en-GB"/>
              </w:rPr>
            </w:pPr>
            <w:r w:rsidRPr="00C742E3">
              <w:rPr>
                <w:rFonts w:eastAsia="Times New Roman" w:cs="Times New Roman"/>
                <w:szCs w:val="24"/>
                <w:lang w:eastAsia="en-GB"/>
              </w:rPr>
              <w:t>1.7</w:t>
            </w:r>
          </w:p>
        </w:tc>
        <w:tc>
          <w:tcPr>
            <w:tcW w:w="1843" w:type="dxa"/>
            <w:vAlign w:val="center"/>
          </w:tcPr>
          <w:p w14:paraId="46F4EC74" w14:textId="7809AF47" w:rsidR="00D35F44" w:rsidRPr="00EB1A06" w:rsidRDefault="00332C8F" w:rsidP="00D35F44">
            <w:pPr>
              <w:spacing w:before="0" w:after="0"/>
              <w:jc w:val="center"/>
              <w:rPr>
                <w:rFonts w:cs="Times New Roman"/>
                <w:szCs w:val="24"/>
              </w:rPr>
            </w:pPr>
            <w:r>
              <w:rPr>
                <w:rFonts w:eastAsia="Times New Roman" w:cs="Times New Roman"/>
                <w:szCs w:val="24"/>
                <w:lang w:eastAsia="en-GB"/>
              </w:rPr>
              <w:t>5</w:t>
            </w:r>
            <w:r w:rsidR="00D35F44" w:rsidRPr="00C742E3">
              <w:rPr>
                <w:rFonts w:eastAsia="Times New Roman" w:cs="Times New Roman"/>
                <w:szCs w:val="24"/>
                <w:lang w:eastAsia="en-GB"/>
              </w:rPr>
              <w:t>.</w:t>
            </w:r>
            <w:r>
              <w:rPr>
                <w:rFonts w:eastAsia="Times New Roman" w:cs="Times New Roman"/>
                <w:szCs w:val="24"/>
                <w:lang w:eastAsia="en-GB"/>
              </w:rPr>
              <w:t>9</w:t>
            </w:r>
          </w:p>
        </w:tc>
      </w:tr>
      <w:tr w:rsidR="003B189D" w:rsidRPr="00EB1A06" w14:paraId="4490F676" w14:textId="77777777" w:rsidTr="0039044F">
        <w:trPr>
          <w:jc w:val="center"/>
        </w:trPr>
        <w:tc>
          <w:tcPr>
            <w:tcW w:w="3114" w:type="dxa"/>
            <w:vAlign w:val="center"/>
          </w:tcPr>
          <w:p w14:paraId="2253C0E3" w14:textId="5742E829" w:rsidR="003B189D" w:rsidRDefault="003B189D" w:rsidP="003B189D">
            <w:pPr>
              <w:spacing w:before="0" w:after="0"/>
              <w:rPr>
                <w:rFonts w:eastAsia="Times New Roman" w:cs="Times New Roman"/>
                <w:szCs w:val="24"/>
                <w:lang w:eastAsia="en-GB"/>
              </w:rPr>
            </w:pPr>
            <w:r>
              <w:rPr>
                <w:rFonts w:eastAsia="Times New Roman" w:cs="Times New Roman"/>
                <w:szCs w:val="24"/>
                <w:lang w:eastAsia="en-GB"/>
              </w:rPr>
              <w:t>P</w:t>
            </w:r>
            <w:r w:rsidRPr="00C742E3">
              <w:rPr>
                <w:rFonts w:eastAsia="Times New Roman" w:cs="Times New Roman"/>
                <w:szCs w:val="24"/>
                <w:lang w:eastAsia="en-GB"/>
              </w:rPr>
              <w:t>olyester</w:t>
            </w:r>
            <w:r>
              <w:rPr>
                <w:rFonts w:eastAsia="Times New Roman" w:cs="Times New Roman"/>
                <w:szCs w:val="24"/>
                <w:lang w:eastAsia="en-GB"/>
              </w:rPr>
              <w:t>,</w:t>
            </w:r>
            <w:r w:rsidRPr="00C742E3">
              <w:rPr>
                <w:rFonts w:eastAsia="Times New Roman" w:cs="Times New Roman"/>
                <w:szCs w:val="24"/>
                <w:lang w:eastAsia="en-GB"/>
              </w:rPr>
              <w:t xml:space="preserve"> USA</w:t>
            </w:r>
          </w:p>
        </w:tc>
        <w:tc>
          <w:tcPr>
            <w:tcW w:w="1843" w:type="dxa"/>
            <w:vAlign w:val="center"/>
          </w:tcPr>
          <w:p w14:paraId="021B7F5D" w14:textId="3CD13FFE" w:rsidR="003B189D" w:rsidRDefault="003B189D" w:rsidP="003B189D">
            <w:pPr>
              <w:spacing w:before="0" w:after="0"/>
              <w:jc w:val="center"/>
              <w:rPr>
                <w:rFonts w:eastAsia="Times New Roman" w:cs="Times New Roman"/>
                <w:szCs w:val="24"/>
                <w:lang w:eastAsia="en-GB"/>
              </w:rPr>
            </w:pPr>
            <w:r w:rsidRPr="00C742E3">
              <w:rPr>
                <w:rFonts w:eastAsia="Times New Roman" w:cs="Times New Roman"/>
                <w:szCs w:val="24"/>
                <w:lang w:eastAsia="en-GB"/>
              </w:rPr>
              <w:t>0</w:t>
            </w:r>
          </w:p>
        </w:tc>
        <w:tc>
          <w:tcPr>
            <w:tcW w:w="1842" w:type="dxa"/>
            <w:vAlign w:val="center"/>
          </w:tcPr>
          <w:p w14:paraId="73F1BD6B" w14:textId="4290B79C" w:rsidR="003B189D" w:rsidRDefault="003B189D" w:rsidP="003B189D">
            <w:pPr>
              <w:spacing w:before="0" w:after="0"/>
              <w:jc w:val="center"/>
              <w:rPr>
                <w:rFonts w:eastAsia="Times New Roman" w:cs="Times New Roman"/>
                <w:szCs w:val="24"/>
                <w:lang w:eastAsia="en-GB"/>
              </w:rPr>
            </w:pPr>
            <w:r w:rsidRPr="00C742E3">
              <w:rPr>
                <w:rFonts w:eastAsia="Times New Roman" w:cs="Times New Roman"/>
                <w:szCs w:val="24"/>
                <w:lang w:eastAsia="en-GB"/>
              </w:rPr>
              <w:t>9.52</w:t>
            </w:r>
          </w:p>
        </w:tc>
        <w:tc>
          <w:tcPr>
            <w:tcW w:w="1843" w:type="dxa"/>
            <w:vAlign w:val="center"/>
          </w:tcPr>
          <w:p w14:paraId="1BFC9947" w14:textId="44E0A853" w:rsidR="003B189D" w:rsidRDefault="003B189D" w:rsidP="003B189D">
            <w:pPr>
              <w:spacing w:before="0" w:after="0"/>
              <w:jc w:val="center"/>
              <w:rPr>
                <w:rFonts w:eastAsia="Times New Roman" w:cs="Times New Roman"/>
                <w:szCs w:val="24"/>
                <w:lang w:eastAsia="en-GB"/>
              </w:rPr>
            </w:pPr>
            <w:r w:rsidRPr="00C742E3">
              <w:rPr>
                <w:rFonts w:eastAsia="Times New Roman" w:cs="Times New Roman"/>
                <w:szCs w:val="24"/>
                <w:lang w:eastAsia="en-GB"/>
              </w:rPr>
              <w:t>9.52</w:t>
            </w:r>
          </w:p>
        </w:tc>
      </w:tr>
    </w:tbl>
    <w:p w14:paraId="4EF6D0D4" w14:textId="4789AB36" w:rsidR="006B25C9" w:rsidRPr="001D5FF7" w:rsidRDefault="00B741FA" w:rsidP="006B25C9">
      <w:pPr>
        <w:pStyle w:val="Caption"/>
        <w:rPr>
          <w:b w:val="0"/>
          <w:bCs w:val="0"/>
        </w:rPr>
      </w:pPr>
      <w:bookmarkStart w:id="1" w:name="_Ref140510213"/>
      <w:r>
        <w:t xml:space="preserve">Supplementary </w:t>
      </w:r>
      <w:r w:rsidR="006B25C9">
        <w:t xml:space="preserve">Table </w:t>
      </w:r>
      <w:fldSimple w:instr=" SEQ Table \* ARABIC ">
        <w:r w:rsidR="0015710A">
          <w:rPr>
            <w:noProof/>
          </w:rPr>
          <w:t>2</w:t>
        </w:r>
      </w:fldSimple>
      <w:bookmarkEnd w:id="1"/>
      <w:r w:rsidR="00AF607E">
        <w:t>.</w:t>
      </w:r>
      <w:r w:rsidR="006B25C9">
        <w:t xml:space="preserve"> </w:t>
      </w:r>
      <w:r w:rsidR="006B4F8D" w:rsidRPr="006B4F8D">
        <w:rPr>
          <w:b w:val="0"/>
          <w:bCs w:val="0"/>
        </w:rPr>
        <w:t>Global warming potential</w:t>
      </w:r>
      <w:r w:rsidR="006B4F8D">
        <w:t xml:space="preserve"> </w:t>
      </w:r>
      <w:r w:rsidR="006B4F8D">
        <w:rPr>
          <w:b w:val="0"/>
          <w:bCs w:val="0"/>
        </w:rPr>
        <w:t>of t</w:t>
      </w:r>
      <w:r w:rsidR="006B25C9">
        <w:rPr>
          <w:b w:val="0"/>
          <w:bCs w:val="0"/>
        </w:rPr>
        <w:t xml:space="preserve">extile fiber </w:t>
      </w:r>
      <w:r w:rsidR="0076351A">
        <w:rPr>
          <w:b w:val="0"/>
          <w:bCs w:val="0"/>
        </w:rPr>
        <w:t xml:space="preserve">production involved in the production of </w:t>
      </w:r>
      <w:r w:rsidR="005B36CE">
        <w:rPr>
          <w:b w:val="0"/>
          <w:bCs w:val="0"/>
        </w:rPr>
        <w:t xml:space="preserve">a t-shirt </w:t>
      </w:r>
      <w:r w:rsidR="004512DF">
        <w:rPr>
          <w:b w:val="0"/>
          <w:bCs w:val="0"/>
        </w:rPr>
        <w:t>on a global scale</w:t>
      </w:r>
      <w:r w:rsidR="00BD2915">
        <w:rPr>
          <w:b w:val="0"/>
          <w:bCs w:val="0"/>
        </w:rPr>
        <w:t xml:space="preserve">, adapted from </w:t>
      </w:r>
      <w:r w:rsidR="001D5FF7" w:rsidRPr="001D5FF7">
        <w:rPr>
          <w:b w:val="0"/>
          <w:bCs w:val="0"/>
        </w:rPr>
        <w:fldChar w:fldCharType="begin"/>
      </w:r>
      <w:r w:rsidR="001D5FF7" w:rsidRPr="001D5FF7">
        <w:rPr>
          <w:b w:val="0"/>
          <w:bCs w:val="0"/>
        </w:rPr>
        <w:instrText xml:space="preserve"> ADDIN ZOTERO_ITEM CSL_CITATION {"citationID":"a0DvXGwc","properties":{"formattedCitation":"(Schmutz et al., 2021)","plainCitation":"(Schmutz et al., 2021)","noteIndex":0},"citationItems":[{"id":2276,"uris":["http://zotero.org/users/8691567/items/7X42L8UM"],"itemData":{"id":2276,"type":"article-journal","abstract":"Cotton t-shirts are a basic clothing item that everyone possesses. To date, no studies have taken into account the consumers’ perspective, even though they can play an important role regarding the actual environmental impact of their clothing items. Therefore, a life cycle assessment study was performed in order to inform the public about the environmental impacts of a typical cotton tshirt and the relevance of consumer behavior (i.e., washing and drying) on the overall impacts along the entire life cycle of such a t-shirt. The aim was to provide hints, allowing users to reduce the impacts of their t-shirts. While the production phase was based on global data, the use phase focused on Switzerland as the study was established in the context of an exhibition in the Textile Museum in St. Gallen (Switzerland). With this study, it was found that users have various choices in order to make their t-shirt more sustainable. Wearing the t-shirt throughout its entire life expectancy was found to be the most important factor influencing the overall environmental performance of such a clothing item. The relevance of filling the washing machine to maximum capacity, washing at a lower temperature, or using a tumbler was also illustrated. In addition, choosing materials other than cotton or choosing textiles labelled for lower environmental impacts during production could further improve the environmental performance of t-shirts.","container-title":"Sustainability","DOI":"10.3390/su13052498","ISSN":"2071-1050","issue":"5","journalAbbreviation":"Sustainability","language":"en","page":"2498","source":"DOI.org (Crossref)","title":"Factors Allowing Users to Influence the Environmental Performance of Their T-Shirt","volume":"13","author":[{"family":"Schmutz","given":"Mélanie"},{"family":"Hischier","given":"Roland"},{"family":"Som","given":"Claudia"}],"issued":{"date-parts":[["2021",2,25]]}}}],"schema":"https://github.com/citation-style-language/schema/raw/master/csl-citation.json"} </w:instrText>
      </w:r>
      <w:r w:rsidR="001D5FF7" w:rsidRPr="001D5FF7">
        <w:rPr>
          <w:b w:val="0"/>
          <w:bCs w:val="0"/>
        </w:rPr>
        <w:fldChar w:fldCharType="separate"/>
      </w:r>
      <w:r w:rsidR="001D5FF7" w:rsidRPr="001D5FF7">
        <w:rPr>
          <w:b w:val="0"/>
          <w:bCs w:val="0"/>
        </w:rPr>
        <w:t>(Schmutz et al., 2021)</w:t>
      </w:r>
      <w:r w:rsidR="001D5FF7" w:rsidRPr="001D5FF7">
        <w:rPr>
          <w:b w:val="0"/>
          <w:bCs w:val="0"/>
        </w:rPr>
        <w:fldChar w:fldCharType="end"/>
      </w:r>
      <w:r w:rsidR="001D5FF7" w:rsidRPr="001D5FF7">
        <w:rPr>
          <w:b w:val="0"/>
          <w:bCs w:val="0"/>
        </w:rPr>
        <w:t>.</w:t>
      </w:r>
      <w:r w:rsidR="003B6932">
        <w:rPr>
          <w:b w:val="0"/>
          <w:bCs w:val="0"/>
        </w:rPr>
        <w:t xml:space="preserve"> Functional unit: t-shirt </w:t>
      </w:r>
      <w:r w:rsidR="00796F36">
        <w:rPr>
          <w:b w:val="0"/>
          <w:bCs w:val="0"/>
        </w:rPr>
        <w:t>of 154 g.</w:t>
      </w:r>
    </w:p>
    <w:tbl>
      <w:tblPr>
        <w:tblStyle w:val="TableGrid"/>
        <w:tblW w:w="7366" w:type="dxa"/>
        <w:jc w:val="center"/>
        <w:tblLook w:val="04A0" w:firstRow="1" w:lastRow="0" w:firstColumn="1" w:lastColumn="0" w:noHBand="0" w:noVBand="1"/>
      </w:tblPr>
      <w:tblGrid>
        <w:gridCol w:w="1129"/>
        <w:gridCol w:w="3402"/>
        <w:gridCol w:w="2835"/>
      </w:tblGrid>
      <w:tr w:rsidR="00CC7FC6" w:rsidRPr="00EB1A06" w14:paraId="24E59674" w14:textId="7E33C7A4" w:rsidTr="0039044F">
        <w:trPr>
          <w:jc w:val="center"/>
        </w:trPr>
        <w:tc>
          <w:tcPr>
            <w:tcW w:w="1129" w:type="dxa"/>
          </w:tcPr>
          <w:p w14:paraId="2DB3913C" w14:textId="77777777" w:rsidR="00CC7FC6" w:rsidRDefault="00CC7FC6" w:rsidP="00D31396">
            <w:pPr>
              <w:spacing w:before="0" w:after="0"/>
              <w:rPr>
                <w:rFonts w:cs="Times New Roman"/>
                <w:szCs w:val="24"/>
              </w:rPr>
            </w:pPr>
            <w:r>
              <w:rPr>
                <w:rFonts w:cs="Times New Roman"/>
                <w:szCs w:val="24"/>
              </w:rPr>
              <w:t>Material</w:t>
            </w:r>
          </w:p>
        </w:tc>
        <w:tc>
          <w:tcPr>
            <w:tcW w:w="3402" w:type="dxa"/>
          </w:tcPr>
          <w:p w14:paraId="07C2DCBD" w14:textId="77777777" w:rsidR="00121F5E" w:rsidRDefault="00121F5E" w:rsidP="00D31396">
            <w:pPr>
              <w:spacing w:before="0" w:after="0"/>
              <w:rPr>
                <w:rFonts w:cs="Times New Roman"/>
                <w:szCs w:val="24"/>
              </w:rPr>
            </w:pPr>
            <w:r>
              <w:rPr>
                <w:rFonts w:cs="Times New Roman"/>
                <w:szCs w:val="24"/>
              </w:rPr>
              <w:t>Carbon footprint</w:t>
            </w:r>
          </w:p>
          <w:p w14:paraId="51E3A2B3" w14:textId="33592CF8" w:rsidR="00CC7FC6" w:rsidRDefault="00CC7FC6" w:rsidP="00D31396">
            <w:pPr>
              <w:spacing w:before="0" w:after="0"/>
              <w:rPr>
                <w:rFonts w:cs="Times New Roman"/>
                <w:szCs w:val="24"/>
              </w:rPr>
            </w:pPr>
            <w:r>
              <w:rPr>
                <w:rFonts w:cs="Times New Roman"/>
                <w:szCs w:val="24"/>
              </w:rPr>
              <w:t>Kg CO</w:t>
            </w:r>
            <w:r w:rsidRPr="00FA0062">
              <w:rPr>
                <w:rFonts w:cs="Times New Roman"/>
                <w:szCs w:val="24"/>
                <w:vertAlign w:val="subscript"/>
              </w:rPr>
              <w:t>2</w:t>
            </w:r>
            <w:r>
              <w:rPr>
                <w:rFonts w:cs="Times New Roman"/>
                <w:szCs w:val="24"/>
              </w:rPr>
              <w:t>-eq</w:t>
            </w:r>
            <w:r w:rsidR="005A069A">
              <w:rPr>
                <w:rFonts w:cs="Times New Roman"/>
                <w:szCs w:val="24"/>
              </w:rPr>
              <w:t>/</w:t>
            </w:r>
            <w:r>
              <w:rPr>
                <w:rFonts w:cs="Times New Roman"/>
                <w:szCs w:val="24"/>
              </w:rPr>
              <w:t>264 g of fiber</w:t>
            </w:r>
          </w:p>
        </w:tc>
        <w:tc>
          <w:tcPr>
            <w:tcW w:w="2835" w:type="dxa"/>
          </w:tcPr>
          <w:p w14:paraId="2B0DFA72" w14:textId="77777777" w:rsidR="00CC7FC6" w:rsidRDefault="00343CC7" w:rsidP="00D31396">
            <w:pPr>
              <w:spacing w:before="0" w:after="0"/>
              <w:rPr>
                <w:rFonts w:cs="Times New Roman"/>
                <w:szCs w:val="24"/>
              </w:rPr>
            </w:pPr>
            <w:r>
              <w:rPr>
                <w:rFonts w:cs="Times New Roman"/>
                <w:szCs w:val="24"/>
              </w:rPr>
              <w:t>Water consumption</w:t>
            </w:r>
          </w:p>
          <w:p w14:paraId="237EC934" w14:textId="1CFEAF49" w:rsidR="00121F5E" w:rsidRDefault="00121F5E" w:rsidP="00D31396">
            <w:pPr>
              <w:spacing w:before="0" w:after="0"/>
              <w:rPr>
                <w:rFonts w:cs="Times New Roman"/>
                <w:szCs w:val="24"/>
              </w:rPr>
            </w:pPr>
            <w:r>
              <w:t>m</w:t>
            </w:r>
            <w:r w:rsidRPr="00121F5E">
              <w:rPr>
                <w:vertAlign w:val="superscript"/>
              </w:rPr>
              <w:t>3</w:t>
            </w:r>
            <w:r>
              <w:t xml:space="preserve"> water-eq</w:t>
            </w:r>
          </w:p>
        </w:tc>
      </w:tr>
      <w:tr w:rsidR="00CC7FC6" w:rsidRPr="00EB1A06" w14:paraId="70DF3511" w14:textId="5CF80500" w:rsidTr="0039044F">
        <w:trPr>
          <w:jc w:val="center"/>
        </w:trPr>
        <w:tc>
          <w:tcPr>
            <w:tcW w:w="1129" w:type="dxa"/>
            <w:vAlign w:val="center"/>
          </w:tcPr>
          <w:p w14:paraId="16C9A96C" w14:textId="12D99075" w:rsidR="00CC7FC6" w:rsidRPr="00EB1A06" w:rsidRDefault="00CC7FC6" w:rsidP="00D31396">
            <w:pPr>
              <w:spacing w:before="0" w:after="0"/>
              <w:rPr>
                <w:rFonts w:cs="Times New Roman"/>
                <w:szCs w:val="24"/>
              </w:rPr>
            </w:pPr>
            <w:r>
              <w:rPr>
                <w:rFonts w:eastAsia="Times New Roman" w:cs="Times New Roman"/>
                <w:szCs w:val="24"/>
                <w:lang w:eastAsia="en-GB"/>
              </w:rPr>
              <w:t>Silk</w:t>
            </w:r>
          </w:p>
        </w:tc>
        <w:tc>
          <w:tcPr>
            <w:tcW w:w="3402" w:type="dxa"/>
            <w:vAlign w:val="center"/>
          </w:tcPr>
          <w:p w14:paraId="1669B8B2" w14:textId="6B95DDAE" w:rsidR="00CC7FC6" w:rsidRPr="00EB1A06" w:rsidRDefault="00CC7FC6" w:rsidP="00D31396">
            <w:pPr>
              <w:spacing w:before="0" w:after="0"/>
              <w:jc w:val="center"/>
              <w:rPr>
                <w:rFonts w:cs="Times New Roman"/>
                <w:szCs w:val="24"/>
              </w:rPr>
            </w:pPr>
            <w:r>
              <w:rPr>
                <w:rFonts w:cs="Times New Roman"/>
                <w:szCs w:val="24"/>
              </w:rPr>
              <w:t>36.0</w:t>
            </w:r>
          </w:p>
        </w:tc>
        <w:tc>
          <w:tcPr>
            <w:tcW w:w="2835" w:type="dxa"/>
          </w:tcPr>
          <w:p w14:paraId="31E4ADFD" w14:textId="7FD80283" w:rsidR="00CC7FC6" w:rsidRDefault="007659E5" w:rsidP="00D31396">
            <w:pPr>
              <w:spacing w:before="0" w:after="0"/>
              <w:jc w:val="center"/>
              <w:rPr>
                <w:rFonts w:cs="Times New Roman"/>
                <w:szCs w:val="24"/>
              </w:rPr>
            </w:pPr>
            <w:r>
              <w:t>360.2</w:t>
            </w:r>
          </w:p>
        </w:tc>
      </w:tr>
      <w:tr w:rsidR="00CC7FC6" w:rsidRPr="00EB1A06" w14:paraId="00A0F760" w14:textId="62D6B250" w:rsidTr="0039044F">
        <w:trPr>
          <w:jc w:val="center"/>
        </w:trPr>
        <w:tc>
          <w:tcPr>
            <w:tcW w:w="1129" w:type="dxa"/>
            <w:vAlign w:val="center"/>
          </w:tcPr>
          <w:p w14:paraId="3E03B40E" w14:textId="39C80A9C" w:rsidR="00CC7FC6" w:rsidRPr="00C742E3" w:rsidRDefault="00CC7FC6" w:rsidP="00D31396">
            <w:pPr>
              <w:spacing w:before="0" w:after="0"/>
              <w:rPr>
                <w:rFonts w:eastAsia="Times New Roman" w:cs="Times New Roman"/>
                <w:szCs w:val="24"/>
                <w:lang w:eastAsia="en-GB"/>
              </w:rPr>
            </w:pPr>
            <w:r>
              <w:rPr>
                <w:rFonts w:eastAsia="Times New Roman" w:cs="Times New Roman"/>
                <w:szCs w:val="24"/>
                <w:lang w:eastAsia="en-GB"/>
              </w:rPr>
              <w:t>Wool</w:t>
            </w:r>
          </w:p>
        </w:tc>
        <w:tc>
          <w:tcPr>
            <w:tcW w:w="3402" w:type="dxa"/>
            <w:vAlign w:val="center"/>
          </w:tcPr>
          <w:p w14:paraId="6B2B8BD9" w14:textId="63D8B1B4" w:rsidR="00CC7FC6" w:rsidRPr="00C742E3" w:rsidRDefault="00CC7FC6" w:rsidP="00D31396">
            <w:pPr>
              <w:spacing w:before="0" w:after="0"/>
              <w:jc w:val="center"/>
              <w:rPr>
                <w:rFonts w:eastAsia="Times New Roman" w:cs="Times New Roman"/>
                <w:szCs w:val="24"/>
                <w:lang w:eastAsia="en-GB"/>
              </w:rPr>
            </w:pPr>
            <w:r>
              <w:rPr>
                <w:rFonts w:eastAsia="Times New Roman" w:cs="Times New Roman"/>
                <w:szCs w:val="24"/>
                <w:lang w:eastAsia="en-GB"/>
              </w:rPr>
              <w:t>9.7</w:t>
            </w:r>
          </w:p>
        </w:tc>
        <w:tc>
          <w:tcPr>
            <w:tcW w:w="2835" w:type="dxa"/>
          </w:tcPr>
          <w:p w14:paraId="61839EB9" w14:textId="50BD9E08" w:rsidR="00CC7FC6" w:rsidRDefault="00E531E1" w:rsidP="00D31396">
            <w:pPr>
              <w:spacing w:before="0" w:after="0"/>
              <w:jc w:val="center"/>
              <w:rPr>
                <w:rFonts w:eastAsia="Times New Roman" w:cs="Times New Roman"/>
                <w:szCs w:val="24"/>
                <w:lang w:eastAsia="en-GB"/>
              </w:rPr>
            </w:pPr>
            <w:r>
              <w:rPr>
                <w:rFonts w:eastAsia="Times New Roman" w:cs="Times New Roman"/>
                <w:szCs w:val="24"/>
                <w:lang w:eastAsia="en-GB"/>
              </w:rPr>
              <w:t>2.5</w:t>
            </w:r>
          </w:p>
        </w:tc>
      </w:tr>
      <w:tr w:rsidR="00CC7FC6" w:rsidRPr="00EB1A06" w14:paraId="62561A28" w14:textId="2D7CE8D0" w:rsidTr="0039044F">
        <w:trPr>
          <w:jc w:val="center"/>
        </w:trPr>
        <w:tc>
          <w:tcPr>
            <w:tcW w:w="1129" w:type="dxa"/>
            <w:vAlign w:val="center"/>
          </w:tcPr>
          <w:p w14:paraId="3A3ED4F3" w14:textId="16C2199B" w:rsidR="00CC7FC6" w:rsidRDefault="00CC7FC6" w:rsidP="00D31396">
            <w:pPr>
              <w:spacing w:before="0" w:after="0"/>
              <w:rPr>
                <w:rFonts w:eastAsia="Times New Roman" w:cs="Times New Roman"/>
                <w:szCs w:val="24"/>
                <w:lang w:eastAsia="en-GB"/>
              </w:rPr>
            </w:pPr>
            <w:r>
              <w:rPr>
                <w:rFonts w:eastAsia="Times New Roman" w:cs="Times New Roman"/>
                <w:szCs w:val="24"/>
                <w:lang w:eastAsia="en-GB"/>
              </w:rPr>
              <w:t>Nylon</w:t>
            </w:r>
          </w:p>
        </w:tc>
        <w:tc>
          <w:tcPr>
            <w:tcW w:w="3402" w:type="dxa"/>
            <w:vAlign w:val="center"/>
          </w:tcPr>
          <w:p w14:paraId="722A784D" w14:textId="7A72EE55" w:rsidR="00CC7FC6" w:rsidRPr="00C742E3" w:rsidRDefault="00CC7FC6" w:rsidP="00D31396">
            <w:pPr>
              <w:spacing w:before="0" w:after="0"/>
              <w:jc w:val="center"/>
              <w:rPr>
                <w:rFonts w:eastAsia="Times New Roman" w:cs="Times New Roman"/>
                <w:szCs w:val="24"/>
                <w:lang w:eastAsia="en-GB"/>
              </w:rPr>
            </w:pPr>
            <w:r>
              <w:rPr>
                <w:rFonts w:eastAsia="Times New Roman" w:cs="Times New Roman"/>
                <w:szCs w:val="24"/>
                <w:lang w:eastAsia="en-GB"/>
              </w:rPr>
              <w:t>2.7</w:t>
            </w:r>
          </w:p>
        </w:tc>
        <w:tc>
          <w:tcPr>
            <w:tcW w:w="2835" w:type="dxa"/>
          </w:tcPr>
          <w:p w14:paraId="2BFC5126" w14:textId="6975FB80" w:rsidR="00CC7FC6" w:rsidRDefault="00ED6AD0" w:rsidP="00D31396">
            <w:pPr>
              <w:spacing w:before="0" w:after="0"/>
              <w:jc w:val="center"/>
              <w:rPr>
                <w:rFonts w:eastAsia="Times New Roman" w:cs="Times New Roman"/>
                <w:szCs w:val="24"/>
                <w:lang w:eastAsia="en-GB"/>
              </w:rPr>
            </w:pPr>
            <w:r>
              <w:rPr>
                <w:rFonts w:eastAsia="Times New Roman" w:cs="Times New Roman"/>
                <w:szCs w:val="24"/>
                <w:lang w:eastAsia="en-GB"/>
              </w:rPr>
              <w:t>&lt; 1</w:t>
            </w:r>
          </w:p>
        </w:tc>
      </w:tr>
      <w:tr w:rsidR="00CC7FC6" w:rsidRPr="00EB1A06" w14:paraId="0D0D8DA0" w14:textId="135FE0C1" w:rsidTr="0039044F">
        <w:trPr>
          <w:jc w:val="center"/>
        </w:trPr>
        <w:tc>
          <w:tcPr>
            <w:tcW w:w="1129" w:type="dxa"/>
            <w:vAlign w:val="center"/>
          </w:tcPr>
          <w:p w14:paraId="1C3657DC" w14:textId="7D57431F" w:rsidR="00CC7FC6" w:rsidRDefault="00CC7FC6" w:rsidP="00D31396">
            <w:pPr>
              <w:spacing w:before="0" w:after="0"/>
              <w:rPr>
                <w:rFonts w:eastAsia="Times New Roman" w:cs="Times New Roman"/>
                <w:szCs w:val="24"/>
                <w:lang w:eastAsia="en-GB"/>
              </w:rPr>
            </w:pPr>
            <w:r>
              <w:rPr>
                <w:rFonts w:eastAsia="Times New Roman" w:cs="Times New Roman"/>
                <w:szCs w:val="24"/>
                <w:lang w:eastAsia="en-GB"/>
              </w:rPr>
              <w:t>Cotton</w:t>
            </w:r>
          </w:p>
        </w:tc>
        <w:tc>
          <w:tcPr>
            <w:tcW w:w="3402" w:type="dxa"/>
            <w:vAlign w:val="center"/>
          </w:tcPr>
          <w:p w14:paraId="5F4C4C07" w14:textId="32E9BD32" w:rsidR="00CC7FC6" w:rsidRDefault="00CC7FC6" w:rsidP="00D31396">
            <w:pPr>
              <w:spacing w:before="0" w:after="0"/>
              <w:jc w:val="center"/>
              <w:rPr>
                <w:rFonts w:eastAsia="Times New Roman" w:cs="Times New Roman"/>
                <w:szCs w:val="24"/>
                <w:lang w:eastAsia="en-GB"/>
              </w:rPr>
            </w:pPr>
            <w:r>
              <w:rPr>
                <w:rFonts w:eastAsia="Times New Roman" w:cs="Times New Roman"/>
                <w:szCs w:val="24"/>
                <w:lang w:eastAsia="en-GB"/>
              </w:rPr>
              <w:t>1.2</w:t>
            </w:r>
          </w:p>
        </w:tc>
        <w:tc>
          <w:tcPr>
            <w:tcW w:w="2835" w:type="dxa"/>
          </w:tcPr>
          <w:p w14:paraId="603E0163" w14:textId="1233EA09" w:rsidR="00CC7FC6" w:rsidRDefault="00E531E1" w:rsidP="00D31396">
            <w:pPr>
              <w:spacing w:before="0" w:after="0"/>
              <w:jc w:val="center"/>
              <w:rPr>
                <w:rFonts w:eastAsia="Times New Roman" w:cs="Times New Roman"/>
                <w:szCs w:val="24"/>
                <w:lang w:eastAsia="en-GB"/>
              </w:rPr>
            </w:pPr>
            <w:r>
              <w:rPr>
                <w:rFonts w:eastAsia="Times New Roman" w:cs="Times New Roman"/>
                <w:szCs w:val="24"/>
                <w:lang w:eastAsia="en-GB"/>
              </w:rPr>
              <w:t>50.0</w:t>
            </w:r>
          </w:p>
        </w:tc>
      </w:tr>
      <w:tr w:rsidR="00CC7FC6" w:rsidRPr="00EB1A06" w14:paraId="4050A19C" w14:textId="33ADB66B" w:rsidTr="0039044F">
        <w:trPr>
          <w:jc w:val="center"/>
        </w:trPr>
        <w:tc>
          <w:tcPr>
            <w:tcW w:w="1129" w:type="dxa"/>
            <w:vAlign w:val="center"/>
          </w:tcPr>
          <w:p w14:paraId="6A3ED361" w14:textId="34B5EAA7" w:rsidR="00CC7FC6" w:rsidRDefault="00CC7FC6" w:rsidP="00D31396">
            <w:pPr>
              <w:spacing w:before="0" w:after="0"/>
              <w:rPr>
                <w:rFonts w:eastAsia="Times New Roman" w:cs="Times New Roman"/>
                <w:szCs w:val="24"/>
                <w:lang w:eastAsia="en-GB"/>
              </w:rPr>
            </w:pPr>
            <w:r>
              <w:rPr>
                <w:rFonts w:eastAsia="Times New Roman" w:cs="Times New Roman"/>
                <w:szCs w:val="24"/>
                <w:lang w:eastAsia="en-GB"/>
              </w:rPr>
              <w:t>Polyester</w:t>
            </w:r>
          </w:p>
        </w:tc>
        <w:tc>
          <w:tcPr>
            <w:tcW w:w="3402" w:type="dxa"/>
            <w:vAlign w:val="center"/>
          </w:tcPr>
          <w:p w14:paraId="0740141F" w14:textId="0358010A" w:rsidR="00CC7FC6" w:rsidRPr="00C742E3" w:rsidRDefault="00CC7FC6" w:rsidP="00D31396">
            <w:pPr>
              <w:spacing w:before="0" w:after="0"/>
              <w:jc w:val="center"/>
              <w:rPr>
                <w:rFonts w:eastAsia="Times New Roman" w:cs="Times New Roman"/>
                <w:szCs w:val="24"/>
                <w:lang w:eastAsia="en-GB"/>
              </w:rPr>
            </w:pPr>
            <w:r>
              <w:rPr>
                <w:rFonts w:eastAsia="Times New Roman" w:cs="Times New Roman"/>
                <w:szCs w:val="24"/>
                <w:lang w:eastAsia="en-GB"/>
              </w:rPr>
              <w:t>1.1</w:t>
            </w:r>
          </w:p>
        </w:tc>
        <w:tc>
          <w:tcPr>
            <w:tcW w:w="2835" w:type="dxa"/>
          </w:tcPr>
          <w:p w14:paraId="2A3BEAD5" w14:textId="19013D79" w:rsidR="00CC7FC6" w:rsidRDefault="00ED6AD0" w:rsidP="00D31396">
            <w:pPr>
              <w:spacing w:before="0" w:after="0"/>
              <w:jc w:val="center"/>
              <w:rPr>
                <w:rFonts w:eastAsia="Times New Roman" w:cs="Times New Roman"/>
                <w:szCs w:val="24"/>
                <w:lang w:eastAsia="en-GB"/>
              </w:rPr>
            </w:pPr>
            <w:r>
              <w:rPr>
                <w:rFonts w:eastAsia="Times New Roman" w:cs="Times New Roman"/>
                <w:szCs w:val="24"/>
                <w:lang w:eastAsia="en-GB"/>
              </w:rPr>
              <w:t>&lt; 1</w:t>
            </w:r>
          </w:p>
        </w:tc>
      </w:tr>
    </w:tbl>
    <w:p w14:paraId="66C53E26" w14:textId="507DAE96" w:rsidR="002B70DA" w:rsidRDefault="007C32FE" w:rsidP="001D375E">
      <w:r>
        <w:rPr>
          <w:rFonts w:cs="Times New Roman"/>
          <w:szCs w:val="24"/>
        </w:rPr>
        <w:t xml:space="preserve">From an analysis of the global warming impact of different types of </w:t>
      </w:r>
      <w:r w:rsidR="00A72B6B">
        <w:rPr>
          <w:rFonts w:cs="Times New Roman"/>
          <w:szCs w:val="24"/>
        </w:rPr>
        <w:t xml:space="preserve">fuel-based </w:t>
      </w:r>
      <w:r>
        <w:rPr>
          <w:rFonts w:cs="Times New Roman"/>
          <w:szCs w:val="24"/>
        </w:rPr>
        <w:t>plastics</w:t>
      </w:r>
      <w:r w:rsidR="00A72B6B">
        <w:rPr>
          <w:rFonts w:cs="Times New Roman"/>
          <w:szCs w:val="24"/>
        </w:rPr>
        <w:t xml:space="preserve"> compared to biobased plastics, PMMA appears to be the </w:t>
      </w:r>
      <w:r w:rsidR="0071739C">
        <w:rPr>
          <w:rFonts w:cs="Times New Roman"/>
          <w:szCs w:val="24"/>
        </w:rPr>
        <w:t>polymer</w:t>
      </w:r>
      <w:r w:rsidR="00A72B6B">
        <w:rPr>
          <w:rFonts w:cs="Times New Roman"/>
          <w:szCs w:val="24"/>
        </w:rPr>
        <w:t xml:space="preserve"> with the highe</w:t>
      </w:r>
      <w:r w:rsidR="0071739C">
        <w:rPr>
          <w:rFonts w:cs="Times New Roman"/>
          <w:szCs w:val="24"/>
        </w:rPr>
        <w:t>st</w:t>
      </w:r>
      <w:r w:rsidR="00A72B6B">
        <w:rPr>
          <w:rFonts w:cs="Times New Roman"/>
          <w:szCs w:val="24"/>
        </w:rPr>
        <w:t xml:space="preserve"> </w:t>
      </w:r>
      <w:r w:rsidR="00DD5834">
        <w:rPr>
          <w:rFonts w:cs="Times New Roman"/>
          <w:szCs w:val="24"/>
        </w:rPr>
        <w:t>greenhouse gas emissions (</w:t>
      </w:r>
      <w:r w:rsidR="00DD5834">
        <w:rPr>
          <w:rFonts w:cs="Times New Roman"/>
          <w:szCs w:val="24"/>
        </w:rPr>
        <w:fldChar w:fldCharType="begin"/>
      </w:r>
      <w:r w:rsidR="00DD5834">
        <w:rPr>
          <w:rFonts w:cs="Times New Roman"/>
          <w:szCs w:val="24"/>
        </w:rPr>
        <w:instrText xml:space="preserve"> REF _Ref140514922 \h </w:instrText>
      </w:r>
      <w:r w:rsidR="00DD5834">
        <w:rPr>
          <w:rFonts w:cs="Times New Roman"/>
          <w:szCs w:val="24"/>
        </w:rPr>
      </w:r>
      <w:r w:rsidR="00DD5834">
        <w:rPr>
          <w:rFonts w:cs="Times New Roman"/>
          <w:szCs w:val="24"/>
        </w:rPr>
        <w:fldChar w:fldCharType="separate"/>
      </w:r>
      <w:r w:rsidR="00DD5834">
        <w:t xml:space="preserve">Table </w:t>
      </w:r>
      <w:r w:rsidR="00DD5834">
        <w:rPr>
          <w:noProof/>
        </w:rPr>
        <w:t>3</w:t>
      </w:r>
      <w:r w:rsidR="00DD5834">
        <w:rPr>
          <w:rFonts w:cs="Times New Roman"/>
          <w:szCs w:val="24"/>
        </w:rPr>
        <w:fldChar w:fldCharType="end"/>
      </w:r>
      <w:r w:rsidR="00B169E5">
        <w:rPr>
          <w:rFonts w:cs="Times New Roman"/>
          <w:szCs w:val="24"/>
        </w:rPr>
        <w:t xml:space="preserve">), in contrast with the production of </w:t>
      </w:r>
      <w:r w:rsidR="0071739C">
        <w:rPr>
          <w:rFonts w:cs="Times New Roman"/>
          <w:szCs w:val="24"/>
        </w:rPr>
        <w:t xml:space="preserve">the bio-based </w:t>
      </w:r>
      <w:r w:rsidR="00B76822">
        <w:t>poly L-lactic acid (</w:t>
      </w:r>
      <w:r w:rsidR="00B169E5">
        <w:rPr>
          <w:rFonts w:cs="Times New Roman"/>
          <w:szCs w:val="24"/>
        </w:rPr>
        <w:t>PLLA</w:t>
      </w:r>
      <w:r w:rsidR="00B76822">
        <w:rPr>
          <w:rFonts w:cs="Times New Roman"/>
          <w:szCs w:val="24"/>
        </w:rPr>
        <w:t>)</w:t>
      </w:r>
      <w:r w:rsidR="00DD5834">
        <w:rPr>
          <w:rFonts w:cs="Times New Roman"/>
          <w:szCs w:val="24"/>
        </w:rPr>
        <w:t xml:space="preserve"> </w:t>
      </w:r>
      <w:r w:rsidR="00DD5834">
        <w:rPr>
          <w:rFonts w:cs="Times New Roman"/>
          <w:szCs w:val="24"/>
        </w:rPr>
        <w:fldChar w:fldCharType="begin"/>
      </w:r>
      <w:r w:rsidR="00DD5834">
        <w:rPr>
          <w:rFonts w:cs="Times New Roman"/>
          <w:szCs w:val="24"/>
        </w:rPr>
        <w:instrText xml:space="preserve"> ADDIN ZOTERO_ITEM CSL_CITATION {"citationID":"ULbffWI1","properties":{"formattedCitation":"(Groot and Bor\\uc0\\u233{}n, 2010)","plainCitation":"(Groot and Borén, 2010)","noteIndex":0},"citationItems":[{"id":2272,"uris":["http://zotero.org/users/8691567/items/X7EXF4DU"],"itemData":{"id":2272,"type":"article-journal","abstract":"Background L-lactide is the monomer for the polymer polyL-lactic acid (PLLA). PLLA can be made from renewable resources, and is used in an increasing amount of applications. The biopolymer PLLA is one type of polymer of the family of polylactic acids (PLAs). Purac produces Llactide and D-lactide, and supports partners with know-how to produce their own PLA from lactide. This life cycle assessment (LCA) study supporting market development presents the eco-profile of lactides and PLA biopolymers.","container-title":"The International Journal of Life Cycle Assessment","DOI":"10.1007/s11367-010-0225-y","ISSN":"0948-3349, 1614-7502","issue":"9","journalAbbreviation":"Int J Life Cycle Assess","language":"en","page":"970-984","source":"DOI.org (Crossref)","title":"Life cycle assessment of the manufacture of lactide and PLA biopolymers from sugarcane in Thailand","volume":"15","author":[{"family":"Groot","given":"Wim J."},{"family":"Borén","given":"Tobias"}],"issued":{"date-parts":[["2010",11]]}}}],"schema":"https://github.com/citation-style-language/schema/raw/master/csl-citation.json"} </w:instrText>
      </w:r>
      <w:r w:rsidR="00DD5834">
        <w:rPr>
          <w:rFonts w:cs="Times New Roman"/>
          <w:szCs w:val="24"/>
        </w:rPr>
        <w:fldChar w:fldCharType="separate"/>
      </w:r>
      <w:r w:rsidR="00DD5834" w:rsidRPr="00DD5834">
        <w:rPr>
          <w:rFonts w:cs="Times New Roman"/>
          <w:szCs w:val="24"/>
        </w:rPr>
        <w:t>(Groot and Borén, 2010)</w:t>
      </w:r>
      <w:r w:rsidR="00DD5834">
        <w:rPr>
          <w:rFonts w:cs="Times New Roman"/>
          <w:szCs w:val="24"/>
        </w:rPr>
        <w:fldChar w:fldCharType="end"/>
      </w:r>
      <w:r w:rsidR="00DD5834">
        <w:rPr>
          <w:rFonts w:cs="Times New Roman"/>
          <w:szCs w:val="24"/>
        </w:rPr>
        <w:t>.</w:t>
      </w:r>
      <w:r w:rsidR="00BD2915">
        <w:rPr>
          <w:rFonts w:cs="Times New Roman"/>
          <w:szCs w:val="24"/>
        </w:rPr>
        <w:t xml:space="preserve"> </w:t>
      </w:r>
      <w:r w:rsidR="0069082C">
        <w:rPr>
          <w:rFonts w:cs="Times New Roman"/>
          <w:szCs w:val="24"/>
        </w:rPr>
        <w:t xml:space="preserve">Posen </w:t>
      </w:r>
      <w:r w:rsidR="0069082C" w:rsidRPr="0069082C">
        <w:rPr>
          <w:rFonts w:cs="Times New Roman"/>
          <w:i/>
          <w:iCs/>
          <w:szCs w:val="24"/>
        </w:rPr>
        <w:t>et al.</w:t>
      </w:r>
      <w:r w:rsidR="0069082C">
        <w:rPr>
          <w:rFonts w:cs="Times New Roman"/>
          <w:szCs w:val="24"/>
        </w:rPr>
        <w:t xml:space="preserve"> </w:t>
      </w:r>
      <w:r w:rsidR="00346F5C">
        <w:rPr>
          <w:rFonts w:cs="Times New Roman"/>
          <w:szCs w:val="24"/>
        </w:rPr>
        <w:fldChar w:fldCharType="begin"/>
      </w:r>
      <w:r w:rsidR="00346F5C">
        <w:rPr>
          <w:rFonts w:cs="Times New Roman"/>
          <w:szCs w:val="24"/>
        </w:rPr>
        <w:instrText xml:space="preserve"> ADDIN ZOTERO_ITEM CSL_CITATION {"citationID":"Cbv8Wppc","properties":{"formattedCitation":"(Posen et al., 2017)","plainCitation":"(Posen et al., 2017)","noteIndex":0},"citationItems":[{"id":2283,"uris":["http://zotero.org/users/8691567/items/32MCSC4X"],"itemData":{"id":2283,"type":"article-journal","abstract":"Plastics production is responsible for 1% and 3% of U.S. greenhouse gas (GHG) emissions and primary energy use, respectively. Replacing conventional plastics with bio-based plastics (made from renewable feedstocks) is frequently proposed as a way to mitigate these impacts. Comparatively little research has considered the potential for green energy to reduce emissions in this industry. This paper compares two strategies for reducing greenhouse gas emissions from U.S. plastics production: using renewable energy or switching to renewable feedstocks. Renewable energy pathways assume all process energy comes from wind power and renewable natural gas derived from landﬁll gas. Renewable feedstock pathways assume that all commodity thermoplastics will be replaced with polylactic acid (PLA) and bioethylene-based plastics, made using either corn or switchgrass, and powered using either conventional or renewable energy. Corn-based biopolymers produced with conventional energy are the dominant near-term biopolymer option, and can reduce industry-wide GHG emissions by 25%, or 16 million tonnes CO2e/year (mean value). In contrast, switching to renewable energy cuts GHG emissions by 50%–75% (a mean industry-wide reduction of 38 million tonnes CO2e/year). Both strategies increase industry costs—by up to $85/tonne plastic (mean result) for renewable energy, and up to $3000 tonneÀ1 plastic for renewable feedstocks. Overall, switching to renewable energy achieves greater emission reductions, with less uncertainty and lower costs than switching to corn-based biopolymers. In the long run, producing bio-based plastics from advanced feedstocks (e.g. switchgrass) and/or with renewable energy can further reduce emissions, to approximately 0 CO2e/year (mean value).","container-title":"Environmental Research Letters","DOI":"10.1088/1748-9326/aa60a7","ISSN":"1748-9326","issue":"3","journalAbbreviation":"Environ. Res. Lett.","language":"en","page":"034024","source":"DOI.org (Crossref)","title":"Greenhouse gas mitigation for U.S. plastics production: energy first, feedstocks later","title-short":"Greenhouse gas mitigation for U.S. plastics production","volume":"12","author":[{"family":"Posen","given":"I Daniel"},{"family":"Jaramillo","given":"Paulina"},{"family":"Landis","given":"Amy E"},{"family":"Griffin","given":"W Michael"}],"issued":{"date-parts":[["2017",3,1]]}}}],"schema":"https://github.com/citation-style-language/schema/raw/master/csl-citation.json"} </w:instrText>
      </w:r>
      <w:r w:rsidR="00346F5C">
        <w:rPr>
          <w:rFonts w:cs="Times New Roman"/>
          <w:szCs w:val="24"/>
        </w:rPr>
        <w:fldChar w:fldCharType="separate"/>
      </w:r>
      <w:r w:rsidR="00346F5C" w:rsidRPr="00903A62">
        <w:rPr>
          <w:rFonts w:cs="Times New Roman"/>
        </w:rPr>
        <w:t>(Posen et al., 2017)</w:t>
      </w:r>
      <w:r w:rsidR="00346F5C">
        <w:rPr>
          <w:rFonts w:cs="Times New Roman"/>
          <w:szCs w:val="24"/>
        </w:rPr>
        <w:fldChar w:fldCharType="end"/>
      </w:r>
      <w:r w:rsidR="00346F5C">
        <w:rPr>
          <w:rFonts w:cs="Times New Roman"/>
          <w:szCs w:val="24"/>
        </w:rPr>
        <w:t xml:space="preserve"> </w:t>
      </w:r>
      <w:r w:rsidR="00D14BA8">
        <w:rPr>
          <w:rFonts w:cs="Times New Roman"/>
          <w:szCs w:val="24"/>
        </w:rPr>
        <w:t xml:space="preserve">highlight how </w:t>
      </w:r>
      <w:r w:rsidR="0069491C">
        <w:rPr>
          <w:rFonts w:cs="Times New Roman"/>
          <w:szCs w:val="24"/>
        </w:rPr>
        <w:t xml:space="preserve">switching to </w:t>
      </w:r>
      <w:r w:rsidR="00C63B76" w:rsidRPr="00D14BA8">
        <w:rPr>
          <w:rFonts w:cs="Times New Roman"/>
          <w:szCs w:val="24"/>
        </w:rPr>
        <w:t xml:space="preserve">renewable energy </w:t>
      </w:r>
      <w:r w:rsidR="001F07C7">
        <w:rPr>
          <w:rFonts w:cs="Times New Roman"/>
          <w:szCs w:val="24"/>
        </w:rPr>
        <w:t xml:space="preserve">to produce </w:t>
      </w:r>
      <w:r w:rsidR="008E2D63">
        <w:rPr>
          <w:rFonts w:cs="Times New Roman"/>
          <w:szCs w:val="24"/>
        </w:rPr>
        <w:t xml:space="preserve">regular plastics </w:t>
      </w:r>
      <w:r w:rsidR="00C63B76" w:rsidRPr="00D14BA8">
        <w:rPr>
          <w:rFonts w:cs="Times New Roman"/>
          <w:szCs w:val="24"/>
        </w:rPr>
        <w:t xml:space="preserve">can reduce </w:t>
      </w:r>
      <w:r w:rsidR="0097633F">
        <w:rPr>
          <w:rFonts w:cs="Times New Roman"/>
          <w:szCs w:val="24"/>
        </w:rPr>
        <w:t xml:space="preserve">industry-wide </w:t>
      </w:r>
      <w:r w:rsidR="00C63B76" w:rsidRPr="00D14BA8">
        <w:rPr>
          <w:rFonts w:cs="Times New Roman"/>
          <w:szCs w:val="24"/>
        </w:rPr>
        <w:t xml:space="preserve">emissions by 50%–75%, with less cost than </w:t>
      </w:r>
      <w:r w:rsidR="008E2D63">
        <w:rPr>
          <w:rFonts w:cs="Times New Roman"/>
          <w:szCs w:val="24"/>
        </w:rPr>
        <w:t xml:space="preserve">switching to </w:t>
      </w:r>
      <w:r w:rsidR="00C63B76" w:rsidRPr="00D14BA8">
        <w:rPr>
          <w:rFonts w:cs="Times New Roman"/>
          <w:szCs w:val="24"/>
        </w:rPr>
        <w:t>corn-based biopolymers</w:t>
      </w:r>
      <w:r w:rsidR="008E2D63">
        <w:rPr>
          <w:rFonts w:cs="Times New Roman"/>
          <w:szCs w:val="24"/>
        </w:rPr>
        <w:t>, such as PLA</w:t>
      </w:r>
      <w:r w:rsidR="0097633F">
        <w:rPr>
          <w:rFonts w:cs="Times New Roman"/>
          <w:szCs w:val="24"/>
        </w:rPr>
        <w:t>, that would reduce emissions by 25%</w:t>
      </w:r>
      <w:r w:rsidR="0079162C">
        <w:rPr>
          <w:rFonts w:cs="Times New Roman"/>
          <w:szCs w:val="24"/>
        </w:rPr>
        <w:t xml:space="preserve"> (</w:t>
      </w:r>
      <w:r w:rsidR="0079162C">
        <w:rPr>
          <w:rFonts w:cs="Times New Roman"/>
          <w:szCs w:val="24"/>
        </w:rPr>
        <w:fldChar w:fldCharType="begin"/>
      </w:r>
      <w:r w:rsidR="0079162C">
        <w:rPr>
          <w:rFonts w:cs="Times New Roman"/>
          <w:szCs w:val="24"/>
        </w:rPr>
        <w:instrText xml:space="preserve"> REF _Ref140514307 \h </w:instrText>
      </w:r>
      <w:r w:rsidR="0079162C">
        <w:rPr>
          <w:rFonts w:cs="Times New Roman"/>
          <w:szCs w:val="24"/>
        </w:rPr>
      </w:r>
      <w:r w:rsidR="0079162C">
        <w:rPr>
          <w:rFonts w:cs="Times New Roman"/>
          <w:szCs w:val="24"/>
        </w:rPr>
        <w:fldChar w:fldCharType="separate"/>
      </w:r>
      <w:r w:rsidR="0079162C">
        <w:t xml:space="preserve">Table </w:t>
      </w:r>
      <w:r w:rsidR="0079162C">
        <w:rPr>
          <w:noProof/>
        </w:rPr>
        <w:t>4</w:t>
      </w:r>
      <w:r w:rsidR="0079162C">
        <w:rPr>
          <w:rFonts w:cs="Times New Roman"/>
          <w:szCs w:val="24"/>
        </w:rPr>
        <w:fldChar w:fldCharType="end"/>
      </w:r>
      <w:r w:rsidR="0079162C">
        <w:rPr>
          <w:rFonts w:cs="Times New Roman"/>
          <w:szCs w:val="24"/>
        </w:rPr>
        <w:t>)</w:t>
      </w:r>
      <w:r w:rsidR="00C63B76">
        <w:rPr>
          <w:rFonts w:cs="Times New Roman"/>
          <w:szCs w:val="24"/>
        </w:rPr>
        <w:t>.</w:t>
      </w:r>
      <w:r w:rsidR="00C37A89">
        <w:rPr>
          <w:rFonts w:cs="Times New Roman"/>
          <w:szCs w:val="24"/>
        </w:rPr>
        <w:t xml:space="preserve"> I</w:t>
      </w:r>
      <w:r w:rsidR="00C37A89" w:rsidRPr="00C37A89">
        <w:rPr>
          <w:rFonts w:cs="Times New Roman"/>
          <w:szCs w:val="24"/>
        </w:rPr>
        <w:t xml:space="preserve">n the long term, </w:t>
      </w:r>
      <w:r w:rsidR="006B4B15">
        <w:rPr>
          <w:rFonts w:cs="Times New Roman"/>
          <w:szCs w:val="24"/>
        </w:rPr>
        <w:t xml:space="preserve">both </w:t>
      </w:r>
      <w:r w:rsidR="00C37A89" w:rsidRPr="00C37A89">
        <w:rPr>
          <w:rFonts w:cs="Times New Roman"/>
          <w:szCs w:val="24"/>
        </w:rPr>
        <w:t>advanced feedstocks</w:t>
      </w:r>
      <w:r w:rsidR="008154FA">
        <w:rPr>
          <w:rFonts w:cs="Times New Roman"/>
          <w:szCs w:val="24"/>
        </w:rPr>
        <w:t xml:space="preserve">, </w:t>
      </w:r>
      <w:r w:rsidR="00C37A89" w:rsidRPr="00C37A89">
        <w:rPr>
          <w:rFonts w:cs="Times New Roman"/>
          <w:szCs w:val="24"/>
        </w:rPr>
        <w:t>e.g.</w:t>
      </w:r>
      <w:r w:rsidR="008154FA">
        <w:rPr>
          <w:rFonts w:cs="Times New Roman"/>
          <w:szCs w:val="24"/>
        </w:rPr>
        <w:t>,</w:t>
      </w:r>
      <w:r w:rsidR="00C37A89" w:rsidRPr="00C37A89">
        <w:rPr>
          <w:rFonts w:cs="Times New Roman"/>
          <w:szCs w:val="24"/>
        </w:rPr>
        <w:t xml:space="preserve"> switchgrass</w:t>
      </w:r>
      <w:r w:rsidR="00642F77">
        <w:rPr>
          <w:rFonts w:cs="Times New Roman"/>
          <w:szCs w:val="24"/>
        </w:rPr>
        <w:t>,</w:t>
      </w:r>
      <w:r w:rsidR="00C37A89" w:rsidRPr="00C37A89">
        <w:rPr>
          <w:rFonts w:cs="Times New Roman"/>
          <w:szCs w:val="24"/>
        </w:rPr>
        <w:t xml:space="preserve"> and</w:t>
      </w:r>
      <w:r w:rsidR="006B4B15">
        <w:rPr>
          <w:rFonts w:cs="Times New Roman"/>
          <w:szCs w:val="24"/>
        </w:rPr>
        <w:t xml:space="preserve"> </w:t>
      </w:r>
      <w:r w:rsidR="00C37A89" w:rsidRPr="00C37A89">
        <w:rPr>
          <w:rFonts w:cs="Times New Roman"/>
          <w:szCs w:val="24"/>
        </w:rPr>
        <w:t xml:space="preserve"> renewable energy can make bio-based plastics almost carbon-neutral.</w:t>
      </w:r>
      <w:r w:rsidR="00EE3009">
        <w:rPr>
          <w:rFonts w:cs="Times New Roman"/>
          <w:szCs w:val="24"/>
        </w:rPr>
        <w:t xml:space="preserve"> </w:t>
      </w:r>
      <w:r w:rsidR="00BD2915">
        <w:rPr>
          <w:rFonts w:cs="Times New Roman"/>
          <w:szCs w:val="24"/>
        </w:rPr>
        <w:t>Nevertheless</w:t>
      </w:r>
      <w:r w:rsidR="00642F77">
        <w:rPr>
          <w:rFonts w:cs="Times New Roman"/>
          <w:szCs w:val="24"/>
        </w:rPr>
        <w:t>,</w:t>
      </w:r>
      <w:r w:rsidR="00EE3009" w:rsidRPr="00EE3009">
        <w:rPr>
          <w:rFonts w:cs="Times New Roman"/>
          <w:szCs w:val="24"/>
        </w:rPr>
        <w:t xml:space="preserve"> bio-based products </w:t>
      </w:r>
      <w:r w:rsidR="00BD2915">
        <w:rPr>
          <w:rFonts w:cs="Times New Roman"/>
          <w:szCs w:val="24"/>
        </w:rPr>
        <w:t xml:space="preserve">also negatively </w:t>
      </w:r>
      <w:r w:rsidR="00FC1254">
        <w:rPr>
          <w:rFonts w:cs="Times New Roman"/>
          <w:szCs w:val="24"/>
        </w:rPr>
        <w:t>impact</w:t>
      </w:r>
      <w:r w:rsidR="00EE3009" w:rsidRPr="00EE3009">
        <w:rPr>
          <w:rFonts w:cs="Times New Roman"/>
          <w:szCs w:val="24"/>
        </w:rPr>
        <w:t xml:space="preserve"> ozone depletion, acidification, eutrophication, water use, and food security, due to their reliance on agriculture</w:t>
      </w:r>
      <w:r w:rsidR="00CB3C37" w:rsidRPr="00035C0D">
        <w:rPr>
          <w:rFonts w:cs="Times New Roman"/>
          <w:szCs w:val="24"/>
        </w:rPr>
        <w:t xml:space="preserve"> </w:t>
      </w:r>
      <w:r w:rsidR="00FE38C6">
        <w:rPr>
          <w:rFonts w:cs="Times New Roman"/>
          <w:szCs w:val="24"/>
        </w:rPr>
        <w:fldChar w:fldCharType="begin"/>
      </w:r>
      <w:r w:rsidR="004133CB">
        <w:rPr>
          <w:rFonts w:cs="Times New Roman"/>
          <w:szCs w:val="24"/>
        </w:rPr>
        <w:instrText xml:space="preserve"> ADDIN ZOTERO_ITEM CSL_CITATION {"citationID":"M9DdYtc5","properties":{"formattedCitation":"(Posen et al., 2017; Rosenboom et al., 2022; Walker and Rothman, 2020)","plainCitation":"(Posen et al., 2017; Rosenboom et al., 2022; Walker and Rothman, 2020)","noteIndex":0},"citationItems":[{"id":2283,"uris":["http://zotero.org/users/8691567/items/32MCSC4X"],"itemData":{"id":2283,"type":"article-journal","abstract":"Plastics production is responsible for 1% and 3% of U.S. greenhouse gas (GHG) emissions and primary energy use, respectively. Replacing conventional plastics with bio-based plastics (made from renewable feedstocks) is frequently proposed as a way to mitigate these impacts. Comparatively little research has considered the potential for green energy to reduce emissions in this industry. This paper compares two strategies for reducing greenhouse gas emissions from U.S. plastics production: using renewable energy or switching to renewable feedstocks. Renewable energy pathways assume all process energy comes from wind power and renewable natural gas derived from landﬁll gas. Renewable feedstock pathways assume that all commodity thermoplastics will be replaced with polylactic acid (PLA) and bioethylene-based plastics, made using either corn or switchgrass, and powered using either conventional or renewable energy. Corn-based biopolymers produced with conventional energy are the dominant near-term biopolymer option, and can reduce industry-wide GHG emissions by 25%, or 16 million tonnes CO2e/year (mean value). In contrast, switching to renewable energy cuts GHG emissions by 50%–75% (a mean industry-wide reduction of 38 million tonnes CO2e/year). Both strategies increase industry costs—by up to $85/tonne plastic (mean result) for renewable energy, and up to $3000 tonneÀ1 plastic for renewable feedstocks. Overall, switching to renewable energy achieves greater emission reductions, with less uncertainty and lower costs than switching to corn-based biopolymers. In the long run, producing bio-based plastics from advanced feedstocks (e.g. switchgrass) and/or with renewable energy can further reduce emissions, to approximately 0 CO2e/year (mean value).","container-title":"Environmental Research Letters","DOI":"10.1088/1748-9326/aa60a7","ISSN":"1748-9326","issue":"3","journalAbbreviation":"Environ. Res. Lett.","language":"en","page":"034024","source":"DOI.org (Crossref)","title":"Greenhouse gas mitigation for U.S. plastics production: energy first, feedstocks later","title-short":"Greenhouse gas mitigation for U.S. plastics production","volume":"12","author":[{"family":"Posen","given":"I Daniel"},{"family":"Jaramillo","given":"Paulina"},{"family":"Landis","given":"Amy E"},{"family":"Griffin","given":"W Michael"}],"issued":{"date-parts":[["2017",3,1]]}}},{"id":1758,"uris":["http://zotero.org/users/8691567/items/64K4GLPG"],"itemData":{"id":1758,"type":"article-journal","container-title":"Nature Reviews Materials","DOI":"10.1038/s41578-021-00407-8","ISSN":"2058-8437","issue":"2","journalAbbreviation":"Nat Rev Mater","language":"en","page":"117-137","source":"DOI.org (Crossref)","title":"Bioplastics for a circular economy","volume":"7","author":[{"family":"Rosenboom","given":"Jan-Georg"},{"family":"Langer","given":"Robert"},{"family":"Traverso","given":"Giovanni"}],"issued":{"date-parts":[["2022",1,20]]}}},{"id":2095,"uris":["http://zotero.org/users/8691567/items/LW2YNBEP"],"itemData":{"id":2095,"type":"article-journal","abstract":"This review assesses the state-of-the-art in comparative Life Cycle Assessment of fossil-based and biobased polymers. Published assessments are critically reviewed and compared to the European Union Product Environmental Footprint (EU PEF) standards. No published articles were found to fully meet the standards, but the critical review method was used to classify the articles by their level of compliance. 25 articles partially met the PEF standards, giving 39 fossil-based and 50 bio-based polymer case results. Ultimately, it was possible to compare seven bio-based polymers and seven fossil-based polymers across seven impact categories (energy use, ecotoxicity, acidiﬁcation, eutrophication, climate change, particulate matter formation and ozone depletion). Signiﬁcant variation was found between polymer types and between fossil-based and bio-based polymers, meaning it was not possible to conclusively declare any polymer type as having the least environmental impact in any category. Signiﬁcant variation was also seen between different studies of the same polymer, for both fossil-based and bio-based polymers. In some cases this variation was of the order of 400%. Results suggest that a large part of this variation is related to the Life Cycle Assessment methodologies applied, particularly in the end-of-life treatment, the use of credits for absorbed Carbon Dioxide, and the allocation of multifunctional process impacts. The feedstock source and processing method assumed for bio-based polymers were also major sources of variation. The challenges of Life Cycle Assessment, particularly in a complex, geographically diverse and young industry like bio-based polymers, are recognised. It is proposed that the PEF standards should be adopted more widely in order to homogenise the methods used and allow meaningful comparison between LCA studies on fossil-based and bio-based polymers, and between studies of the same polymers.","container-title":"Journal of Cleaner Production","DOI":"10.1016/j.jclepro.2020.121158","ISSN":"09596526","journalAbbreviation":"Journal of Cleaner Production","language":"en","page":"121158","source":"DOI.org (Crossref)","title":"Life cycle assessment of bio-based and fossil-based plastic: A review","title-short":"Life cycle assessment of bio-based and fossil-based plastic","volume":"261","author":[{"family":"Walker","given":"S."},{"family":"Rothman","given":"R."}],"issued":{"date-parts":[["2020",7]]}}}],"schema":"https://github.com/citation-style-language/schema/raw/master/csl-citation.json"} </w:instrText>
      </w:r>
      <w:r w:rsidR="00FE38C6">
        <w:rPr>
          <w:rFonts w:cs="Times New Roman"/>
          <w:szCs w:val="24"/>
        </w:rPr>
        <w:fldChar w:fldCharType="separate"/>
      </w:r>
      <w:r w:rsidR="004133CB" w:rsidRPr="004133CB">
        <w:rPr>
          <w:rFonts w:cs="Times New Roman"/>
        </w:rPr>
        <w:t>(Posen et al., 2017; Rosenboom et al., 2022; Walker and Rothman, 2020)</w:t>
      </w:r>
      <w:r w:rsidR="00FE38C6">
        <w:rPr>
          <w:rFonts w:cs="Times New Roman"/>
          <w:szCs w:val="24"/>
        </w:rPr>
        <w:fldChar w:fldCharType="end"/>
      </w:r>
      <w:r w:rsidR="00FE38C6">
        <w:rPr>
          <w:rFonts w:cs="Times New Roman"/>
          <w:szCs w:val="24"/>
        </w:rPr>
        <w:t>.</w:t>
      </w:r>
      <w:r w:rsidR="003B58E6">
        <w:rPr>
          <w:rFonts w:cs="Times New Roman"/>
          <w:szCs w:val="24"/>
        </w:rPr>
        <w:t xml:space="preserve"> </w:t>
      </w:r>
    </w:p>
    <w:p w14:paraId="236D3BED" w14:textId="209C9225" w:rsidR="00487F7A" w:rsidRPr="0067559D" w:rsidRDefault="00B741FA" w:rsidP="00487F7A">
      <w:pPr>
        <w:pStyle w:val="Caption"/>
        <w:rPr>
          <w:b w:val="0"/>
          <w:bCs w:val="0"/>
        </w:rPr>
      </w:pPr>
      <w:bookmarkStart w:id="2" w:name="_Ref140514922"/>
      <w:r>
        <w:t xml:space="preserve">Supplementary </w:t>
      </w:r>
      <w:r w:rsidR="00487F7A">
        <w:t xml:space="preserve">Table </w:t>
      </w:r>
      <w:fldSimple w:instr=" SEQ Table \* ARABIC ">
        <w:r w:rsidR="0015710A">
          <w:rPr>
            <w:noProof/>
          </w:rPr>
          <w:t>3</w:t>
        </w:r>
      </w:fldSimple>
      <w:bookmarkEnd w:id="2"/>
      <w:r w:rsidR="00487F7A">
        <w:t>.</w:t>
      </w:r>
      <w:r w:rsidR="00487F7A" w:rsidRPr="00E4024C">
        <w:rPr>
          <w:b w:val="0"/>
          <w:bCs w:val="0"/>
        </w:rPr>
        <w:t xml:space="preserve"> </w:t>
      </w:r>
      <w:r w:rsidR="00DE42D2" w:rsidRPr="00E4024C">
        <w:rPr>
          <w:b w:val="0"/>
          <w:bCs w:val="0"/>
        </w:rPr>
        <w:t>CO</w:t>
      </w:r>
      <w:r w:rsidR="00DE42D2" w:rsidRPr="00E4024C">
        <w:rPr>
          <w:b w:val="0"/>
          <w:bCs w:val="0"/>
          <w:vertAlign w:val="subscript"/>
        </w:rPr>
        <w:t>2</w:t>
      </w:r>
      <w:r w:rsidR="00E4024C" w:rsidRPr="00E4024C">
        <w:rPr>
          <w:b w:val="0"/>
          <w:bCs w:val="0"/>
        </w:rPr>
        <w:t xml:space="preserve"> emissions</w:t>
      </w:r>
      <w:r w:rsidR="00E4024C">
        <w:rPr>
          <w:b w:val="0"/>
          <w:bCs w:val="0"/>
        </w:rPr>
        <w:t xml:space="preserve"> </w:t>
      </w:r>
      <w:r w:rsidR="0068796B">
        <w:rPr>
          <w:b w:val="0"/>
          <w:bCs w:val="0"/>
        </w:rPr>
        <w:t xml:space="preserve">analysis of the production and incineration phase of </w:t>
      </w:r>
      <w:r w:rsidR="0068796B" w:rsidRPr="0067559D">
        <w:rPr>
          <w:b w:val="0"/>
          <w:bCs w:val="0"/>
        </w:rPr>
        <w:t>polymers</w:t>
      </w:r>
      <w:r w:rsidR="00E80534">
        <w:rPr>
          <w:b w:val="0"/>
          <w:bCs w:val="0"/>
        </w:rPr>
        <w:t>, adapted from</w:t>
      </w:r>
      <w:r w:rsidR="0067559D" w:rsidRPr="0067559D">
        <w:rPr>
          <w:b w:val="0"/>
          <w:bCs w:val="0"/>
        </w:rPr>
        <w:t xml:space="preserve"> </w:t>
      </w:r>
      <w:r w:rsidR="0067559D" w:rsidRPr="0067559D">
        <w:rPr>
          <w:b w:val="0"/>
          <w:bCs w:val="0"/>
        </w:rPr>
        <w:fldChar w:fldCharType="begin"/>
      </w:r>
      <w:r w:rsidR="0067559D" w:rsidRPr="0067559D">
        <w:rPr>
          <w:b w:val="0"/>
          <w:bCs w:val="0"/>
        </w:rPr>
        <w:instrText xml:space="preserve"> ADDIN ZOTERO_ITEM CSL_CITATION {"citationID":"zuQtqSZV","properties":{"formattedCitation":"(Groot and Bor\\uc0\\u233{}n, 2010)","plainCitation":"(Groot and Borén, 2010)","noteIndex":0},"citationItems":[{"id":2272,"uris":["http://zotero.org/users/8691567/items/X7EXF4DU"],"itemData":{"id":2272,"type":"article-journal","abstract":"Background L-lactide is the monomer for the polymer polyL-lactic acid (PLLA). PLLA can be made from renewable resources, and is used in an increasing amount of applications. The biopolymer PLLA is one type of polymer of the family of polylactic acids (PLAs). Purac produces Llactide and D-lactide, and supports partners with know-how to produce their own PLA from lactide. This life cycle assessment (LCA) study supporting market development presents the eco-profile of lactides and PLA biopolymers.","container-title":"The International Journal of Life Cycle Assessment","DOI":"10.1007/s11367-010-0225-y","ISSN":"0948-3349, 1614-7502","issue":"9","journalAbbreviation":"Int J Life Cycle Assess","language":"en","page":"970-984","source":"DOI.org (Crossref)","title":"Life cycle assessment of the manufacture of lactide and PLA biopolymers from sugarcane in Thailand","volume":"15","author":[{"family":"Groot","given":"Wim J."},{"family":"Borén","given":"Tobias"}],"issued":{"date-parts":[["2010",11]]}}}],"schema":"https://github.com/citation-style-language/schema/raw/master/csl-citation.json"} </w:instrText>
      </w:r>
      <w:r w:rsidR="0067559D" w:rsidRPr="0067559D">
        <w:rPr>
          <w:b w:val="0"/>
          <w:bCs w:val="0"/>
        </w:rPr>
        <w:fldChar w:fldCharType="separate"/>
      </w:r>
      <w:r w:rsidR="0067559D" w:rsidRPr="0067559D">
        <w:rPr>
          <w:b w:val="0"/>
          <w:bCs w:val="0"/>
        </w:rPr>
        <w:t>(Groot and Borén, 2010)</w:t>
      </w:r>
      <w:r w:rsidR="0067559D" w:rsidRPr="0067559D">
        <w:rPr>
          <w:b w:val="0"/>
          <w:bCs w:val="0"/>
        </w:rPr>
        <w:fldChar w:fldCharType="end"/>
      </w:r>
      <w:r w:rsidR="0068796B" w:rsidRPr="0067559D">
        <w:rPr>
          <w:b w:val="0"/>
          <w:bCs w:val="0"/>
        </w:rPr>
        <w:t>.</w:t>
      </w:r>
      <w:r w:rsidR="003877CC">
        <w:rPr>
          <w:b w:val="0"/>
          <w:bCs w:val="0"/>
        </w:rPr>
        <w:t xml:space="preserve"> Functional unit: </w:t>
      </w:r>
      <w:r w:rsidR="007B2007">
        <w:rPr>
          <w:b w:val="0"/>
          <w:bCs w:val="0"/>
        </w:rPr>
        <w:t xml:space="preserve">1 </w:t>
      </w:r>
      <w:r w:rsidR="00851CE8">
        <w:rPr>
          <w:b w:val="0"/>
          <w:bCs w:val="0"/>
        </w:rPr>
        <w:t>ton</w:t>
      </w:r>
      <w:r w:rsidR="007B2007">
        <w:rPr>
          <w:b w:val="0"/>
          <w:bCs w:val="0"/>
        </w:rPr>
        <w:t xml:space="preserve"> of material at the factory gate in Thailand.</w:t>
      </w:r>
    </w:p>
    <w:tbl>
      <w:tblPr>
        <w:tblStyle w:val="TableGrid"/>
        <w:tblW w:w="0" w:type="auto"/>
        <w:tblLook w:val="04A0" w:firstRow="1" w:lastRow="0" w:firstColumn="1" w:lastColumn="0" w:noHBand="0" w:noVBand="1"/>
      </w:tblPr>
      <w:tblGrid>
        <w:gridCol w:w="3137"/>
        <w:gridCol w:w="3263"/>
        <w:gridCol w:w="3367"/>
      </w:tblGrid>
      <w:tr w:rsidR="00C40947" w14:paraId="0C91EFCA" w14:textId="77777777" w:rsidTr="0099607B">
        <w:tc>
          <w:tcPr>
            <w:tcW w:w="3137" w:type="dxa"/>
          </w:tcPr>
          <w:p w14:paraId="37EE3696" w14:textId="77777777" w:rsidR="00C40947" w:rsidRDefault="00C40947" w:rsidP="002B70DA">
            <w:pPr>
              <w:spacing w:before="0" w:after="0" w:line="259" w:lineRule="auto"/>
            </w:pPr>
          </w:p>
        </w:tc>
        <w:tc>
          <w:tcPr>
            <w:tcW w:w="6630" w:type="dxa"/>
            <w:gridSpan w:val="2"/>
          </w:tcPr>
          <w:p w14:paraId="652CE900" w14:textId="77777777" w:rsidR="005A069A" w:rsidRDefault="00C40947" w:rsidP="00C40947">
            <w:pPr>
              <w:spacing w:before="0" w:after="0"/>
              <w:jc w:val="center"/>
              <w:rPr>
                <w:rFonts w:cs="Times New Roman"/>
                <w:szCs w:val="24"/>
              </w:rPr>
            </w:pPr>
            <w:r>
              <w:rPr>
                <w:rFonts w:cs="Times New Roman"/>
                <w:szCs w:val="24"/>
              </w:rPr>
              <w:t>Carbon footprint</w:t>
            </w:r>
          </w:p>
          <w:p w14:paraId="437C2486" w14:textId="10AC9562" w:rsidR="00C40947" w:rsidRDefault="00DE42D2" w:rsidP="00C40947">
            <w:pPr>
              <w:spacing w:before="0" w:after="0"/>
              <w:jc w:val="center"/>
            </w:pPr>
            <w:r>
              <w:rPr>
                <w:rFonts w:cs="Times New Roman"/>
                <w:szCs w:val="24"/>
              </w:rPr>
              <w:t>Kg CO</w:t>
            </w:r>
            <w:r w:rsidRPr="00FA0062">
              <w:rPr>
                <w:rFonts w:cs="Times New Roman"/>
                <w:szCs w:val="24"/>
                <w:vertAlign w:val="subscript"/>
              </w:rPr>
              <w:t>2</w:t>
            </w:r>
            <w:r>
              <w:rPr>
                <w:rFonts w:cs="Times New Roman"/>
                <w:szCs w:val="24"/>
              </w:rPr>
              <w:t>-eq</w:t>
            </w:r>
            <w:r w:rsidR="00C40947">
              <w:t>/kg plastic</w:t>
            </w:r>
          </w:p>
        </w:tc>
      </w:tr>
      <w:tr w:rsidR="00C40947" w14:paraId="46661CCE" w14:textId="77777777" w:rsidTr="00C40947">
        <w:tc>
          <w:tcPr>
            <w:tcW w:w="3137" w:type="dxa"/>
          </w:tcPr>
          <w:p w14:paraId="6E0626D0" w14:textId="77777777" w:rsidR="00C40947" w:rsidRDefault="00C40947" w:rsidP="00C40947">
            <w:pPr>
              <w:spacing w:before="0" w:after="0" w:line="259" w:lineRule="auto"/>
            </w:pPr>
          </w:p>
        </w:tc>
        <w:tc>
          <w:tcPr>
            <w:tcW w:w="3263" w:type="dxa"/>
          </w:tcPr>
          <w:p w14:paraId="7D0BE71B" w14:textId="67E62B1F" w:rsidR="00C40947" w:rsidRDefault="00C40947" w:rsidP="00C40947">
            <w:pPr>
              <w:spacing w:before="0" w:after="0"/>
              <w:rPr>
                <w:rFonts w:cs="Times New Roman"/>
                <w:szCs w:val="24"/>
              </w:rPr>
            </w:pPr>
            <w:r>
              <w:t>Production</w:t>
            </w:r>
          </w:p>
        </w:tc>
        <w:tc>
          <w:tcPr>
            <w:tcW w:w="3367" w:type="dxa"/>
          </w:tcPr>
          <w:p w14:paraId="4CADE63A" w14:textId="2DEA023C" w:rsidR="00C40947" w:rsidRDefault="00C40947" w:rsidP="00C40947">
            <w:pPr>
              <w:spacing w:before="0" w:after="0" w:line="259" w:lineRule="auto"/>
            </w:pPr>
            <w:r>
              <w:t>Production and incineration</w:t>
            </w:r>
          </w:p>
        </w:tc>
      </w:tr>
      <w:tr w:rsidR="00D605D8" w14:paraId="0A58C72A" w14:textId="77777777" w:rsidTr="00D31396">
        <w:tc>
          <w:tcPr>
            <w:tcW w:w="3137" w:type="dxa"/>
          </w:tcPr>
          <w:p w14:paraId="7EE22503" w14:textId="77777777" w:rsidR="00D605D8" w:rsidRDefault="00D605D8" w:rsidP="00D31396">
            <w:pPr>
              <w:spacing w:before="0" w:after="0" w:line="259" w:lineRule="auto"/>
            </w:pPr>
            <w:r>
              <w:t>PMMA</w:t>
            </w:r>
          </w:p>
        </w:tc>
        <w:tc>
          <w:tcPr>
            <w:tcW w:w="3263" w:type="dxa"/>
          </w:tcPr>
          <w:p w14:paraId="44B2DE73" w14:textId="77777777" w:rsidR="00D605D8" w:rsidRDefault="00D605D8" w:rsidP="00D31396">
            <w:pPr>
              <w:spacing w:before="0" w:after="0" w:line="259" w:lineRule="auto"/>
            </w:pPr>
            <w:r>
              <w:t>6</w:t>
            </w:r>
          </w:p>
        </w:tc>
        <w:tc>
          <w:tcPr>
            <w:tcW w:w="3367" w:type="dxa"/>
          </w:tcPr>
          <w:p w14:paraId="1D0CAD15" w14:textId="77777777" w:rsidR="00D605D8" w:rsidRDefault="00D605D8" w:rsidP="00D31396">
            <w:pPr>
              <w:spacing w:before="0" w:after="0" w:line="259" w:lineRule="auto"/>
            </w:pPr>
            <w:r>
              <w:t>7.8</w:t>
            </w:r>
          </w:p>
        </w:tc>
      </w:tr>
      <w:tr w:rsidR="002B70DA" w14:paraId="34998E08" w14:textId="77777777" w:rsidTr="00C40947">
        <w:tc>
          <w:tcPr>
            <w:tcW w:w="3137" w:type="dxa"/>
          </w:tcPr>
          <w:p w14:paraId="55A8DA52" w14:textId="4333C432" w:rsidR="002B70DA" w:rsidRDefault="00D341FC" w:rsidP="002B70DA">
            <w:pPr>
              <w:spacing w:before="0" w:after="0" w:line="259" w:lineRule="auto"/>
            </w:pPr>
            <w:r>
              <w:t>Polyethylene (</w:t>
            </w:r>
            <w:r w:rsidR="002B70DA">
              <w:t>PET</w:t>
            </w:r>
            <w:r>
              <w:t>)</w:t>
            </w:r>
          </w:p>
        </w:tc>
        <w:tc>
          <w:tcPr>
            <w:tcW w:w="3263" w:type="dxa"/>
          </w:tcPr>
          <w:p w14:paraId="49CC4FA2" w14:textId="77777777" w:rsidR="002B70DA" w:rsidRDefault="002B70DA" w:rsidP="002B70DA">
            <w:pPr>
              <w:spacing w:before="0" w:after="0" w:line="259" w:lineRule="auto"/>
            </w:pPr>
            <w:r>
              <w:t>3</w:t>
            </w:r>
          </w:p>
        </w:tc>
        <w:tc>
          <w:tcPr>
            <w:tcW w:w="3367" w:type="dxa"/>
          </w:tcPr>
          <w:p w14:paraId="3E17DD82" w14:textId="77777777" w:rsidR="002B70DA" w:rsidRDefault="002B70DA" w:rsidP="002B70DA">
            <w:pPr>
              <w:spacing w:before="0" w:after="0" w:line="259" w:lineRule="auto"/>
            </w:pPr>
            <w:r>
              <w:t>5.2</w:t>
            </w:r>
          </w:p>
        </w:tc>
      </w:tr>
      <w:tr w:rsidR="002B70DA" w14:paraId="38833F9E" w14:textId="77777777" w:rsidTr="00C40947">
        <w:tc>
          <w:tcPr>
            <w:tcW w:w="3137" w:type="dxa"/>
          </w:tcPr>
          <w:p w14:paraId="01EA9F87" w14:textId="6903FD14" w:rsidR="002B70DA" w:rsidRDefault="00941DBC" w:rsidP="002B70DA">
            <w:pPr>
              <w:spacing w:before="0" w:after="0" w:line="259" w:lineRule="auto"/>
            </w:pPr>
            <w:r>
              <w:t>Polystyrene (</w:t>
            </w:r>
            <w:r w:rsidR="002B70DA">
              <w:t>PS</w:t>
            </w:r>
            <w:r>
              <w:t>)</w:t>
            </w:r>
          </w:p>
        </w:tc>
        <w:tc>
          <w:tcPr>
            <w:tcW w:w="3263" w:type="dxa"/>
          </w:tcPr>
          <w:p w14:paraId="20F6B09F" w14:textId="77777777" w:rsidR="002B70DA" w:rsidRDefault="002B70DA" w:rsidP="002B70DA">
            <w:pPr>
              <w:spacing w:before="0" w:after="0" w:line="259" w:lineRule="auto"/>
            </w:pPr>
            <w:r>
              <w:t>2</w:t>
            </w:r>
          </w:p>
        </w:tc>
        <w:tc>
          <w:tcPr>
            <w:tcW w:w="3367" w:type="dxa"/>
          </w:tcPr>
          <w:p w14:paraId="32E28E8B" w14:textId="77777777" w:rsidR="002B70DA" w:rsidRDefault="002B70DA" w:rsidP="002B70DA">
            <w:pPr>
              <w:spacing w:before="0" w:after="0"/>
            </w:pPr>
            <w:r>
              <w:t>5.1</w:t>
            </w:r>
          </w:p>
        </w:tc>
      </w:tr>
      <w:tr w:rsidR="002B70DA" w14:paraId="674AC13F" w14:textId="77777777" w:rsidTr="00515481">
        <w:tc>
          <w:tcPr>
            <w:tcW w:w="3137" w:type="dxa"/>
            <w:tcBorders>
              <w:bottom w:val="single" w:sz="4" w:space="0" w:color="auto"/>
            </w:tcBorders>
          </w:tcPr>
          <w:p w14:paraId="0C5AE985" w14:textId="13628784" w:rsidR="002B70DA" w:rsidRDefault="002B70DA" w:rsidP="002B70DA">
            <w:pPr>
              <w:spacing w:before="0" w:after="0" w:line="259" w:lineRule="auto"/>
            </w:pPr>
            <w:r>
              <w:t>PLLA</w:t>
            </w:r>
            <w:r w:rsidR="00456F99">
              <w:t>*</w:t>
            </w:r>
          </w:p>
        </w:tc>
        <w:tc>
          <w:tcPr>
            <w:tcW w:w="3263" w:type="dxa"/>
            <w:tcBorders>
              <w:bottom w:val="single" w:sz="4" w:space="0" w:color="auto"/>
            </w:tcBorders>
          </w:tcPr>
          <w:p w14:paraId="16BD4AEB" w14:textId="77777777" w:rsidR="002B70DA" w:rsidRDefault="002B70DA" w:rsidP="002B70DA">
            <w:pPr>
              <w:spacing w:before="0" w:after="0" w:line="259" w:lineRule="auto"/>
            </w:pPr>
            <w:r>
              <w:t>0.5</w:t>
            </w:r>
          </w:p>
        </w:tc>
        <w:tc>
          <w:tcPr>
            <w:tcW w:w="3367" w:type="dxa"/>
            <w:tcBorders>
              <w:bottom w:val="single" w:sz="4" w:space="0" w:color="auto"/>
            </w:tcBorders>
          </w:tcPr>
          <w:p w14:paraId="76EFC44D" w14:textId="77777777" w:rsidR="002B70DA" w:rsidRDefault="002B70DA" w:rsidP="002B70DA">
            <w:pPr>
              <w:spacing w:before="0" w:after="0" w:line="259" w:lineRule="auto"/>
            </w:pPr>
            <w:r>
              <w:t>2.2</w:t>
            </w:r>
          </w:p>
        </w:tc>
      </w:tr>
      <w:tr w:rsidR="00364A63" w14:paraId="5D74C97B" w14:textId="77777777" w:rsidTr="00515481">
        <w:tc>
          <w:tcPr>
            <w:tcW w:w="9767" w:type="dxa"/>
            <w:gridSpan w:val="3"/>
            <w:tcBorders>
              <w:left w:val="nil"/>
              <w:bottom w:val="nil"/>
              <w:right w:val="nil"/>
            </w:tcBorders>
          </w:tcPr>
          <w:p w14:paraId="5CE1CCA5" w14:textId="60CFBF48" w:rsidR="00364A63" w:rsidRDefault="00515481" w:rsidP="002B70DA">
            <w:pPr>
              <w:spacing w:before="0" w:after="0" w:line="259" w:lineRule="auto"/>
            </w:pPr>
            <w:r>
              <w:t xml:space="preserve">* PLLA </w:t>
            </w:r>
            <w:r w:rsidR="00572510">
              <w:t>belongs to</w:t>
            </w:r>
            <w:r>
              <w:t xml:space="preserve"> the </w:t>
            </w:r>
            <w:r w:rsidR="00572510">
              <w:t xml:space="preserve">polymer </w:t>
            </w:r>
            <w:r>
              <w:t>family of polylactic acids (PLAs).</w:t>
            </w:r>
          </w:p>
        </w:tc>
      </w:tr>
    </w:tbl>
    <w:p w14:paraId="39E470B8" w14:textId="77777777" w:rsidR="002B70DA" w:rsidRDefault="002B70DA" w:rsidP="002B70DA">
      <w:pPr>
        <w:spacing w:before="0" w:after="0" w:line="259" w:lineRule="auto"/>
      </w:pPr>
    </w:p>
    <w:p w14:paraId="09F6F62F" w14:textId="38977689" w:rsidR="0015710A" w:rsidRPr="002B3E3D" w:rsidRDefault="00B741FA" w:rsidP="0015710A">
      <w:pPr>
        <w:pStyle w:val="Caption"/>
        <w:rPr>
          <w:rFonts w:cstheme="minorBidi"/>
          <w:b w:val="0"/>
          <w:bCs w:val="0"/>
          <w:szCs w:val="22"/>
        </w:rPr>
      </w:pPr>
      <w:bookmarkStart w:id="3" w:name="_Ref140514307"/>
      <w:r>
        <w:lastRenderedPageBreak/>
        <w:t xml:space="preserve">Supplementary </w:t>
      </w:r>
      <w:r w:rsidR="0015710A">
        <w:t xml:space="preserve">Table </w:t>
      </w:r>
      <w:fldSimple w:instr=" SEQ Table \* ARABIC ">
        <w:r w:rsidR="0015710A">
          <w:rPr>
            <w:noProof/>
          </w:rPr>
          <w:t>4</w:t>
        </w:r>
      </w:fldSimple>
      <w:bookmarkEnd w:id="3"/>
      <w:r w:rsidR="00B860D2">
        <w:t>.</w:t>
      </w:r>
      <w:r w:rsidR="0015710A">
        <w:t xml:space="preserve"> </w:t>
      </w:r>
      <w:r w:rsidR="003A59A0" w:rsidRPr="009A1939">
        <w:rPr>
          <w:b w:val="0"/>
          <w:bCs w:val="0"/>
        </w:rPr>
        <w:t xml:space="preserve">Carbon footprint for </w:t>
      </w:r>
      <w:r w:rsidR="009A1939" w:rsidRPr="009A1939">
        <w:rPr>
          <w:b w:val="0"/>
          <w:bCs w:val="0"/>
        </w:rPr>
        <w:t>five main plastic scenarios</w:t>
      </w:r>
      <w:r w:rsidR="00E80534">
        <w:rPr>
          <w:b w:val="0"/>
          <w:bCs w:val="0"/>
        </w:rPr>
        <w:t>, adapted from</w:t>
      </w:r>
      <w:r w:rsidR="009A1939">
        <w:t xml:space="preserve"> </w:t>
      </w:r>
      <w:r w:rsidR="0015710A" w:rsidRPr="00B860D2">
        <w:rPr>
          <w:rFonts w:cstheme="minorBidi"/>
          <w:b w:val="0"/>
          <w:bCs w:val="0"/>
          <w:szCs w:val="22"/>
        </w:rPr>
        <w:fldChar w:fldCharType="begin"/>
      </w:r>
      <w:r w:rsidR="0015710A" w:rsidRPr="00B860D2">
        <w:rPr>
          <w:rFonts w:cstheme="minorBidi"/>
          <w:b w:val="0"/>
          <w:bCs w:val="0"/>
          <w:szCs w:val="22"/>
        </w:rPr>
        <w:instrText xml:space="preserve"> ADDIN ZOTERO_ITEM CSL_CITATION {"citationID":"n6om4kyz","properties":{"formattedCitation":"(Posen et al., 2017)","plainCitation":"(Posen et al., 2017)","noteIndex":0},"citationItems":[{"id":2283,"uris":["http://zotero.org/users/8691567/items/32MCSC4X"],"itemData":{"id":2283,"type":"article-journal","abstract":"Plastics production is responsible for 1% and 3% of U.S. greenhouse gas (GHG) emissions and primary energy use, respectively. Replacing conventional plastics with bio-based plastics (made from renewable feedstocks) is frequently proposed as a way to mitigate these impacts. Comparatively little research has considered the potential for green energy to reduce emissions in this industry. This paper compares two strategies for reducing greenhouse gas emissions from U.S. plastics production: using renewable energy or switching to renewable feedstocks. Renewable energy pathways assume all process energy comes from wind power and renewable natural gas derived from landﬁll gas. Renewable feedstock pathways assume that all commodity thermoplastics will be replaced with polylactic acid (PLA) and bioethylene-based plastics, made using either corn or switchgrass, and powered using either conventional or renewable energy. Corn-based biopolymers produced with conventional energy are the dominant near-term biopolymer option, and can reduce industry-wide GHG emissions by 25%, or 16 million tonnes CO2e/year (mean value). In contrast, switching to renewable energy cuts GHG emissions by 50%–75% (a mean industry-wide reduction of 38 million tonnes CO2e/year). Both strategies increase industry costs—by up to $85/tonne plastic (mean result) for renewable energy, and up to $3000 tonneÀ1 plastic for renewable feedstocks. Overall, switching to renewable energy achieves greater emission reductions, with less uncertainty and lower costs than switching to corn-based biopolymers. In the long run, producing bio-based plastics from advanced feedstocks (e.g. switchgrass) and/or with renewable energy can further reduce emissions, to approximately 0 CO2e/year (mean value).","container-title":"Environmental Research Letters","DOI":"10.1088/1748-9326/aa60a7","ISSN":"1748-9326","issue":"3","journalAbbreviation":"Environ. Res. Lett.","language":"en","page":"034024","source":"DOI.org (Crossref)","title":"Greenhouse gas mitigation for U.S. plastics production: energy first, feedstocks later","title-short":"Greenhouse gas mitigation for U.S. plastics production","volume":"12","author":[{"family":"Posen","given":"I Daniel"},{"family":"Jaramillo","given":"Paulina"},{"family":"Landis","given":"Amy E"},{"family":"Griffin","given":"W Michael"}],"issued":{"date-parts":[["2017",3,1]]}}}],"schema":"https://github.com/citation-style-language/schema/raw/master/csl-citation.json"} </w:instrText>
      </w:r>
      <w:r w:rsidR="0015710A" w:rsidRPr="00B860D2">
        <w:rPr>
          <w:rFonts w:cstheme="minorBidi"/>
          <w:b w:val="0"/>
          <w:bCs w:val="0"/>
          <w:szCs w:val="22"/>
        </w:rPr>
        <w:fldChar w:fldCharType="separate"/>
      </w:r>
      <w:r w:rsidR="0015710A" w:rsidRPr="00B860D2">
        <w:rPr>
          <w:rFonts w:cstheme="minorBidi"/>
          <w:b w:val="0"/>
          <w:bCs w:val="0"/>
          <w:szCs w:val="22"/>
        </w:rPr>
        <w:t>(Posen et al., 2017)</w:t>
      </w:r>
      <w:r w:rsidR="0015710A" w:rsidRPr="00B860D2">
        <w:rPr>
          <w:rFonts w:cstheme="minorBidi"/>
          <w:b w:val="0"/>
          <w:bCs w:val="0"/>
          <w:szCs w:val="22"/>
        </w:rPr>
        <w:fldChar w:fldCharType="end"/>
      </w:r>
      <w:r w:rsidR="009A1939">
        <w:rPr>
          <w:rFonts w:cstheme="minorBidi"/>
          <w:b w:val="0"/>
          <w:bCs w:val="0"/>
          <w:szCs w:val="22"/>
        </w:rPr>
        <w:t>.</w:t>
      </w:r>
      <w:r w:rsidR="002B3E3D">
        <w:rPr>
          <w:rFonts w:cstheme="minorBidi"/>
          <w:b w:val="0"/>
          <w:bCs w:val="0"/>
          <w:szCs w:val="22"/>
        </w:rPr>
        <w:t xml:space="preserve"> </w:t>
      </w:r>
      <w:r w:rsidR="002B3E3D" w:rsidRPr="002B3E3D">
        <w:rPr>
          <w:rFonts w:cstheme="minorBidi"/>
          <w:b w:val="0"/>
          <w:bCs w:val="0"/>
          <w:szCs w:val="22"/>
        </w:rPr>
        <w:t xml:space="preserve">Functional unit: </w:t>
      </w:r>
      <w:r w:rsidR="002B3E3D" w:rsidRPr="002B3E3D">
        <w:rPr>
          <w:b w:val="0"/>
          <w:bCs w:val="0"/>
        </w:rPr>
        <w:t>set of services provided by the U.S. national production of commodity thermoplastics.</w:t>
      </w:r>
    </w:p>
    <w:tbl>
      <w:tblPr>
        <w:tblStyle w:val="TableGrid"/>
        <w:tblW w:w="0" w:type="auto"/>
        <w:tblLook w:val="04A0" w:firstRow="1" w:lastRow="0" w:firstColumn="1" w:lastColumn="0" w:noHBand="0" w:noVBand="1"/>
      </w:tblPr>
      <w:tblGrid>
        <w:gridCol w:w="3266"/>
        <w:gridCol w:w="3396"/>
        <w:gridCol w:w="3105"/>
      </w:tblGrid>
      <w:tr w:rsidR="008360C1" w14:paraId="292DC7D5" w14:textId="39F7DB48" w:rsidTr="008360C1">
        <w:tc>
          <w:tcPr>
            <w:tcW w:w="3266" w:type="dxa"/>
          </w:tcPr>
          <w:p w14:paraId="2185F2CB" w14:textId="77777777" w:rsidR="008360C1" w:rsidRDefault="008360C1" w:rsidP="002B70DA">
            <w:pPr>
              <w:spacing w:before="0" w:after="0" w:line="259" w:lineRule="auto"/>
            </w:pPr>
          </w:p>
        </w:tc>
        <w:tc>
          <w:tcPr>
            <w:tcW w:w="3396" w:type="dxa"/>
          </w:tcPr>
          <w:p w14:paraId="436BD75C" w14:textId="77777777" w:rsidR="008360C1" w:rsidRDefault="008360C1" w:rsidP="00A66949">
            <w:pPr>
              <w:spacing w:before="0" w:after="0"/>
              <w:jc w:val="center"/>
              <w:rPr>
                <w:rFonts w:cs="Times New Roman"/>
                <w:szCs w:val="24"/>
              </w:rPr>
            </w:pPr>
            <w:r>
              <w:rPr>
                <w:rFonts w:cs="Times New Roman"/>
                <w:szCs w:val="24"/>
              </w:rPr>
              <w:t>Carbon footprint</w:t>
            </w:r>
          </w:p>
          <w:p w14:paraId="2AC02A91" w14:textId="593A2CC4" w:rsidR="008360C1" w:rsidRDefault="008360C1" w:rsidP="00A66949">
            <w:pPr>
              <w:spacing w:before="0" w:after="0" w:line="259" w:lineRule="auto"/>
              <w:jc w:val="center"/>
            </w:pPr>
            <w:r>
              <w:rPr>
                <w:rFonts w:cs="Times New Roman"/>
                <w:szCs w:val="24"/>
              </w:rPr>
              <w:t>Kg CO</w:t>
            </w:r>
            <w:r w:rsidRPr="00FA0062">
              <w:rPr>
                <w:rFonts w:cs="Times New Roman"/>
                <w:szCs w:val="24"/>
                <w:vertAlign w:val="subscript"/>
              </w:rPr>
              <w:t>2</w:t>
            </w:r>
            <w:r>
              <w:rPr>
                <w:rFonts w:cs="Times New Roman"/>
                <w:szCs w:val="24"/>
              </w:rPr>
              <w:t>-eq</w:t>
            </w:r>
            <w:r>
              <w:t>/kg plastic</w:t>
            </w:r>
          </w:p>
        </w:tc>
        <w:tc>
          <w:tcPr>
            <w:tcW w:w="3105" w:type="dxa"/>
          </w:tcPr>
          <w:p w14:paraId="55B2799D" w14:textId="4826D56B" w:rsidR="009B466D" w:rsidRDefault="009B466D" w:rsidP="009B466D">
            <w:pPr>
              <w:spacing w:before="0" w:after="0"/>
              <w:jc w:val="center"/>
              <w:rPr>
                <w:rFonts w:cs="Times New Roman"/>
                <w:szCs w:val="24"/>
              </w:rPr>
            </w:pPr>
            <w:r>
              <w:rPr>
                <w:rFonts w:cs="Times New Roman"/>
                <w:szCs w:val="24"/>
              </w:rPr>
              <w:t>Carbon footprint</w:t>
            </w:r>
            <w:r w:rsidR="00557AA0">
              <w:rPr>
                <w:rFonts w:cs="Times New Roman"/>
                <w:szCs w:val="24"/>
              </w:rPr>
              <w:t xml:space="preserve"> with low carbon energy, e.g., wind and </w:t>
            </w:r>
            <w:r w:rsidR="00757605">
              <w:rPr>
                <w:rFonts w:cs="Times New Roman"/>
                <w:szCs w:val="24"/>
              </w:rPr>
              <w:t>renewable natural gas</w:t>
            </w:r>
          </w:p>
          <w:p w14:paraId="74A422BC" w14:textId="3AF060BD" w:rsidR="008360C1" w:rsidRDefault="009B466D" w:rsidP="009B466D">
            <w:pPr>
              <w:spacing w:before="0" w:after="0"/>
              <w:jc w:val="center"/>
              <w:rPr>
                <w:rFonts w:cs="Times New Roman"/>
                <w:szCs w:val="24"/>
              </w:rPr>
            </w:pPr>
            <w:r>
              <w:rPr>
                <w:rFonts w:cs="Times New Roman"/>
                <w:szCs w:val="24"/>
              </w:rPr>
              <w:t>Kg CO</w:t>
            </w:r>
            <w:r w:rsidRPr="00FA0062">
              <w:rPr>
                <w:rFonts w:cs="Times New Roman"/>
                <w:szCs w:val="24"/>
                <w:vertAlign w:val="subscript"/>
              </w:rPr>
              <w:t>2</w:t>
            </w:r>
            <w:r>
              <w:rPr>
                <w:rFonts w:cs="Times New Roman"/>
                <w:szCs w:val="24"/>
              </w:rPr>
              <w:t>-eq</w:t>
            </w:r>
            <w:r>
              <w:t>/kg plastic</w:t>
            </w:r>
          </w:p>
        </w:tc>
      </w:tr>
      <w:tr w:rsidR="00B00FC3" w14:paraId="3F2A683F" w14:textId="77777777" w:rsidTr="00D31396">
        <w:tc>
          <w:tcPr>
            <w:tcW w:w="3266" w:type="dxa"/>
          </w:tcPr>
          <w:p w14:paraId="302B6C50" w14:textId="77777777" w:rsidR="00B00FC3" w:rsidRDefault="00B00FC3" w:rsidP="00D31396">
            <w:pPr>
              <w:spacing w:before="0" w:after="0" w:line="259" w:lineRule="auto"/>
            </w:pPr>
            <w:r>
              <w:t>PS</w:t>
            </w:r>
          </w:p>
        </w:tc>
        <w:tc>
          <w:tcPr>
            <w:tcW w:w="3396" w:type="dxa"/>
          </w:tcPr>
          <w:p w14:paraId="0CE717B3" w14:textId="77777777" w:rsidR="00B00FC3" w:rsidRDefault="00B00FC3" w:rsidP="00D31396">
            <w:pPr>
              <w:spacing w:before="0" w:after="0" w:line="259" w:lineRule="auto"/>
            </w:pPr>
            <w:r>
              <w:t>3.1</w:t>
            </w:r>
          </w:p>
        </w:tc>
        <w:tc>
          <w:tcPr>
            <w:tcW w:w="3105" w:type="dxa"/>
          </w:tcPr>
          <w:p w14:paraId="1884F151" w14:textId="77777777" w:rsidR="00B00FC3" w:rsidRDefault="00B00FC3" w:rsidP="00D31396">
            <w:pPr>
              <w:spacing w:before="0" w:after="0" w:line="259" w:lineRule="auto"/>
            </w:pPr>
            <w:r>
              <w:t>1.6</w:t>
            </w:r>
          </w:p>
        </w:tc>
      </w:tr>
      <w:tr w:rsidR="008360C1" w14:paraId="6C08246F" w14:textId="15B95674" w:rsidTr="008360C1">
        <w:tc>
          <w:tcPr>
            <w:tcW w:w="3266" w:type="dxa"/>
          </w:tcPr>
          <w:p w14:paraId="5C57F0F9" w14:textId="77777777" w:rsidR="008360C1" w:rsidRDefault="008360C1" w:rsidP="002B70DA">
            <w:pPr>
              <w:spacing w:before="0" w:after="0" w:line="259" w:lineRule="auto"/>
            </w:pPr>
            <w:r>
              <w:t>PET</w:t>
            </w:r>
          </w:p>
        </w:tc>
        <w:tc>
          <w:tcPr>
            <w:tcW w:w="3396" w:type="dxa"/>
          </w:tcPr>
          <w:p w14:paraId="34C45BF2" w14:textId="77777777" w:rsidR="008360C1" w:rsidRDefault="008360C1" w:rsidP="002B70DA">
            <w:pPr>
              <w:spacing w:before="0" w:after="0" w:line="259" w:lineRule="auto"/>
            </w:pPr>
            <w:r>
              <w:t>2.4</w:t>
            </w:r>
          </w:p>
        </w:tc>
        <w:tc>
          <w:tcPr>
            <w:tcW w:w="3105" w:type="dxa"/>
          </w:tcPr>
          <w:p w14:paraId="023664B4" w14:textId="33E3A2BE" w:rsidR="008360C1" w:rsidRDefault="00757605" w:rsidP="002B70DA">
            <w:pPr>
              <w:spacing w:before="0" w:after="0" w:line="259" w:lineRule="auto"/>
            </w:pPr>
            <w:r>
              <w:t>1.0</w:t>
            </w:r>
          </w:p>
        </w:tc>
      </w:tr>
      <w:tr w:rsidR="008360C1" w14:paraId="11E2BD52" w14:textId="360B141E" w:rsidTr="008360C1">
        <w:tc>
          <w:tcPr>
            <w:tcW w:w="3266" w:type="dxa"/>
          </w:tcPr>
          <w:p w14:paraId="3C2B8732" w14:textId="77777777" w:rsidR="008360C1" w:rsidRDefault="008360C1" w:rsidP="002B70DA">
            <w:pPr>
              <w:spacing w:before="0" w:after="0" w:line="259" w:lineRule="auto"/>
            </w:pPr>
            <w:r>
              <w:t>PVC</w:t>
            </w:r>
          </w:p>
        </w:tc>
        <w:tc>
          <w:tcPr>
            <w:tcW w:w="3396" w:type="dxa"/>
          </w:tcPr>
          <w:p w14:paraId="6CEE6D44" w14:textId="77777777" w:rsidR="008360C1" w:rsidRDefault="008360C1" w:rsidP="002B70DA">
            <w:pPr>
              <w:spacing w:before="0" w:after="0" w:line="259" w:lineRule="auto"/>
            </w:pPr>
            <w:r>
              <w:t>2.2</w:t>
            </w:r>
          </w:p>
        </w:tc>
        <w:tc>
          <w:tcPr>
            <w:tcW w:w="3105" w:type="dxa"/>
          </w:tcPr>
          <w:p w14:paraId="620F910C" w14:textId="49B7FABD" w:rsidR="008360C1" w:rsidRDefault="00052AFD" w:rsidP="002B70DA">
            <w:pPr>
              <w:spacing w:before="0" w:after="0" w:line="259" w:lineRule="auto"/>
            </w:pPr>
            <w:r>
              <w:t>0.63</w:t>
            </w:r>
          </w:p>
        </w:tc>
      </w:tr>
      <w:tr w:rsidR="008360C1" w14:paraId="6BC234F4" w14:textId="7C3513A8" w:rsidTr="008360C1">
        <w:tc>
          <w:tcPr>
            <w:tcW w:w="3266" w:type="dxa"/>
          </w:tcPr>
          <w:p w14:paraId="4285B0C1" w14:textId="77777777" w:rsidR="008360C1" w:rsidRDefault="008360C1" w:rsidP="002B70DA">
            <w:pPr>
              <w:spacing w:before="0" w:after="0" w:line="259" w:lineRule="auto"/>
            </w:pPr>
            <w:r>
              <w:t>PLA</w:t>
            </w:r>
          </w:p>
        </w:tc>
        <w:tc>
          <w:tcPr>
            <w:tcW w:w="3396" w:type="dxa"/>
          </w:tcPr>
          <w:p w14:paraId="1DDABE46" w14:textId="77777777" w:rsidR="008360C1" w:rsidRDefault="008360C1" w:rsidP="002B70DA">
            <w:pPr>
              <w:spacing w:before="0" w:after="0" w:line="259" w:lineRule="auto"/>
            </w:pPr>
            <w:r>
              <w:t>1.9*</w:t>
            </w:r>
          </w:p>
        </w:tc>
        <w:tc>
          <w:tcPr>
            <w:tcW w:w="3105" w:type="dxa"/>
          </w:tcPr>
          <w:p w14:paraId="1B401270" w14:textId="38550F02" w:rsidR="008360C1" w:rsidRDefault="00052AFD" w:rsidP="002B70DA">
            <w:pPr>
              <w:spacing w:before="0" w:after="0" w:line="259" w:lineRule="auto"/>
            </w:pPr>
            <w:r>
              <w:t>0.09</w:t>
            </w:r>
          </w:p>
        </w:tc>
      </w:tr>
      <w:tr w:rsidR="008360C1" w14:paraId="775568DB" w14:textId="0ACF65CD" w:rsidTr="008360C1">
        <w:tc>
          <w:tcPr>
            <w:tcW w:w="3266" w:type="dxa"/>
            <w:tcBorders>
              <w:bottom w:val="single" w:sz="4" w:space="0" w:color="auto"/>
            </w:tcBorders>
          </w:tcPr>
          <w:p w14:paraId="14767752" w14:textId="77777777" w:rsidR="008360C1" w:rsidRDefault="008360C1" w:rsidP="002B70DA">
            <w:pPr>
              <w:spacing w:before="0" w:after="0" w:line="259" w:lineRule="auto"/>
            </w:pPr>
            <w:r>
              <w:t>Bio-PVC</w:t>
            </w:r>
          </w:p>
        </w:tc>
        <w:tc>
          <w:tcPr>
            <w:tcW w:w="3396" w:type="dxa"/>
            <w:tcBorders>
              <w:bottom w:val="single" w:sz="4" w:space="0" w:color="auto"/>
            </w:tcBorders>
          </w:tcPr>
          <w:p w14:paraId="1FCC2FE0" w14:textId="77777777" w:rsidR="008360C1" w:rsidRDefault="008360C1" w:rsidP="002B70DA">
            <w:pPr>
              <w:spacing w:before="0" w:after="0" w:line="259" w:lineRule="auto"/>
            </w:pPr>
            <w:r>
              <w:t>1.9</w:t>
            </w:r>
          </w:p>
        </w:tc>
        <w:tc>
          <w:tcPr>
            <w:tcW w:w="3105" w:type="dxa"/>
            <w:tcBorders>
              <w:bottom w:val="single" w:sz="4" w:space="0" w:color="auto"/>
            </w:tcBorders>
          </w:tcPr>
          <w:p w14:paraId="5181171A" w14:textId="0447B59F" w:rsidR="008360C1" w:rsidRDefault="00B00FC3" w:rsidP="002B70DA">
            <w:pPr>
              <w:spacing w:before="0" w:after="0" w:line="259" w:lineRule="auto"/>
            </w:pPr>
            <w:r>
              <w:t>1.3</w:t>
            </w:r>
          </w:p>
        </w:tc>
      </w:tr>
      <w:tr w:rsidR="00EC72E3" w14:paraId="6B957526" w14:textId="0B593489" w:rsidTr="00C92375">
        <w:tc>
          <w:tcPr>
            <w:tcW w:w="9767" w:type="dxa"/>
            <w:gridSpan w:val="3"/>
            <w:tcBorders>
              <w:left w:val="nil"/>
              <w:bottom w:val="nil"/>
              <w:right w:val="nil"/>
            </w:tcBorders>
          </w:tcPr>
          <w:p w14:paraId="7841174D" w14:textId="4FD3FEAA" w:rsidR="00EC72E3" w:rsidRDefault="00EC72E3" w:rsidP="002B70DA">
            <w:pPr>
              <w:spacing w:before="0" w:after="0" w:line="259" w:lineRule="auto"/>
            </w:pPr>
            <w:r>
              <w:t>* This figure considers that PLA is landfilled and acts as a carbon sink. If PLA was to be composted, it would release an additional 1.6 kg CO</w:t>
            </w:r>
            <w:r w:rsidR="00811540">
              <w:rPr>
                <w:vertAlign w:val="subscript"/>
              </w:rPr>
              <w:t>2</w:t>
            </w:r>
            <w:r w:rsidR="00811540">
              <w:t>-eq</w:t>
            </w:r>
            <w:r>
              <w:t>/kg plastic.</w:t>
            </w:r>
          </w:p>
        </w:tc>
      </w:tr>
    </w:tbl>
    <w:p w14:paraId="2FFB7487" w14:textId="3D1EB292" w:rsidR="003B011C" w:rsidRDefault="003B011C" w:rsidP="002B4A57">
      <w:pPr>
        <w:rPr>
          <w:rFonts w:cs="Times New Roman"/>
          <w:szCs w:val="24"/>
        </w:rPr>
      </w:pPr>
    </w:p>
    <w:p w14:paraId="5DB54FEF" w14:textId="77777777" w:rsidR="003B011C" w:rsidRDefault="003B011C">
      <w:pPr>
        <w:spacing w:before="0" w:after="200" w:line="276" w:lineRule="auto"/>
        <w:rPr>
          <w:rFonts w:cs="Times New Roman"/>
          <w:szCs w:val="24"/>
        </w:rPr>
      </w:pPr>
      <w:r>
        <w:rPr>
          <w:rFonts w:cs="Times New Roman"/>
          <w:szCs w:val="24"/>
        </w:rPr>
        <w:br w:type="page"/>
      </w:r>
    </w:p>
    <w:p w14:paraId="3519E2CD" w14:textId="77777777" w:rsidR="004831B5" w:rsidRPr="00B4222C" w:rsidRDefault="004831B5" w:rsidP="002B4A57">
      <w:pPr>
        <w:rPr>
          <w:rFonts w:cs="Times New Roman"/>
          <w:szCs w:val="24"/>
        </w:rPr>
      </w:pPr>
    </w:p>
    <w:p w14:paraId="7BE96111" w14:textId="77777777" w:rsidR="004133CB" w:rsidRPr="004133CB" w:rsidRDefault="00A37307" w:rsidP="004133CB">
      <w:pPr>
        <w:pStyle w:val="Bibliography"/>
        <w:rPr>
          <w:rFonts w:cs="Times New Roman"/>
        </w:rPr>
      </w:pPr>
      <w:r>
        <w:fldChar w:fldCharType="begin"/>
      </w:r>
      <w:r>
        <w:instrText xml:space="preserve"> ADDIN ZOTERO_BIBL {"uncited":[],"omitted":[],"custom":[]} CSL_BIBLIOGRAPHY </w:instrText>
      </w:r>
      <w:r>
        <w:fldChar w:fldCharType="separate"/>
      </w:r>
      <w:r w:rsidR="004133CB" w:rsidRPr="004133CB">
        <w:rPr>
          <w:rFonts w:cs="Times New Roman"/>
        </w:rPr>
        <w:t>Cherrett, N., 2005. Ecological footprint and water analysis of cotton, hemp and polyester. Stockholm Environmental Institute, Stockholm.</w:t>
      </w:r>
    </w:p>
    <w:p w14:paraId="433DC495" w14:textId="77777777" w:rsidR="004133CB" w:rsidRPr="004133CB" w:rsidRDefault="004133CB" w:rsidP="004133CB">
      <w:pPr>
        <w:pStyle w:val="Bibliography"/>
        <w:rPr>
          <w:rFonts w:cs="Times New Roman"/>
        </w:rPr>
      </w:pPr>
      <w:r w:rsidRPr="004133CB">
        <w:rPr>
          <w:rFonts w:cs="Times New Roman"/>
        </w:rPr>
        <w:t>Groot, W.J., Borén, T., 2010. Life cycle assessment of the manufacture of lactide and PLA biopolymers from sugarcane in Thailand. Int J Life Cycle Assess 15, 970–984. https://doi.org/10.1007/s11367-010-0225-y</w:t>
      </w:r>
    </w:p>
    <w:p w14:paraId="33AB6843" w14:textId="77777777" w:rsidR="004133CB" w:rsidRPr="004133CB" w:rsidRDefault="004133CB" w:rsidP="004133CB">
      <w:pPr>
        <w:pStyle w:val="Bibliography"/>
        <w:rPr>
          <w:rFonts w:cs="Times New Roman"/>
        </w:rPr>
      </w:pPr>
      <w:r w:rsidRPr="004133CB">
        <w:rPr>
          <w:rFonts w:cs="Times New Roman"/>
        </w:rPr>
        <w:t>Guinée, J.B. (Ed.), 2002. Handbook on life cycle assessment: operational guide to the ISO standards, Eco-efficiency in industry and science. Kluwer Academic Publishers, Dordrecht ; Boston.</w:t>
      </w:r>
    </w:p>
    <w:p w14:paraId="51CBADE7" w14:textId="77777777" w:rsidR="004133CB" w:rsidRPr="004133CB" w:rsidRDefault="004133CB" w:rsidP="004133CB">
      <w:pPr>
        <w:pStyle w:val="Bibliography"/>
        <w:rPr>
          <w:rFonts w:cs="Times New Roman"/>
        </w:rPr>
      </w:pPr>
      <w:r w:rsidRPr="004133CB">
        <w:rPr>
          <w:rFonts w:cs="Times New Roman"/>
        </w:rPr>
        <w:t>Posen, I.D., Jaramillo, P., Landis, A.E., Griffin, W.M., 2017. Greenhouse gas mitigation for U.S. plastics production: energy first, feedstocks later. Environ. Res. Lett. 12, 034024. https://doi.org/10.1088/1748-9326/aa60a7</w:t>
      </w:r>
    </w:p>
    <w:p w14:paraId="0DDB4F69" w14:textId="77777777" w:rsidR="004133CB" w:rsidRPr="004133CB" w:rsidRDefault="004133CB" w:rsidP="004133CB">
      <w:pPr>
        <w:pStyle w:val="Bibliography"/>
        <w:rPr>
          <w:rFonts w:cs="Times New Roman"/>
        </w:rPr>
      </w:pPr>
      <w:r w:rsidRPr="004133CB">
        <w:rPr>
          <w:rFonts w:cs="Times New Roman"/>
        </w:rPr>
        <w:t>Rosenboom, J.-G., Langer, R., Traverso, G., 2022. Bioplastics for a circular economy. Nat Rev Mater 7, 117–137. https://doi.org/10.1038/s41578-021-00407-8</w:t>
      </w:r>
    </w:p>
    <w:p w14:paraId="3182367A" w14:textId="77777777" w:rsidR="004133CB" w:rsidRPr="004133CB" w:rsidRDefault="004133CB" w:rsidP="004133CB">
      <w:pPr>
        <w:pStyle w:val="Bibliography"/>
        <w:rPr>
          <w:rFonts w:cs="Times New Roman"/>
        </w:rPr>
      </w:pPr>
      <w:r w:rsidRPr="004133CB">
        <w:rPr>
          <w:rFonts w:cs="Times New Roman"/>
        </w:rPr>
        <w:t>Schmutz, M., Hischier, R., Som, C., 2021. Factors Allowing Users to Influence the Environmental Performance of Their T-Shirt. Sustainability 13, 2498. https://doi.org/10.3390/su13052498</w:t>
      </w:r>
    </w:p>
    <w:p w14:paraId="6B70BD29" w14:textId="77777777" w:rsidR="004133CB" w:rsidRPr="004133CB" w:rsidRDefault="004133CB" w:rsidP="004133CB">
      <w:pPr>
        <w:pStyle w:val="Bibliography"/>
        <w:rPr>
          <w:rFonts w:cs="Times New Roman"/>
        </w:rPr>
      </w:pPr>
      <w:r w:rsidRPr="004133CB">
        <w:rPr>
          <w:rFonts w:cs="Times New Roman"/>
        </w:rPr>
        <w:t>Walker, S., Rothman, R., 2020. Life cycle assessment of bio-based and fossil-based plastic: A review. Journal of Cleaner Production 261, 121158. https://doi.org/10.1016/j.jclepro.2020.121158</w:t>
      </w:r>
    </w:p>
    <w:p w14:paraId="58F1AED1" w14:textId="5FD02696" w:rsidR="00DE23E8" w:rsidRPr="001549D3" w:rsidRDefault="00A37307" w:rsidP="00654E8F">
      <w:pPr>
        <w:spacing w:before="240"/>
      </w:pPr>
      <w:r>
        <w:fldChar w:fldCharType="end"/>
      </w: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97AA" w14:textId="77777777" w:rsidR="005B1038" w:rsidRDefault="005B1038" w:rsidP="00117666">
      <w:pPr>
        <w:spacing w:after="0"/>
      </w:pPr>
      <w:r>
        <w:separator/>
      </w:r>
    </w:p>
  </w:endnote>
  <w:endnote w:type="continuationSeparator" w:id="0">
    <w:p w14:paraId="69551C38" w14:textId="77777777" w:rsidR="005B1038" w:rsidRDefault="005B103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0023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0023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0023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0023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0023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0023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4AAD" w14:textId="77777777" w:rsidR="005B1038" w:rsidRDefault="005B1038" w:rsidP="00117666">
      <w:pPr>
        <w:spacing w:after="0"/>
      </w:pPr>
      <w:r>
        <w:separator/>
      </w:r>
    </w:p>
  </w:footnote>
  <w:footnote w:type="continuationSeparator" w:id="0">
    <w:p w14:paraId="12BAA8BF" w14:textId="77777777" w:rsidR="005B1038" w:rsidRDefault="005B103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0023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0023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284A"/>
    <w:rsid w:val="00004740"/>
    <w:rsid w:val="0000579A"/>
    <w:rsid w:val="0001436A"/>
    <w:rsid w:val="00034304"/>
    <w:rsid w:val="00035434"/>
    <w:rsid w:val="00035C0D"/>
    <w:rsid w:val="000364BF"/>
    <w:rsid w:val="000439B2"/>
    <w:rsid w:val="00052A14"/>
    <w:rsid w:val="00052AFD"/>
    <w:rsid w:val="000533A0"/>
    <w:rsid w:val="00077D53"/>
    <w:rsid w:val="000835BB"/>
    <w:rsid w:val="000B6712"/>
    <w:rsid w:val="000B789E"/>
    <w:rsid w:val="000C3B6F"/>
    <w:rsid w:val="000C6FF0"/>
    <w:rsid w:val="000D0F0D"/>
    <w:rsid w:val="001032D9"/>
    <w:rsid w:val="00105FD9"/>
    <w:rsid w:val="00112F49"/>
    <w:rsid w:val="00114598"/>
    <w:rsid w:val="00117666"/>
    <w:rsid w:val="00121F5E"/>
    <w:rsid w:val="00127EEF"/>
    <w:rsid w:val="001549D3"/>
    <w:rsid w:val="0015710A"/>
    <w:rsid w:val="00160065"/>
    <w:rsid w:val="00165926"/>
    <w:rsid w:val="001668C0"/>
    <w:rsid w:val="00170D66"/>
    <w:rsid w:val="00177D84"/>
    <w:rsid w:val="00190C3C"/>
    <w:rsid w:val="001A61E7"/>
    <w:rsid w:val="001B13F8"/>
    <w:rsid w:val="001C4395"/>
    <w:rsid w:val="001C4E15"/>
    <w:rsid w:val="001C58C5"/>
    <w:rsid w:val="001D375E"/>
    <w:rsid w:val="001D5FF7"/>
    <w:rsid w:val="001E20BA"/>
    <w:rsid w:val="001F07C7"/>
    <w:rsid w:val="00212395"/>
    <w:rsid w:val="0021243D"/>
    <w:rsid w:val="00233454"/>
    <w:rsid w:val="00241D17"/>
    <w:rsid w:val="00247FCE"/>
    <w:rsid w:val="00260AEE"/>
    <w:rsid w:val="00267D18"/>
    <w:rsid w:val="002708DD"/>
    <w:rsid w:val="00283CCB"/>
    <w:rsid w:val="002868E2"/>
    <w:rsid w:val="002869C3"/>
    <w:rsid w:val="002936E4"/>
    <w:rsid w:val="002A56A7"/>
    <w:rsid w:val="002B3E3D"/>
    <w:rsid w:val="002B4A57"/>
    <w:rsid w:val="002B70DA"/>
    <w:rsid w:val="002C74CA"/>
    <w:rsid w:val="002E219E"/>
    <w:rsid w:val="003012ED"/>
    <w:rsid w:val="00307875"/>
    <w:rsid w:val="00310CFD"/>
    <w:rsid w:val="00332C8F"/>
    <w:rsid w:val="0034243D"/>
    <w:rsid w:val="00343CC7"/>
    <w:rsid w:val="00346F5C"/>
    <w:rsid w:val="003474D0"/>
    <w:rsid w:val="003544FB"/>
    <w:rsid w:val="0036032E"/>
    <w:rsid w:val="00364A63"/>
    <w:rsid w:val="003877CC"/>
    <w:rsid w:val="0039044F"/>
    <w:rsid w:val="003907BE"/>
    <w:rsid w:val="003A1791"/>
    <w:rsid w:val="003A5504"/>
    <w:rsid w:val="003A59A0"/>
    <w:rsid w:val="003B011C"/>
    <w:rsid w:val="003B189D"/>
    <w:rsid w:val="003B58E6"/>
    <w:rsid w:val="003B6932"/>
    <w:rsid w:val="003C4083"/>
    <w:rsid w:val="003C451D"/>
    <w:rsid w:val="003C556B"/>
    <w:rsid w:val="003D11DC"/>
    <w:rsid w:val="003D2F2D"/>
    <w:rsid w:val="003F4EBD"/>
    <w:rsid w:val="00401590"/>
    <w:rsid w:val="00402FFB"/>
    <w:rsid w:val="004133CB"/>
    <w:rsid w:val="00417438"/>
    <w:rsid w:val="00423725"/>
    <w:rsid w:val="00447801"/>
    <w:rsid w:val="004512DF"/>
    <w:rsid w:val="00452E9C"/>
    <w:rsid w:val="00456F99"/>
    <w:rsid w:val="004735C8"/>
    <w:rsid w:val="00477149"/>
    <w:rsid w:val="004800C1"/>
    <w:rsid w:val="004831B5"/>
    <w:rsid w:val="00487F7A"/>
    <w:rsid w:val="00490525"/>
    <w:rsid w:val="00495E48"/>
    <w:rsid w:val="004961FF"/>
    <w:rsid w:val="004B63F4"/>
    <w:rsid w:val="004D505A"/>
    <w:rsid w:val="004F4B0B"/>
    <w:rsid w:val="00500F93"/>
    <w:rsid w:val="00515481"/>
    <w:rsid w:val="00517A89"/>
    <w:rsid w:val="005250F2"/>
    <w:rsid w:val="00530272"/>
    <w:rsid w:val="0054359A"/>
    <w:rsid w:val="00550519"/>
    <w:rsid w:val="00551140"/>
    <w:rsid w:val="00557929"/>
    <w:rsid w:val="00557AA0"/>
    <w:rsid w:val="005607C1"/>
    <w:rsid w:val="005652CE"/>
    <w:rsid w:val="00572510"/>
    <w:rsid w:val="005840D3"/>
    <w:rsid w:val="00593EEA"/>
    <w:rsid w:val="005A069A"/>
    <w:rsid w:val="005A10DF"/>
    <w:rsid w:val="005A5EEE"/>
    <w:rsid w:val="005B1038"/>
    <w:rsid w:val="005B36CE"/>
    <w:rsid w:val="006172B7"/>
    <w:rsid w:val="006375C7"/>
    <w:rsid w:val="00642F77"/>
    <w:rsid w:val="00654E8F"/>
    <w:rsid w:val="00656F38"/>
    <w:rsid w:val="00660D05"/>
    <w:rsid w:val="0067559D"/>
    <w:rsid w:val="006820B1"/>
    <w:rsid w:val="0068796B"/>
    <w:rsid w:val="0069082C"/>
    <w:rsid w:val="0069313B"/>
    <w:rsid w:val="0069491C"/>
    <w:rsid w:val="006B25C9"/>
    <w:rsid w:val="006B34C4"/>
    <w:rsid w:val="006B447B"/>
    <w:rsid w:val="006B4B15"/>
    <w:rsid w:val="006B4F8D"/>
    <w:rsid w:val="006B6EAD"/>
    <w:rsid w:val="006B7D14"/>
    <w:rsid w:val="006C146D"/>
    <w:rsid w:val="006C3D4E"/>
    <w:rsid w:val="00701727"/>
    <w:rsid w:val="007048E9"/>
    <w:rsid w:val="0070566C"/>
    <w:rsid w:val="00714C50"/>
    <w:rsid w:val="0071739C"/>
    <w:rsid w:val="00720AD8"/>
    <w:rsid w:val="00725A7D"/>
    <w:rsid w:val="00734A2B"/>
    <w:rsid w:val="00735D50"/>
    <w:rsid w:val="00740290"/>
    <w:rsid w:val="007450B2"/>
    <w:rsid w:val="007501BE"/>
    <w:rsid w:val="00757605"/>
    <w:rsid w:val="0076351A"/>
    <w:rsid w:val="007659E5"/>
    <w:rsid w:val="00790BB3"/>
    <w:rsid w:val="0079162C"/>
    <w:rsid w:val="00795EEE"/>
    <w:rsid w:val="00796F36"/>
    <w:rsid w:val="007B2007"/>
    <w:rsid w:val="007C206C"/>
    <w:rsid w:val="007C32FE"/>
    <w:rsid w:val="007C603D"/>
    <w:rsid w:val="007F5639"/>
    <w:rsid w:val="00803D24"/>
    <w:rsid w:val="00811540"/>
    <w:rsid w:val="008154FA"/>
    <w:rsid w:val="00817DD6"/>
    <w:rsid w:val="0082321D"/>
    <w:rsid w:val="008360C1"/>
    <w:rsid w:val="00843876"/>
    <w:rsid w:val="0084566A"/>
    <w:rsid w:val="00851CE8"/>
    <w:rsid w:val="008537BA"/>
    <w:rsid w:val="0085771E"/>
    <w:rsid w:val="00885156"/>
    <w:rsid w:val="008915D2"/>
    <w:rsid w:val="008D3271"/>
    <w:rsid w:val="008E2D63"/>
    <w:rsid w:val="00900234"/>
    <w:rsid w:val="00903A62"/>
    <w:rsid w:val="009128AA"/>
    <w:rsid w:val="009151AA"/>
    <w:rsid w:val="00917063"/>
    <w:rsid w:val="00920AD7"/>
    <w:rsid w:val="0093429D"/>
    <w:rsid w:val="00941DBC"/>
    <w:rsid w:val="00943573"/>
    <w:rsid w:val="00943DC5"/>
    <w:rsid w:val="00950ABC"/>
    <w:rsid w:val="009650CC"/>
    <w:rsid w:val="00970F7D"/>
    <w:rsid w:val="00975F2E"/>
    <w:rsid w:val="0097633F"/>
    <w:rsid w:val="00976FEB"/>
    <w:rsid w:val="00980E22"/>
    <w:rsid w:val="00991D02"/>
    <w:rsid w:val="00994A3D"/>
    <w:rsid w:val="009A1939"/>
    <w:rsid w:val="009B466D"/>
    <w:rsid w:val="009C1623"/>
    <w:rsid w:val="009C2B12"/>
    <w:rsid w:val="009C70F3"/>
    <w:rsid w:val="009E0746"/>
    <w:rsid w:val="009F03D7"/>
    <w:rsid w:val="00A13016"/>
    <w:rsid w:val="00A159F6"/>
    <w:rsid w:val="00A174D9"/>
    <w:rsid w:val="00A37307"/>
    <w:rsid w:val="00A43859"/>
    <w:rsid w:val="00A477C8"/>
    <w:rsid w:val="00A553CD"/>
    <w:rsid w:val="00A569CD"/>
    <w:rsid w:val="00A66949"/>
    <w:rsid w:val="00A72B6B"/>
    <w:rsid w:val="00A7307B"/>
    <w:rsid w:val="00A75E35"/>
    <w:rsid w:val="00A92588"/>
    <w:rsid w:val="00AA0A81"/>
    <w:rsid w:val="00AB6715"/>
    <w:rsid w:val="00AE6DC8"/>
    <w:rsid w:val="00AF607E"/>
    <w:rsid w:val="00AF7E96"/>
    <w:rsid w:val="00B00FC3"/>
    <w:rsid w:val="00B01965"/>
    <w:rsid w:val="00B1671E"/>
    <w:rsid w:val="00B169E5"/>
    <w:rsid w:val="00B2115B"/>
    <w:rsid w:val="00B25389"/>
    <w:rsid w:val="00B25EB8"/>
    <w:rsid w:val="00B354E1"/>
    <w:rsid w:val="00B37F4D"/>
    <w:rsid w:val="00B4222C"/>
    <w:rsid w:val="00B741FA"/>
    <w:rsid w:val="00B76822"/>
    <w:rsid w:val="00B860D2"/>
    <w:rsid w:val="00B96C90"/>
    <w:rsid w:val="00BA2C21"/>
    <w:rsid w:val="00BA2D12"/>
    <w:rsid w:val="00BD1388"/>
    <w:rsid w:val="00BD2915"/>
    <w:rsid w:val="00BD5590"/>
    <w:rsid w:val="00BE28C2"/>
    <w:rsid w:val="00BF1AD4"/>
    <w:rsid w:val="00BF3527"/>
    <w:rsid w:val="00C1452A"/>
    <w:rsid w:val="00C37A89"/>
    <w:rsid w:val="00C40947"/>
    <w:rsid w:val="00C468D4"/>
    <w:rsid w:val="00C52A7B"/>
    <w:rsid w:val="00C53CDD"/>
    <w:rsid w:val="00C55904"/>
    <w:rsid w:val="00C56BAF"/>
    <w:rsid w:val="00C63B76"/>
    <w:rsid w:val="00C679AA"/>
    <w:rsid w:val="00C75972"/>
    <w:rsid w:val="00C9246D"/>
    <w:rsid w:val="00CA6FB6"/>
    <w:rsid w:val="00CB3B2E"/>
    <w:rsid w:val="00CB3C37"/>
    <w:rsid w:val="00CC0A3A"/>
    <w:rsid w:val="00CC7FC6"/>
    <w:rsid w:val="00CD066B"/>
    <w:rsid w:val="00CE4FEE"/>
    <w:rsid w:val="00D02DF0"/>
    <w:rsid w:val="00D05473"/>
    <w:rsid w:val="00D14BA8"/>
    <w:rsid w:val="00D341FC"/>
    <w:rsid w:val="00D35254"/>
    <w:rsid w:val="00D35F44"/>
    <w:rsid w:val="00D376F3"/>
    <w:rsid w:val="00D50EF5"/>
    <w:rsid w:val="00D56C30"/>
    <w:rsid w:val="00D605D8"/>
    <w:rsid w:val="00D66B90"/>
    <w:rsid w:val="00D72462"/>
    <w:rsid w:val="00D73E01"/>
    <w:rsid w:val="00D77FD2"/>
    <w:rsid w:val="00D83CDF"/>
    <w:rsid w:val="00DB59C3"/>
    <w:rsid w:val="00DC259A"/>
    <w:rsid w:val="00DD5834"/>
    <w:rsid w:val="00DD7364"/>
    <w:rsid w:val="00DE23E8"/>
    <w:rsid w:val="00DE42D2"/>
    <w:rsid w:val="00DE4356"/>
    <w:rsid w:val="00E173F1"/>
    <w:rsid w:val="00E2244F"/>
    <w:rsid w:val="00E23B06"/>
    <w:rsid w:val="00E27BC2"/>
    <w:rsid w:val="00E4024C"/>
    <w:rsid w:val="00E52377"/>
    <w:rsid w:val="00E531E1"/>
    <w:rsid w:val="00E576C0"/>
    <w:rsid w:val="00E64454"/>
    <w:rsid w:val="00E64E17"/>
    <w:rsid w:val="00E7539F"/>
    <w:rsid w:val="00E8028B"/>
    <w:rsid w:val="00E80534"/>
    <w:rsid w:val="00E866C9"/>
    <w:rsid w:val="00EA3D3C"/>
    <w:rsid w:val="00EA649E"/>
    <w:rsid w:val="00EB1A06"/>
    <w:rsid w:val="00EB5748"/>
    <w:rsid w:val="00EC057C"/>
    <w:rsid w:val="00EC72E3"/>
    <w:rsid w:val="00ED19EF"/>
    <w:rsid w:val="00ED6AD0"/>
    <w:rsid w:val="00EE00CB"/>
    <w:rsid w:val="00EE3009"/>
    <w:rsid w:val="00EF057E"/>
    <w:rsid w:val="00F0780F"/>
    <w:rsid w:val="00F45410"/>
    <w:rsid w:val="00F46900"/>
    <w:rsid w:val="00F61D89"/>
    <w:rsid w:val="00F62576"/>
    <w:rsid w:val="00F67A99"/>
    <w:rsid w:val="00F700A2"/>
    <w:rsid w:val="00F95817"/>
    <w:rsid w:val="00F9597C"/>
    <w:rsid w:val="00FA0062"/>
    <w:rsid w:val="00FC1254"/>
    <w:rsid w:val="00FD1B68"/>
    <w:rsid w:val="00FE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A37307"/>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6154836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59</TotalTime>
  <Pages>4</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Giulia Core (PGR)</cp:lastModifiedBy>
  <cp:revision>52</cp:revision>
  <cp:lastPrinted>2013-10-03T12:51:00Z</cp:lastPrinted>
  <dcterms:created xsi:type="dcterms:W3CDTF">2023-07-20T13:00:00Z</dcterms:created>
  <dcterms:modified xsi:type="dcterms:W3CDTF">2023-08-01T13:39:00Z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zotero-version="6.0.26"&gt;&lt;session id="BBuzvXx6"/&gt;&lt;style id="http://www.zotero.org/styles/reproductive-biomedicine-and-society-online" hasBibliography="1" bibliographyStyleHasBeenSet="1"/&gt;&lt;prefs&gt;&lt;pref name="fieldType" value="Field"/&gt;&lt;</vt:lpwstr>
  </property>
  <property fmtid="{D5CDD505-2E9C-101B-9397-08002B2CF9AE}" pid="11" name="ZOTERO_PREF_2">
    <vt:lpwstr>/prefs&gt;&lt;/data&gt;</vt:lpwstr>
  </property>
</Properties>
</file>