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94EDC" w:rsidRDefault="00654E8F" w:rsidP="0001436A">
      <w:pPr>
        <w:pStyle w:val="SupplementaryMaterial"/>
        <w:rPr>
          <w:b w:val="0"/>
          <w:color w:val="000000" w:themeColor="text1"/>
        </w:rPr>
      </w:pPr>
      <w:r w:rsidRPr="00194EDC">
        <w:rPr>
          <w:color w:val="000000" w:themeColor="text1"/>
        </w:rPr>
        <w:t>Supplementary Material</w:t>
      </w:r>
    </w:p>
    <w:p w14:paraId="16D838EE" w14:textId="77777777" w:rsidR="00626D5B" w:rsidRPr="00194EDC" w:rsidRDefault="00626D5B" w:rsidP="0001436A">
      <w:pPr>
        <w:pStyle w:val="AuthorList"/>
        <w:rPr>
          <w:color w:val="000000" w:themeColor="text1"/>
          <w:sz w:val="32"/>
          <w:szCs w:val="32"/>
        </w:rPr>
      </w:pPr>
      <w:r w:rsidRPr="00194EDC">
        <w:rPr>
          <w:color w:val="000000" w:themeColor="text1"/>
          <w:sz w:val="32"/>
          <w:szCs w:val="32"/>
        </w:rPr>
        <w:t>Protein Arginine Methyltransferase 1 is therapeutic vulnerability in Multiple Myeloma</w:t>
      </w:r>
    </w:p>
    <w:p w14:paraId="239F4074" w14:textId="77777777" w:rsidR="00C97221" w:rsidRPr="00194EDC" w:rsidRDefault="00C97221" w:rsidP="00C97221">
      <w:pPr>
        <w:spacing w:before="240" w:after="0"/>
        <w:jc w:val="both"/>
        <w:rPr>
          <w:rFonts w:cs="Times New Roman"/>
          <w:b/>
          <w:color w:val="000000" w:themeColor="text1"/>
          <w:szCs w:val="24"/>
        </w:rPr>
      </w:pPr>
      <w:r w:rsidRPr="00194EDC">
        <w:rPr>
          <w:rFonts w:cs="Times New Roman"/>
          <w:b/>
          <w:color w:val="000000" w:themeColor="text1"/>
          <w:szCs w:val="24"/>
        </w:rPr>
        <w:t>Hong Phuong Nguyen</w:t>
      </w:r>
      <w:r w:rsidRPr="00194EDC">
        <w:rPr>
          <w:rFonts w:cs="Times New Roman"/>
          <w:b/>
          <w:color w:val="000000" w:themeColor="text1"/>
          <w:szCs w:val="24"/>
          <w:vertAlign w:val="superscript"/>
        </w:rPr>
        <w:t>1</w:t>
      </w:r>
      <w:r w:rsidRPr="00194EDC">
        <w:rPr>
          <w:rFonts w:cs="Times New Roman"/>
          <w:b/>
          <w:color w:val="000000" w:themeColor="text1"/>
          <w:szCs w:val="24"/>
        </w:rPr>
        <w:t>, Anh Quynh Le</w:t>
      </w:r>
      <w:r w:rsidRPr="00194EDC">
        <w:rPr>
          <w:rFonts w:cs="Times New Roman"/>
          <w:b/>
          <w:color w:val="000000" w:themeColor="text1"/>
          <w:szCs w:val="24"/>
          <w:vertAlign w:val="superscript"/>
        </w:rPr>
        <w:t>1</w:t>
      </w:r>
      <w:r w:rsidRPr="00194EDC">
        <w:rPr>
          <w:rFonts w:cs="Times New Roman"/>
          <w:b/>
          <w:color w:val="000000" w:themeColor="text1"/>
          <w:szCs w:val="24"/>
        </w:rPr>
        <w:t xml:space="preserve">, </w:t>
      </w:r>
      <w:proofErr w:type="spellStart"/>
      <w:r w:rsidRPr="00194EDC">
        <w:rPr>
          <w:rFonts w:cs="Times New Roman"/>
          <w:b/>
          <w:color w:val="000000" w:themeColor="text1"/>
          <w:szCs w:val="24"/>
        </w:rPr>
        <w:t>Enze</w:t>
      </w:r>
      <w:proofErr w:type="spellEnd"/>
      <w:r w:rsidRPr="00194EDC">
        <w:rPr>
          <w:rFonts w:cs="Times New Roman"/>
          <w:b/>
          <w:color w:val="000000" w:themeColor="text1"/>
          <w:szCs w:val="24"/>
        </w:rPr>
        <w:t xml:space="preserve"> Liu</w:t>
      </w:r>
      <w:r w:rsidRPr="00194EDC">
        <w:rPr>
          <w:rFonts w:cs="Times New Roman"/>
          <w:b/>
          <w:color w:val="000000" w:themeColor="text1"/>
          <w:szCs w:val="24"/>
          <w:vertAlign w:val="superscript"/>
        </w:rPr>
        <w:t>2,3</w:t>
      </w:r>
      <w:r w:rsidRPr="00194EDC">
        <w:rPr>
          <w:rFonts w:cs="Times New Roman"/>
          <w:b/>
          <w:color w:val="000000" w:themeColor="text1"/>
          <w:szCs w:val="24"/>
        </w:rPr>
        <w:t>, Annamaria Cesarano</w:t>
      </w:r>
      <w:r w:rsidRPr="00194EDC">
        <w:rPr>
          <w:rFonts w:cs="Times New Roman"/>
          <w:b/>
          <w:color w:val="000000" w:themeColor="text1"/>
          <w:szCs w:val="24"/>
          <w:vertAlign w:val="superscript"/>
        </w:rPr>
        <w:t>4,5</w:t>
      </w:r>
      <w:r w:rsidRPr="00194EDC">
        <w:rPr>
          <w:rFonts w:cs="Times New Roman"/>
          <w:b/>
          <w:color w:val="000000" w:themeColor="text1"/>
          <w:szCs w:val="24"/>
        </w:rPr>
        <w:t>, Francesco DiMeo</w:t>
      </w:r>
      <w:r w:rsidRPr="00194EDC">
        <w:rPr>
          <w:rFonts w:cs="Times New Roman"/>
          <w:b/>
          <w:color w:val="000000" w:themeColor="text1"/>
          <w:szCs w:val="24"/>
          <w:vertAlign w:val="superscript"/>
        </w:rPr>
        <w:t>4,5</w:t>
      </w:r>
      <w:r w:rsidRPr="00194EDC">
        <w:rPr>
          <w:rFonts w:cs="Times New Roman"/>
          <w:b/>
          <w:color w:val="000000" w:themeColor="text1"/>
          <w:szCs w:val="24"/>
        </w:rPr>
        <w:t>, Fabiana Perna</w:t>
      </w:r>
      <w:r w:rsidRPr="00194EDC">
        <w:rPr>
          <w:rFonts w:cs="Times New Roman"/>
          <w:b/>
          <w:color w:val="000000" w:themeColor="text1"/>
          <w:szCs w:val="24"/>
          <w:vertAlign w:val="superscript"/>
        </w:rPr>
        <w:t>4,5</w:t>
      </w:r>
      <w:r w:rsidRPr="00194EDC">
        <w:rPr>
          <w:rFonts w:cs="Times New Roman"/>
          <w:b/>
          <w:color w:val="000000" w:themeColor="text1"/>
          <w:szCs w:val="24"/>
        </w:rPr>
        <w:t>, Brian A. Walkers</w:t>
      </w:r>
      <w:r w:rsidRPr="00194EDC">
        <w:rPr>
          <w:rFonts w:cs="Times New Roman"/>
          <w:b/>
          <w:color w:val="000000" w:themeColor="text1"/>
          <w:szCs w:val="24"/>
          <w:vertAlign w:val="superscript"/>
        </w:rPr>
        <w:t>2,3</w:t>
      </w:r>
      <w:r w:rsidRPr="00194EDC">
        <w:rPr>
          <w:rFonts w:cs="Times New Roman"/>
          <w:b/>
          <w:color w:val="000000" w:themeColor="text1"/>
          <w:szCs w:val="24"/>
        </w:rPr>
        <w:t>, and Ngoc Tung Tran</w:t>
      </w:r>
      <w:r w:rsidRPr="00194EDC">
        <w:rPr>
          <w:rFonts w:cs="Times New Roman"/>
          <w:b/>
          <w:color w:val="000000" w:themeColor="text1"/>
          <w:szCs w:val="24"/>
          <w:vertAlign w:val="superscript"/>
        </w:rPr>
        <w:t>1*</w:t>
      </w:r>
    </w:p>
    <w:p w14:paraId="217F3AE0" w14:textId="0651CBB4" w:rsidR="002868E2" w:rsidRPr="00194EDC" w:rsidRDefault="002868E2" w:rsidP="00994A3D">
      <w:pPr>
        <w:spacing w:before="240" w:after="0"/>
        <w:rPr>
          <w:rFonts w:cs="Times New Roman"/>
          <w:color w:val="000000" w:themeColor="text1"/>
        </w:rPr>
      </w:pPr>
      <w:r w:rsidRPr="00194EDC">
        <w:rPr>
          <w:rFonts w:cs="Times New Roman"/>
          <w:b/>
          <w:color w:val="000000" w:themeColor="text1"/>
        </w:rPr>
        <w:t xml:space="preserve">* Correspondence: </w:t>
      </w:r>
      <w:r w:rsidR="00451586" w:rsidRPr="00194EDC">
        <w:rPr>
          <w:rFonts w:cs="Times New Roman"/>
          <w:color w:val="000000" w:themeColor="text1"/>
        </w:rPr>
        <w:t>Ngoc Tung Tran</w:t>
      </w:r>
      <w:r w:rsidR="00994A3D" w:rsidRPr="00194EDC">
        <w:rPr>
          <w:rFonts w:cs="Times New Roman"/>
          <w:color w:val="000000" w:themeColor="text1"/>
        </w:rPr>
        <w:t xml:space="preserve">: </w:t>
      </w:r>
      <w:r w:rsidR="00451586" w:rsidRPr="00194EDC">
        <w:rPr>
          <w:rFonts w:cs="Times New Roman"/>
          <w:color w:val="000000" w:themeColor="text1"/>
        </w:rPr>
        <w:t>tungtran@iu.edu</w:t>
      </w:r>
    </w:p>
    <w:p w14:paraId="4916FCC9" w14:textId="77777777" w:rsidR="00994A3D" w:rsidRPr="00194EDC" w:rsidRDefault="00994A3D" w:rsidP="00994A3D">
      <w:pPr>
        <w:keepNext/>
        <w:rPr>
          <w:rFonts w:cs="Times New Roman"/>
          <w:color w:val="000000" w:themeColor="text1"/>
          <w:szCs w:val="24"/>
        </w:rPr>
      </w:pPr>
    </w:p>
    <w:p w14:paraId="6929D040" w14:textId="2F748FA4" w:rsidR="00593925" w:rsidRPr="00194EDC" w:rsidRDefault="00593925">
      <w:pPr>
        <w:spacing w:before="0" w:after="200" w:line="276" w:lineRule="auto"/>
        <w:rPr>
          <w:rFonts w:cs="Times New Roman"/>
          <w:color w:val="000000" w:themeColor="text1"/>
          <w:szCs w:val="24"/>
        </w:rPr>
      </w:pPr>
      <w:r w:rsidRPr="00194EDC">
        <w:rPr>
          <w:rFonts w:cs="Times New Roman"/>
          <w:color w:val="000000" w:themeColor="text1"/>
          <w:szCs w:val="24"/>
        </w:rPr>
        <w:br w:type="page"/>
      </w:r>
    </w:p>
    <w:p w14:paraId="11EC8DA1" w14:textId="2E01D629" w:rsidR="00994A3D" w:rsidRPr="00194EDC" w:rsidRDefault="00994A3D" w:rsidP="00994A3D">
      <w:pPr>
        <w:keepNext/>
        <w:jc w:val="center"/>
        <w:rPr>
          <w:rFonts w:cs="Times New Roman"/>
          <w:color w:val="000000" w:themeColor="text1"/>
          <w:szCs w:val="24"/>
        </w:rPr>
      </w:pPr>
    </w:p>
    <w:p w14:paraId="0D8D0BFB" w14:textId="641B1CAC" w:rsidR="00EE15A6" w:rsidRPr="00194EDC" w:rsidRDefault="00C576C1" w:rsidP="002B4A57">
      <w:pPr>
        <w:keepNext/>
        <w:rPr>
          <w:rFonts w:cs="Times New Roman"/>
          <w:b/>
          <w:color w:val="000000" w:themeColor="text1"/>
          <w:szCs w:val="24"/>
        </w:rPr>
      </w:pPr>
      <w:r w:rsidRPr="00194EDC">
        <w:rPr>
          <w:rFonts w:cs="Times New Roman"/>
          <w:b/>
          <w:noProof/>
          <w:color w:val="000000" w:themeColor="text1"/>
          <w:szCs w:val="24"/>
        </w:rPr>
        <w:drawing>
          <wp:inline distT="0" distB="0" distL="0" distR="0" wp14:anchorId="7F27D443" wp14:editId="139746B8">
            <wp:extent cx="5003800" cy="1473200"/>
            <wp:effectExtent l="0" t="0" r="0" b="0"/>
            <wp:docPr id="10933961" name="Picture 1" descr="A picture containing screenshot, text, black, black and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961" name="Picture 1" descr="A picture containing screenshot, text, black, black and whit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0E77" w14:textId="704B84C2" w:rsidR="00046EE2" w:rsidRPr="00194EDC" w:rsidRDefault="00994A3D" w:rsidP="002B4A57">
      <w:pPr>
        <w:keepNext/>
        <w:rPr>
          <w:rFonts w:cs="Times New Roman"/>
          <w:color w:val="000000" w:themeColor="text1"/>
          <w:szCs w:val="24"/>
        </w:rPr>
      </w:pPr>
      <w:r w:rsidRPr="00194EDC">
        <w:rPr>
          <w:rFonts w:cs="Times New Roman"/>
          <w:b/>
          <w:color w:val="000000" w:themeColor="text1"/>
          <w:szCs w:val="24"/>
        </w:rPr>
        <w:t xml:space="preserve">Supplementary Figure </w:t>
      </w:r>
      <w:r w:rsidRPr="00194EDC">
        <w:rPr>
          <w:rFonts w:cs="Times New Roman"/>
          <w:b/>
          <w:color w:val="000000" w:themeColor="text1"/>
          <w:szCs w:val="24"/>
        </w:rPr>
        <w:fldChar w:fldCharType="begin"/>
      </w:r>
      <w:r w:rsidRPr="00194EDC">
        <w:rPr>
          <w:rFonts w:cs="Times New Roman"/>
          <w:b/>
          <w:color w:val="000000" w:themeColor="text1"/>
          <w:szCs w:val="24"/>
        </w:rPr>
        <w:instrText xml:space="preserve"> SEQ Figure \* ARABIC </w:instrText>
      </w:r>
      <w:r w:rsidRPr="00194EDC">
        <w:rPr>
          <w:rFonts w:cs="Times New Roman"/>
          <w:b/>
          <w:color w:val="000000" w:themeColor="text1"/>
          <w:szCs w:val="24"/>
        </w:rPr>
        <w:fldChar w:fldCharType="separate"/>
      </w:r>
      <w:r w:rsidR="00803D24" w:rsidRPr="00194EDC">
        <w:rPr>
          <w:rFonts w:cs="Times New Roman"/>
          <w:b/>
          <w:noProof/>
          <w:color w:val="000000" w:themeColor="text1"/>
          <w:szCs w:val="24"/>
        </w:rPr>
        <w:t>1</w:t>
      </w:r>
      <w:r w:rsidRPr="00194EDC">
        <w:rPr>
          <w:rFonts w:cs="Times New Roman"/>
          <w:b/>
          <w:color w:val="000000" w:themeColor="text1"/>
          <w:szCs w:val="24"/>
        </w:rPr>
        <w:fldChar w:fldCharType="end"/>
      </w:r>
      <w:r w:rsidRPr="00194EDC">
        <w:rPr>
          <w:rFonts w:cs="Times New Roman"/>
          <w:b/>
          <w:color w:val="000000" w:themeColor="text1"/>
          <w:szCs w:val="24"/>
        </w:rPr>
        <w:t>.</w:t>
      </w:r>
      <w:r w:rsidRPr="00194EDC">
        <w:rPr>
          <w:rFonts w:cs="Times New Roman"/>
          <w:color w:val="000000" w:themeColor="text1"/>
          <w:szCs w:val="24"/>
        </w:rPr>
        <w:t xml:space="preserve"> </w:t>
      </w:r>
      <w:r w:rsidR="00EE15A6" w:rsidRPr="00194EDC">
        <w:rPr>
          <w:rFonts w:cs="Times New Roman"/>
          <w:color w:val="000000" w:themeColor="text1"/>
          <w:szCs w:val="24"/>
        </w:rPr>
        <w:t>Validation of sgRNAs targeting PRMT1</w:t>
      </w:r>
      <w:r w:rsidRPr="00194EDC">
        <w:rPr>
          <w:rFonts w:cs="Times New Roman"/>
          <w:color w:val="000000" w:themeColor="text1"/>
          <w:szCs w:val="24"/>
        </w:rPr>
        <w:t xml:space="preserve">. </w:t>
      </w:r>
      <w:r w:rsidR="00C576C1" w:rsidRPr="00194EDC">
        <w:rPr>
          <w:rFonts w:cs="Times New Roman"/>
          <w:color w:val="000000" w:themeColor="text1"/>
          <w:szCs w:val="24"/>
        </w:rPr>
        <w:t>(A)</w:t>
      </w:r>
      <w:r w:rsidR="00DF654B" w:rsidRPr="00194EDC">
        <w:rPr>
          <w:rFonts w:cs="Times New Roman"/>
          <w:color w:val="000000" w:themeColor="text1"/>
          <w:szCs w:val="24"/>
        </w:rPr>
        <w:t xml:space="preserve"> T7E1 assay to test the cutting efficiencies of sgRNAs targeting PRMT1</w:t>
      </w:r>
      <w:r w:rsidR="00BA5182" w:rsidRPr="00194EDC">
        <w:rPr>
          <w:rFonts w:cs="Times New Roman"/>
          <w:color w:val="000000" w:themeColor="text1"/>
          <w:szCs w:val="24"/>
        </w:rPr>
        <w:t xml:space="preserve">. Control (non-edited cells, ctrl) 6 sgRNAs (sg). (B) Western blot showing the efficiencies of PRMT1 deletion and </w:t>
      </w:r>
      <w:r w:rsidR="0046698E" w:rsidRPr="00194EDC">
        <w:rPr>
          <w:rFonts w:cs="Times New Roman"/>
          <w:color w:val="000000" w:themeColor="text1"/>
          <w:szCs w:val="24"/>
        </w:rPr>
        <w:t>total asymmetric di-methylation (</w:t>
      </w:r>
      <w:r w:rsidR="0046698E" w:rsidRPr="00194EDC">
        <w:rPr>
          <w:rFonts w:ascii="Symbol" w:hAnsi="Symbol" w:cs="Times New Roman"/>
          <w:color w:val="000000" w:themeColor="text1"/>
          <w:szCs w:val="24"/>
        </w:rPr>
        <w:t>a</w:t>
      </w:r>
      <w:r w:rsidR="0046698E" w:rsidRPr="00194EDC">
        <w:rPr>
          <w:rFonts w:cs="Times New Roman"/>
          <w:color w:val="000000" w:themeColor="text1"/>
          <w:szCs w:val="24"/>
        </w:rPr>
        <w:t>-</w:t>
      </w:r>
      <w:proofErr w:type="spellStart"/>
      <w:r w:rsidR="0046698E" w:rsidRPr="00194EDC">
        <w:rPr>
          <w:rFonts w:cs="Times New Roman"/>
          <w:color w:val="000000" w:themeColor="text1"/>
          <w:szCs w:val="24"/>
        </w:rPr>
        <w:t>adme</w:t>
      </w:r>
      <w:proofErr w:type="spellEnd"/>
      <w:r w:rsidR="0046698E" w:rsidRPr="00194EDC">
        <w:rPr>
          <w:rFonts w:cs="Times New Roman"/>
          <w:color w:val="000000" w:themeColor="text1"/>
          <w:szCs w:val="24"/>
        </w:rPr>
        <w:t>-R) level upon knockout of PRMT1 by different sgRNAs. GAPDH was used as housekeeping gene.</w:t>
      </w:r>
    </w:p>
    <w:p w14:paraId="1C30F36D" w14:textId="77777777" w:rsidR="00046EE2" w:rsidRPr="00194EDC" w:rsidRDefault="00046EE2">
      <w:pPr>
        <w:spacing w:before="0" w:after="200" w:line="276" w:lineRule="auto"/>
        <w:rPr>
          <w:rFonts w:cs="Times New Roman"/>
          <w:color w:val="000000" w:themeColor="text1"/>
          <w:szCs w:val="24"/>
        </w:rPr>
      </w:pPr>
      <w:r w:rsidRPr="00194EDC">
        <w:rPr>
          <w:rFonts w:cs="Times New Roman"/>
          <w:color w:val="000000" w:themeColor="text1"/>
          <w:szCs w:val="24"/>
        </w:rPr>
        <w:br w:type="page"/>
      </w:r>
    </w:p>
    <w:p w14:paraId="17B405B4" w14:textId="77777777" w:rsidR="00994A3D" w:rsidRPr="00194EDC" w:rsidRDefault="00994A3D" w:rsidP="002B4A57">
      <w:pPr>
        <w:keepNext/>
        <w:rPr>
          <w:rFonts w:cs="Times New Roman"/>
          <w:color w:val="000000" w:themeColor="text1"/>
          <w:szCs w:val="24"/>
        </w:rPr>
      </w:pPr>
    </w:p>
    <w:p w14:paraId="08F319B1" w14:textId="6B89E130" w:rsidR="0046698E" w:rsidRPr="00194EDC" w:rsidRDefault="00046EE2" w:rsidP="002B4A57">
      <w:pPr>
        <w:keepNext/>
        <w:rPr>
          <w:rFonts w:cs="Times New Roman"/>
          <w:color w:val="000000" w:themeColor="text1"/>
          <w:szCs w:val="24"/>
        </w:rPr>
      </w:pPr>
      <w:r w:rsidRPr="00194EDC">
        <w:rPr>
          <w:rFonts w:cs="Times New Roman"/>
          <w:noProof/>
          <w:color w:val="000000" w:themeColor="text1"/>
          <w:szCs w:val="24"/>
        </w:rPr>
        <w:drawing>
          <wp:inline distT="0" distB="0" distL="0" distR="0" wp14:anchorId="2390E7F9" wp14:editId="601A8F59">
            <wp:extent cx="4445000" cy="4178300"/>
            <wp:effectExtent l="0" t="0" r="0" b="0"/>
            <wp:docPr id="1319262791" name="Picture 1" descr="A picture containing text, screenshot, 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62791" name="Picture 1" descr="A picture containing text, screenshot, diagram, map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B276" w14:textId="77777777" w:rsidR="0046698E" w:rsidRPr="00194EDC" w:rsidRDefault="0046698E" w:rsidP="002B4A57">
      <w:pPr>
        <w:keepNext/>
        <w:rPr>
          <w:rFonts w:cs="Times New Roman"/>
          <w:color w:val="000000" w:themeColor="text1"/>
          <w:szCs w:val="24"/>
        </w:rPr>
      </w:pPr>
    </w:p>
    <w:p w14:paraId="39EB2F54" w14:textId="6C15AD2C" w:rsidR="00046EE2" w:rsidRPr="00194EDC" w:rsidRDefault="00046EE2" w:rsidP="00046EE2">
      <w:pPr>
        <w:keepNext/>
        <w:rPr>
          <w:rFonts w:cs="Times New Roman"/>
          <w:color w:val="000000" w:themeColor="text1"/>
          <w:szCs w:val="24"/>
        </w:rPr>
      </w:pPr>
      <w:r w:rsidRPr="00194EDC">
        <w:rPr>
          <w:rFonts w:cs="Times New Roman"/>
          <w:b/>
          <w:color w:val="000000" w:themeColor="text1"/>
          <w:szCs w:val="24"/>
        </w:rPr>
        <w:t>Supplementary Figure 2.</w:t>
      </w:r>
      <w:r w:rsidRPr="00194EDC">
        <w:rPr>
          <w:rFonts w:cs="Times New Roman"/>
          <w:color w:val="000000" w:themeColor="text1"/>
          <w:szCs w:val="24"/>
        </w:rPr>
        <w:t xml:space="preserve"> </w:t>
      </w:r>
      <w:r w:rsidR="00A20858" w:rsidRPr="00194EDC">
        <w:rPr>
          <w:rFonts w:cs="Times New Roman"/>
          <w:color w:val="000000" w:themeColor="text1"/>
          <w:szCs w:val="24"/>
        </w:rPr>
        <w:t>Apoptotic assay. Con</w:t>
      </w:r>
      <w:r w:rsidR="009B4EFD" w:rsidRPr="00194EDC">
        <w:rPr>
          <w:rFonts w:cs="Times New Roman"/>
          <w:color w:val="000000" w:themeColor="text1"/>
          <w:szCs w:val="24"/>
        </w:rPr>
        <w:t xml:space="preserve">trol cells and PRMT1-KO cells by two different sgRNAs (4 days after </w:t>
      </w:r>
      <w:r w:rsidR="00483159" w:rsidRPr="00194EDC">
        <w:rPr>
          <w:rFonts w:cs="Times New Roman"/>
          <w:color w:val="000000" w:themeColor="text1"/>
          <w:szCs w:val="24"/>
        </w:rPr>
        <w:t>supplementing</w:t>
      </w:r>
      <w:r w:rsidR="009B4EFD" w:rsidRPr="00194EDC">
        <w:rPr>
          <w:rFonts w:cs="Times New Roman"/>
          <w:color w:val="000000" w:themeColor="text1"/>
          <w:szCs w:val="24"/>
        </w:rPr>
        <w:t xml:space="preserve"> Dox</w:t>
      </w:r>
      <w:r w:rsidR="00483159" w:rsidRPr="00194EDC">
        <w:rPr>
          <w:rFonts w:cs="Times New Roman"/>
          <w:color w:val="000000" w:themeColor="text1"/>
          <w:szCs w:val="24"/>
        </w:rPr>
        <w:t>ycycline) were stained with Annexin V and Propidium iodide (PI)</w:t>
      </w:r>
      <w:r w:rsidR="00750B5C" w:rsidRPr="00194EDC">
        <w:rPr>
          <w:rFonts w:cs="Times New Roman"/>
          <w:color w:val="000000" w:themeColor="text1"/>
          <w:szCs w:val="24"/>
        </w:rPr>
        <w:t xml:space="preserve">. </w:t>
      </w:r>
      <w:r w:rsidR="006833F0" w:rsidRPr="00194EDC">
        <w:rPr>
          <w:rFonts w:cs="Times New Roman"/>
          <w:color w:val="000000" w:themeColor="text1"/>
          <w:szCs w:val="24"/>
        </w:rPr>
        <w:t>Representative f</w:t>
      </w:r>
      <w:r w:rsidR="00750B5C" w:rsidRPr="00194EDC">
        <w:rPr>
          <w:rFonts w:cs="Times New Roman"/>
          <w:color w:val="000000" w:themeColor="text1"/>
          <w:szCs w:val="24"/>
        </w:rPr>
        <w:t>low cytometry showing percentage of cell death</w:t>
      </w:r>
      <w:r w:rsidR="0012641B" w:rsidRPr="00194EDC">
        <w:rPr>
          <w:rFonts w:cs="Times New Roman"/>
          <w:color w:val="000000" w:themeColor="text1"/>
          <w:szCs w:val="24"/>
        </w:rPr>
        <w:t>.</w:t>
      </w:r>
    </w:p>
    <w:p w14:paraId="57A0DC59" w14:textId="51323A24" w:rsidR="0012641B" w:rsidRPr="00194EDC" w:rsidRDefault="0012641B">
      <w:pPr>
        <w:spacing w:before="0" w:after="200" w:line="276" w:lineRule="auto"/>
        <w:rPr>
          <w:rFonts w:cs="Times New Roman"/>
          <w:color w:val="000000" w:themeColor="text1"/>
          <w:szCs w:val="24"/>
        </w:rPr>
      </w:pPr>
      <w:r w:rsidRPr="00194EDC">
        <w:rPr>
          <w:rFonts w:cs="Times New Roman"/>
          <w:color w:val="000000" w:themeColor="text1"/>
          <w:szCs w:val="24"/>
        </w:rPr>
        <w:br w:type="page"/>
      </w:r>
    </w:p>
    <w:p w14:paraId="0EED61EE" w14:textId="5C824F91" w:rsidR="0012641B" w:rsidRPr="00194EDC" w:rsidRDefault="00DF7D03" w:rsidP="00046EE2">
      <w:pPr>
        <w:keepNext/>
        <w:rPr>
          <w:rFonts w:cs="Times New Roman"/>
          <w:color w:val="000000" w:themeColor="text1"/>
          <w:szCs w:val="24"/>
        </w:rPr>
      </w:pPr>
      <w:r w:rsidRPr="00194EDC">
        <w:rPr>
          <w:rFonts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E33499E" wp14:editId="0B91D5DC">
            <wp:extent cx="4091081" cy="6928945"/>
            <wp:effectExtent l="0" t="0" r="0" b="5715"/>
            <wp:docPr id="2049818499" name="Picture 1" descr="A picture containing screenshot, window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18499" name="Picture 1" descr="A picture containing screenshot, window, 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5945" cy="698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4242" w14:textId="0930CBB3" w:rsidR="0012641B" w:rsidRPr="00194EDC" w:rsidRDefault="0012641B" w:rsidP="0012641B">
      <w:pPr>
        <w:keepNext/>
        <w:rPr>
          <w:rFonts w:cs="Times New Roman"/>
          <w:color w:val="000000" w:themeColor="text1"/>
          <w:szCs w:val="24"/>
        </w:rPr>
      </w:pPr>
      <w:r w:rsidRPr="00194EDC">
        <w:rPr>
          <w:rFonts w:cs="Times New Roman"/>
          <w:b/>
          <w:color w:val="000000" w:themeColor="text1"/>
          <w:szCs w:val="24"/>
        </w:rPr>
        <w:t>Supplementary Figure 3.</w:t>
      </w:r>
      <w:r w:rsidRPr="00194EDC">
        <w:rPr>
          <w:rFonts w:cs="Times New Roman"/>
          <w:color w:val="000000" w:themeColor="text1"/>
          <w:szCs w:val="24"/>
        </w:rPr>
        <w:t xml:space="preserve"> </w:t>
      </w:r>
      <w:r w:rsidR="001F784E" w:rsidRPr="00194EDC">
        <w:rPr>
          <w:rFonts w:cs="Times New Roman"/>
          <w:color w:val="000000" w:themeColor="text1"/>
          <w:szCs w:val="24"/>
        </w:rPr>
        <w:t>(A)</w:t>
      </w:r>
      <w:r w:rsidRPr="00194EDC">
        <w:rPr>
          <w:rFonts w:cs="Times New Roman"/>
          <w:color w:val="000000" w:themeColor="text1"/>
          <w:szCs w:val="24"/>
        </w:rPr>
        <w:t xml:space="preserve"> Three different MM cell lines were treated with MS023 with different concentrations</w:t>
      </w:r>
      <w:r w:rsidR="00824838" w:rsidRPr="00194EDC">
        <w:rPr>
          <w:rFonts w:cs="Times New Roman"/>
          <w:color w:val="000000" w:themeColor="text1"/>
          <w:szCs w:val="24"/>
        </w:rPr>
        <w:t xml:space="preserve"> for 3 days</w:t>
      </w:r>
      <w:r w:rsidRPr="00194EDC">
        <w:rPr>
          <w:rFonts w:cs="Times New Roman"/>
          <w:color w:val="000000" w:themeColor="text1"/>
          <w:szCs w:val="24"/>
        </w:rPr>
        <w:t xml:space="preserve"> and stained with Annexin V and Propidium iodide (PI). </w:t>
      </w:r>
      <w:r w:rsidR="006833F0" w:rsidRPr="00194EDC">
        <w:rPr>
          <w:rFonts w:cs="Times New Roman"/>
          <w:color w:val="000000" w:themeColor="text1"/>
          <w:szCs w:val="24"/>
        </w:rPr>
        <w:t>Representative f</w:t>
      </w:r>
      <w:r w:rsidRPr="00194EDC">
        <w:rPr>
          <w:rFonts w:cs="Times New Roman"/>
          <w:color w:val="000000" w:themeColor="text1"/>
          <w:szCs w:val="24"/>
        </w:rPr>
        <w:t>low cytometry showing percentage of cell death.</w:t>
      </w:r>
      <w:r w:rsidR="001F784E" w:rsidRPr="00194EDC">
        <w:rPr>
          <w:rFonts w:cs="Times New Roman"/>
          <w:color w:val="000000" w:themeColor="text1"/>
          <w:szCs w:val="24"/>
        </w:rPr>
        <w:t xml:space="preserve"> (B) Cell cycle profiles of MM cell lines treated with MS023</w:t>
      </w:r>
      <w:r w:rsidR="0010779E" w:rsidRPr="00194EDC">
        <w:rPr>
          <w:rFonts w:cs="Times New Roman"/>
          <w:color w:val="000000" w:themeColor="text1"/>
          <w:szCs w:val="24"/>
        </w:rPr>
        <w:t xml:space="preserve"> at different concentrations.</w:t>
      </w:r>
    </w:p>
    <w:p w14:paraId="448A2269" w14:textId="0256E69F" w:rsidR="007C7DED" w:rsidRPr="00194EDC" w:rsidRDefault="007C7DED">
      <w:pPr>
        <w:spacing w:before="0" w:after="200" w:line="276" w:lineRule="auto"/>
        <w:rPr>
          <w:rFonts w:cs="Times New Roman"/>
          <w:color w:val="000000" w:themeColor="text1"/>
          <w:szCs w:val="24"/>
        </w:rPr>
      </w:pPr>
      <w:r w:rsidRPr="00194EDC">
        <w:rPr>
          <w:rFonts w:cs="Times New Roman"/>
          <w:color w:val="000000" w:themeColor="text1"/>
          <w:szCs w:val="24"/>
        </w:rPr>
        <w:br w:type="page"/>
      </w:r>
    </w:p>
    <w:p w14:paraId="5ADA1862" w14:textId="40647946" w:rsidR="007C7DED" w:rsidRPr="00194EDC" w:rsidRDefault="005E5363" w:rsidP="0012641B">
      <w:pPr>
        <w:keepNext/>
        <w:rPr>
          <w:rFonts w:cs="Times New Roman"/>
          <w:color w:val="000000" w:themeColor="text1"/>
          <w:szCs w:val="24"/>
        </w:rPr>
      </w:pPr>
      <w:r w:rsidRPr="00194EDC">
        <w:rPr>
          <w:rFonts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98D485F" wp14:editId="6C1E4B76">
            <wp:extent cx="5308600" cy="5969000"/>
            <wp:effectExtent l="0" t="0" r="0" b="0"/>
            <wp:docPr id="1760208121" name="Picture 1" descr="A screenshot of a grap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208121" name="Picture 1" descr="A screenshot of a graph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567B" w14:textId="20A771A0" w:rsidR="005E5363" w:rsidRPr="00194EDC" w:rsidRDefault="005E5363" w:rsidP="005E5363">
      <w:pPr>
        <w:keepNext/>
        <w:rPr>
          <w:rFonts w:cs="Times New Roman"/>
          <w:color w:val="000000" w:themeColor="text1"/>
          <w:szCs w:val="24"/>
        </w:rPr>
      </w:pPr>
      <w:r w:rsidRPr="00194EDC">
        <w:rPr>
          <w:rFonts w:cs="Times New Roman"/>
          <w:b/>
          <w:color w:val="000000" w:themeColor="text1"/>
          <w:szCs w:val="24"/>
        </w:rPr>
        <w:t>Supplementary Figure 4.</w:t>
      </w:r>
      <w:r w:rsidRPr="00194EDC">
        <w:rPr>
          <w:rFonts w:cs="Times New Roman"/>
          <w:color w:val="000000" w:themeColor="text1"/>
          <w:szCs w:val="24"/>
        </w:rPr>
        <w:t xml:space="preserve"> Viability assay for primary MM cells from patients. (A) Table showing the purity of CD138+ cells from primary </w:t>
      </w:r>
      <w:r w:rsidR="00B76478" w:rsidRPr="00194EDC">
        <w:rPr>
          <w:rFonts w:cs="Times New Roman"/>
          <w:color w:val="000000" w:themeColor="text1"/>
          <w:szCs w:val="24"/>
        </w:rPr>
        <w:t xml:space="preserve">newly diagnosed (ND) and relapsed/refractory (RR) </w:t>
      </w:r>
      <w:r w:rsidRPr="00194EDC">
        <w:rPr>
          <w:rFonts w:cs="Times New Roman"/>
          <w:color w:val="000000" w:themeColor="text1"/>
          <w:szCs w:val="24"/>
        </w:rPr>
        <w:t>patien</w:t>
      </w:r>
      <w:r w:rsidR="00B76478" w:rsidRPr="00194EDC">
        <w:rPr>
          <w:rFonts w:cs="Times New Roman"/>
          <w:color w:val="000000" w:themeColor="text1"/>
          <w:szCs w:val="24"/>
        </w:rPr>
        <w:t>ts</w:t>
      </w:r>
      <w:r w:rsidRPr="00194EDC">
        <w:rPr>
          <w:rFonts w:cs="Times New Roman"/>
          <w:color w:val="000000" w:themeColor="text1"/>
          <w:szCs w:val="24"/>
        </w:rPr>
        <w:t>.</w:t>
      </w:r>
      <w:r w:rsidR="00B76478" w:rsidRPr="00194EDC">
        <w:rPr>
          <w:rFonts w:cs="Times New Roman"/>
          <w:color w:val="000000" w:themeColor="text1"/>
          <w:szCs w:val="24"/>
        </w:rPr>
        <w:t xml:space="preserve"> Glo-Titer viability assay for </w:t>
      </w:r>
      <w:r w:rsidR="007233A0" w:rsidRPr="00194EDC">
        <w:rPr>
          <w:rFonts w:cs="Times New Roman"/>
          <w:color w:val="000000" w:themeColor="text1"/>
          <w:szCs w:val="24"/>
        </w:rPr>
        <w:t>ND patients (B) and RR patients (C) upon treated with MS023 at different indicated concentrations</w:t>
      </w:r>
      <w:r w:rsidR="00824838" w:rsidRPr="00194EDC">
        <w:rPr>
          <w:rFonts w:cs="Times New Roman"/>
          <w:color w:val="000000" w:themeColor="text1"/>
          <w:szCs w:val="24"/>
        </w:rPr>
        <w:t xml:space="preserve"> for 2 days</w:t>
      </w:r>
      <w:r w:rsidR="007233A0" w:rsidRPr="00194EDC">
        <w:rPr>
          <w:rFonts w:cs="Times New Roman"/>
          <w:color w:val="000000" w:themeColor="text1"/>
          <w:szCs w:val="24"/>
        </w:rPr>
        <w:t xml:space="preserve">. Data shows as mean value of </w:t>
      </w:r>
      <w:r w:rsidR="0079227D" w:rsidRPr="00194EDC">
        <w:rPr>
          <w:rFonts w:cs="Times New Roman"/>
          <w:color w:val="000000" w:themeColor="text1"/>
          <w:szCs w:val="24"/>
        </w:rPr>
        <w:t>technical triplicated.</w:t>
      </w:r>
    </w:p>
    <w:p w14:paraId="75139511" w14:textId="77777777" w:rsidR="00AD0120" w:rsidRPr="00194EDC" w:rsidRDefault="00AD0120">
      <w:pPr>
        <w:spacing w:before="0" w:after="200" w:line="276" w:lineRule="auto"/>
        <w:rPr>
          <w:rFonts w:cs="Times New Roman"/>
          <w:color w:val="000000" w:themeColor="text1"/>
          <w:szCs w:val="24"/>
        </w:rPr>
      </w:pPr>
      <w:r w:rsidRPr="00194EDC">
        <w:rPr>
          <w:rFonts w:cs="Times New Roman"/>
          <w:color w:val="000000" w:themeColor="text1"/>
          <w:szCs w:val="24"/>
        </w:rPr>
        <w:br w:type="page"/>
      </w:r>
    </w:p>
    <w:p w14:paraId="7739A742" w14:textId="77777777" w:rsidR="00731775" w:rsidRPr="00194EDC" w:rsidRDefault="00A4015A" w:rsidP="00731775">
      <w:pPr>
        <w:spacing w:before="0" w:after="200" w:line="276" w:lineRule="auto"/>
        <w:rPr>
          <w:rFonts w:cs="Times New Roman"/>
          <w:b/>
          <w:color w:val="000000" w:themeColor="text1"/>
          <w:szCs w:val="24"/>
        </w:rPr>
      </w:pPr>
      <w:r w:rsidRPr="00194EDC">
        <w:rPr>
          <w:rFonts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C2F3520" wp14:editId="5680444F">
            <wp:extent cx="4846955" cy="6521929"/>
            <wp:effectExtent l="0" t="0" r="4445" b="0"/>
            <wp:docPr id="1610247863" name="Picture 1" descr="A screenshot of a cell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47863" name="Picture 1" descr="A screenshot of a cell phone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0745" cy="660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09A0C" w14:textId="7EE01BFE" w:rsidR="00AD0120" w:rsidRPr="00194EDC" w:rsidRDefault="00AD0120" w:rsidP="00731775">
      <w:pPr>
        <w:spacing w:before="0" w:after="200" w:line="276" w:lineRule="auto"/>
        <w:rPr>
          <w:rFonts w:cs="Times New Roman"/>
          <w:color w:val="000000" w:themeColor="text1"/>
          <w:szCs w:val="24"/>
        </w:rPr>
      </w:pPr>
      <w:r w:rsidRPr="00194EDC">
        <w:rPr>
          <w:rFonts w:cs="Times New Roman"/>
          <w:b/>
          <w:color w:val="000000" w:themeColor="text1"/>
          <w:szCs w:val="24"/>
        </w:rPr>
        <w:t>Supplementary Figure 5.</w:t>
      </w:r>
      <w:r w:rsidRPr="00194EDC">
        <w:rPr>
          <w:rFonts w:cs="Times New Roman"/>
          <w:color w:val="000000" w:themeColor="text1"/>
          <w:szCs w:val="24"/>
        </w:rPr>
        <w:t xml:space="preserve"> </w:t>
      </w:r>
      <w:r w:rsidR="00A36197" w:rsidRPr="00194EDC">
        <w:rPr>
          <w:rFonts w:cs="Times New Roman"/>
          <w:color w:val="000000" w:themeColor="text1"/>
          <w:szCs w:val="24"/>
        </w:rPr>
        <w:t>T cell coculture with MM cell</w:t>
      </w:r>
      <w:r w:rsidRPr="00194EDC">
        <w:rPr>
          <w:rFonts w:cs="Times New Roman"/>
          <w:color w:val="000000" w:themeColor="text1"/>
          <w:szCs w:val="24"/>
        </w:rPr>
        <w:t>.</w:t>
      </w:r>
      <w:r w:rsidR="00AF5A2C" w:rsidRPr="00194EDC">
        <w:rPr>
          <w:rFonts w:cs="Times New Roman"/>
          <w:color w:val="000000" w:themeColor="text1"/>
          <w:szCs w:val="24"/>
        </w:rPr>
        <w:t xml:space="preserve"> </w:t>
      </w:r>
      <w:r w:rsidR="00011DA0" w:rsidRPr="00194EDC">
        <w:rPr>
          <w:rFonts w:cs="Times New Roman"/>
          <w:color w:val="000000" w:themeColor="text1"/>
          <w:szCs w:val="24"/>
        </w:rPr>
        <w:t>JJN3</w:t>
      </w:r>
      <w:r w:rsidR="00AF5A2C" w:rsidRPr="00194EDC">
        <w:rPr>
          <w:rFonts w:cs="Times New Roman"/>
          <w:color w:val="000000" w:themeColor="text1"/>
          <w:szCs w:val="24"/>
        </w:rPr>
        <w:t xml:space="preserve"> and </w:t>
      </w:r>
      <w:r w:rsidR="00011DA0" w:rsidRPr="00194EDC">
        <w:rPr>
          <w:rFonts w:cs="Times New Roman"/>
          <w:color w:val="000000" w:themeColor="text1"/>
          <w:szCs w:val="24"/>
        </w:rPr>
        <w:t>JJN3</w:t>
      </w:r>
      <w:r w:rsidR="00AF5A2C" w:rsidRPr="00194EDC">
        <w:rPr>
          <w:rFonts w:cs="Times New Roman"/>
          <w:color w:val="000000" w:themeColor="text1"/>
          <w:szCs w:val="24"/>
        </w:rPr>
        <w:t>-PRMT1-KO cells were irradiated and cocultured with activated human T cells</w:t>
      </w:r>
      <w:r w:rsidR="00D27087" w:rsidRPr="00194EDC">
        <w:rPr>
          <w:rFonts w:cs="Times New Roman"/>
          <w:color w:val="000000" w:themeColor="text1"/>
          <w:szCs w:val="24"/>
        </w:rPr>
        <w:t xml:space="preserve"> (</w:t>
      </w:r>
      <w:proofErr w:type="spellStart"/>
      <w:r w:rsidR="00D27087" w:rsidRPr="00194EDC">
        <w:rPr>
          <w:rFonts w:cs="Times New Roman"/>
          <w:color w:val="000000" w:themeColor="text1"/>
          <w:szCs w:val="24"/>
        </w:rPr>
        <w:t>prestained</w:t>
      </w:r>
      <w:proofErr w:type="spellEnd"/>
      <w:r w:rsidR="00D27087" w:rsidRPr="00194EDC">
        <w:rPr>
          <w:rFonts w:cs="Times New Roman"/>
          <w:color w:val="000000" w:themeColor="text1"/>
          <w:szCs w:val="24"/>
        </w:rPr>
        <w:t xml:space="preserve"> with cell-trace dye)</w:t>
      </w:r>
      <w:r w:rsidR="00AF5A2C" w:rsidRPr="00194EDC">
        <w:rPr>
          <w:rFonts w:cs="Times New Roman"/>
          <w:color w:val="000000" w:themeColor="text1"/>
          <w:szCs w:val="24"/>
        </w:rPr>
        <w:t xml:space="preserve">. 48 hours later, cells were analyzed by flow cytometry to assess </w:t>
      </w:r>
      <w:r w:rsidR="00D27087" w:rsidRPr="00194EDC">
        <w:rPr>
          <w:rFonts w:cs="Times New Roman"/>
          <w:color w:val="000000" w:themeColor="text1"/>
          <w:szCs w:val="24"/>
        </w:rPr>
        <w:t xml:space="preserve">the proliferation (A) and </w:t>
      </w:r>
      <w:r w:rsidR="00AF5A2C" w:rsidRPr="00194EDC">
        <w:rPr>
          <w:rFonts w:cs="Times New Roman"/>
          <w:color w:val="000000" w:themeColor="text1"/>
          <w:szCs w:val="24"/>
        </w:rPr>
        <w:t>the activation status of human T cells</w:t>
      </w:r>
      <w:r w:rsidR="00F0647E" w:rsidRPr="00194EDC">
        <w:rPr>
          <w:rFonts w:cs="Times New Roman"/>
          <w:color w:val="000000" w:themeColor="text1"/>
          <w:szCs w:val="24"/>
        </w:rPr>
        <w:t xml:space="preserve"> with CD69</w:t>
      </w:r>
      <w:r w:rsidR="00D27087" w:rsidRPr="00194EDC">
        <w:rPr>
          <w:rFonts w:cs="Times New Roman"/>
          <w:color w:val="000000" w:themeColor="text1"/>
          <w:szCs w:val="24"/>
        </w:rPr>
        <w:t xml:space="preserve"> (B)</w:t>
      </w:r>
      <w:r w:rsidR="00F0647E" w:rsidRPr="00194EDC">
        <w:rPr>
          <w:rFonts w:cs="Times New Roman"/>
          <w:color w:val="000000" w:themeColor="text1"/>
          <w:szCs w:val="24"/>
        </w:rPr>
        <w:t xml:space="preserve"> and CD25 (C)</w:t>
      </w:r>
      <w:r w:rsidR="00AF5A2C" w:rsidRPr="00194EDC">
        <w:rPr>
          <w:rFonts w:cs="Times New Roman"/>
          <w:color w:val="000000" w:themeColor="text1"/>
          <w:szCs w:val="24"/>
        </w:rPr>
        <w:t>. Cells were pre</w:t>
      </w:r>
      <w:r w:rsidR="005C3CFD" w:rsidRPr="00194EDC">
        <w:rPr>
          <w:rFonts w:cs="Times New Roman"/>
          <w:color w:val="000000" w:themeColor="text1"/>
          <w:szCs w:val="24"/>
        </w:rPr>
        <w:t>-</w:t>
      </w:r>
      <w:r w:rsidR="00AF5A2C" w:rsidRPr="00194EDC">
        <w:rPr>
          <w:rFonts w:cs="Times New Roman"/>
          <w:color w:val="000000" w:themeColor="text1"/>
          <w:szCs w:val="24"/>
        </w:rPr>
        <w:t>gated with CD3</w:t>
      </w:r>
      <w:r w:rsidR="00736F0C" w:rsidRPr="00194EDC">
        <w:rPr>
          <w:rFonts w:cs="Times New Roman"/>
          <w:color w:val="000000" w:themeColor="text1"/>
          <w:szCs w:val="24"/>
        </w:rPr>
        <w:t>+ cells</w:t>
      </w:r>
      <w:r w:rsidR="00AF5A2C" w:rsidRPr="00194EDC">
        <w:rPr>
          <w:rFonts w:cs="Times New Roman"/>
          <w:color w:val="000000" w:themeColor="text1"/>
          <w:szCs w:val="24"/>
        </w:rPr>
        <w:t>.</w:t>
      </w:r>
      <w:r w:rsidR="00FE5C39" w:rsidRPr="00194EDC">
        <w:rPr>
          <w:rFonts w:cs="Times New Roman"/>
          <w:color w:val="000000" w:themeColor="text1"/>
          <w:szCs w:val="24"/>
        </w:rPr>
        <w:t xml:space="preserve"> FACS </w:t>
      </w:r>
      <w:r w:rsidR="00D82D42" w:rsidRPr="00194EDC">
        <w:rPr>
          <w:rFonts w:cs="Times New Roman"/>
          <w:color w:val="000000" w:themeColor="text1"/>
          <w:szCs w:val="24"/>
        </w:rPr>
        <w:t>p</w:t>
      </w:r>
      <w:r w:rsidR="00FE5C39" w:rsidRPr="00194EDC">
        <w:rPr>
          <w:rFonts w:cs="Times New Roman"/>
          <w:color w:val="000000" w:themeColor="text1"/>
          <w:szCs w:val="24"/>
        </w:rPr>
        <w:t>lot</w:t>
      </w:r>
      <w:r w:rsidR="00D82D42" w:rsidRPr="00194EDC">
        <w:rPr>
          <w:rFonts w:cs="Times New Roman"/>
          <w:color w:val="000000" w:themeColor="text1"/>
          <w:szCs w:val="24"/>
        </w:rPr>
        <w:t xml:space="preserve"> </w:t>
      </w:r>
      <w:r w:rsidR="00FE5C39" w:rsidRPr="00194EDC">
        <w:rPr>
          <w:rFonts w:cs="Times New Roman"/>
          <w:color w:val="000000" w:themeColor="text1"/>
          <w:szCs w:val="24"/>
        </w:rPr>
        <w:t>shows the data of 3 independent experiments.</w:t>
      </w:r>
      <w:r w:rsidR="00A4015A" w:rsidRPr="00194EDC">
        <w:rPr>
          <w:rFonts w:cs="Times New Roman"/>
          <w:color w:val="000000" w:themeColor="text1"/>
          <w:szCs w:val="24"/>
        </w:rPr>
        <w:t xml:space="preserve"> (D)</w:t>
      </w:r>
      <w:r w:rsidR="00AD73C4" w:rsidRPr="00194EDC">
        <w:rPr>
          <w:rFonts w:cs="Times New Roman"/>
          <w:color w:val="000000" w:themeColor="text1"/>
          <w:szCs w:val="24"/>
        </w:rPr>
        <w:t xml:space="preserve"> Expression of genes regulating cell division process</w:t>
      </w:r>
      <w:r w:rsidR="00B2032B" w:rsidRPr="00194EDC">
        <w:rPr>
          <w:rFonts w:cs="Times New Roman"/>
          <w:color w:val="000000" w:themeColor="text1"/>
          <w:szCs w:val="24"/>
        </w:rPr>
        <w:t xml:space="preserve"> extracted from RNA sequencing data.</w:t>
      </w:r>
    </w:p>
    <w:p w14:paraId="44424367" w14:textId="77777777" w:rsidR="00D82D42" w:rsidRPr="00194EDC" w:rsidRDefault="00D82D42" w:rsidP="00AD0120">
      <w:pPr>
        <w:keepNext/>
        <w:rPr>
          <w:rFonts w:cs="Times New Roman"/>
          <w:color w:val="000000" w:themeColor="text1"/>
          <w:szCs w:val="24"/>
        </w:rPr>
      </w:pPr>
    </w:p>
    <w:p w14:paraId="252CF29F" w14:textId="77777777" w:rsidR="00D82D42" w:rsidRPr="00194EDC" w:rsidRDefault="00D82D42" w:rsidP="00AD0120">
      <w:pPr>
        <w:keepNext/>
        <w:rPr>
          <w:rFonts w:cs="Times New Roman"/>
          <w:color w:val="000000" w:themeColor="text1"/>
          <w:szCs w:val="24"/>
        </w:rPr>
      </w:pPr>
    </w:p>
    <w:p w14:paraId="541AA4A1" w14:textId="0DD4A9D2" w:rsidR="00D82D42" w:rsidRPr="00194EDC" w:rsidRDefault="00D82D42" w:rsidP="00AD0120">
      <w:pPr>
        <w:keepNext/>
        <w:rPr>
          <w:rFonts w:cs="Times New Roman"/>
          <w:color w:val="000000" w:themeColor="text1"/>
          <w:szCs w:val="24"/>
        </w:rPr>
      </w:pPr>
      <w:r w:rsidRPr="00194EDC">
        <w:rPr>
          <w:rFonts w:cs="Times New Roman"/>
          <w:noProof/>
          <w:color w:val="000000" w:themeColor="text1"/>
          <w:szCs w:val="24"/>
        </w:rPr>
        <w:drawing>
          <wp:inline distT="0" distB="0" distL="0" distR="0" wp14:anchorId="3283829B" wp14:editId="7A363950">
            <wp:extent cx="3403600" cy="2768600"/>
            <wp:effectExtent l="0" t="0" r="0" b="0"/>
            <wp:docPr id="1433255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5500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AC046" w14:textId="77777777" w:rsidR="00D82D42" w:rsidRPr="00194EDC" w:rsidRDefault="00D82D42" w:rsidP="00AD0120">
      <w:pPr>
        <w:keepNext/>
        <w:rPr>
          <w:rFonts w:cs="Times New Roman"/>
          <w:color w:val="000000" w:themeColor="text1"/>
          <w:szCs w:val="24"/>
        </w:rPr>
      </w:pPr>
    </w:p>
    <w:p w14:paraId="7DC82453" w14:textId="77777777" w:rsidR="00D82D42" w:rsidRPr="00194EDC" w:rsidRDefault="00D82D42" w:rsidP="00AD0120">
      <w:pPr>
        <w:keepNext/>
        <w:rPr>
          <w:rFonts w:cs="Times New Roman"/>
          <w:color w:val="000000" w:themeColor="text1"/>
          <w:szCs w:val="24"/>
        </w:rPr>
      </w:pPr>
    </w:p>
    <w:p w14:paraId="29CE3430" w14:textId="7FB802ED" w:rsidR="00731775" w:rsidRPr="00194EDC" w:rsidRDefault="00731775" w:rsidP="00731775">
      <w:pPr>
        <w:spacing w:before="0" w:after="200" w:line="276" w:lineRule="auto"/>
        <w:rPr>
          <w:rFonts w:cs="Times New Roman"/>
          <w:color w:val="000000" w:themeColor="text1"/>
          <w:szCs w:val="24"/>
        </w:rPr>
      </w:pPr>
      <w:r w:rsidRPr="00194EDC">
        <w:rPr>
          <w:rFonts w:cs="Times New Roman"/>
          <w:b/>
          <w:color w:val="000000" w:themeColor="text1"/>
          <w:szCs w:val="24"/>
        </w:rPr>
        <w:t>Supplementary Figure 6.</w:t>
      </w:r>
      <w:r w:rsidRPr="00194EDC">
        <w:rPr>
          <w:rFonts w:cs="Times New Roman"/>
          <w:color w:val="000000" w:themeColor="text1"/>
          <w:szCs w:val="24"/>
        </w:rPr>
        <w:t xml:space="preserve"> </w:t>
      </w:r>
      <w:r w:rsidR="00BE168B" w:rsidRPr="00194EDC">
        <w:rPr>
          <w:rFonts w:cs="Times New Roman"/>
          <w:color w:val="000000" w:themeColor="text1"/>
          <w:szCs w:val="24"/>
        </w:rPr>
        <w:t xml:space="preserve">Non-contact </w:t>
      </w:r>
      <w:r w:rsidRPr="00194EDC">
        <w:rPr>
          <w:rFonts w:cs="Times New Roman"/>
          <w:color w:val="000000" w:themeColor="text1"/>
          <w:szCs w:val="24"/>
        </w:rPr>
        <w:t xml:space="preserve">T cell coculture with MM cell. </w:t>
      </w:r>
      <w:r w:rsidR="00011DA0" w:rsidRPr="00194EDC">
        <w:rPr>
          <w:rFonts w:cs="Times New Roman"/>
          <w:color w:val="000000" w:themeColor="text1"/>
          <w:szCs w:val="24"/>
        </w:rPr>
        <w:t>JJN3</w:t>
      </w:r>
      <w:r w:rsidRPr="00194EDC">
        <w:rPr>
          <w:rFonts w:cs="Times New Roman"/>
          <w:color w:val="000000" w:themeColor="text1"/>
          <w:szCs w:val="24"/>
        </w:rPr>
        <w:t xml:space="preserve"> </w:t>
      </w:r>
      <w:r w:rsidR="005A6A55" w:rsidRPr="00194EDC">
        <w:rPr>
          <w:rFonts w:cs="Times New Roman"/>
          <w:color w:val="000000" w:themeColor="text1"/>
          <w:szCs w:val="24"/>
        </w:rPr>
        <w:t>or</w:t>
      </w:r>
      <w:r w:rsidRPr="00194EDC">
        <w:rPr>
          <w:rFonts w:cs="Times New Roman"/>
          <w:color w:val="000000" w:themeColor="text1"/>
          <w:szCs w:val="24"/>
        </w:rPr>
        <w:t xml:space="preserve"> </w:t>
      </w:r>
      <w:r w:rsidR="00011DA0" w:rsidRPr="00194EDC">
        <w:rPr>
          <w:rFonts w:cs="Times New Roman"/>
          <w:color w:val="000000" w:themeColor="text1"/>
          <w:szCs w:val="24"/>
        </w:rPr>
        <w:t>JJN3</w:t>
      </w:r>
      <w:r w:rsidRPr="00194EDC">
        <w:rPr>
          <w:rFonts w:cs="Times New Roman"/>
          <w:color w:val="000000" w:themeColor="text1"/>
          <w:szCs w:val="24"/>
        </w:rPr>
        <w:t xml:space="preserve">-PRMT1-KO cells were </w:t>
      </w:r>
      <w:r w:rsidR="008E73E5" w:rsidRPr="00194EDC">
        <w:rPr>
          <w:rFonts w:cs="Times New Roman"/>
          <w:color w:val="000000" w:themeColor="text1"/>
          <w:szCs w:val="24"/>
        </w:rPr>
        <w:t xml:space="preserve">seeded on the upper chamber of the </w:t>
      </w:r>
      <w:proofErr w:type="spellStart"/>
      <w:r w:rsidR="008E73E5" w:rsidRPr="00194EDC">
        <w:rPr>
          <w:rFonts w:cs="Times New Roman"/>
          <w:color w:val="000000" w:themeColor="text1"/>
          <w:szCs w:val="24"/>
        </w:rPr>
        <w:t>transwell</w:t>
      </w:r>
      <w:proofErr w:type="spellEnd"/>
      <w:r w:rsidR="008E73E5" w:rsidRPr="00194EDC">
        <w:rPr>
          <w:rFonts w:cs="Times New Roman"/>
          <w:color w:val="000000" w:themeColor="text1"/>
          <w:szCs w:val="24"/>
        </w:rPr>
        <w:t xml:space="preserve">, while </w:t>
      </w:r>
      <w:r w:rsidR="004F7EE5" w:rsidRPr="00194EDC">
        <w:rPr>
          <w:rFonts w:cs="Times New Roman"/>
          <w:color w:val="000000" w:themeColor="text1"/>
          <w:szCs w:val="24"/>
        </w:rPr>
        <w:t>the activated</w:t>
      </w:r>
      <w:r w:rsidRPr="00194EDC">
        <w:rPr>
          <w:rFonts w:cs="Times New Roman"/>
          <w:color w:val="000000" w:themeColor="text1"/>
          <w:szCs w:val="24"/>
        </w:rPr>
        <w:t xml:space="preserve"> human T cells </w:t>
      </w:r>
      <w:r w:rsidR="008E73E5" w:rsidRPr="00194EDC">
        <w:rPr>
          <w:rFonts w:cs="Times New Roman"/>
          <w:color w:val="000000" w:themeColor="text1"/>
          <w:szCs w:val="24"/>
        </w:rPr>
        <w:t>were cultured in the bottom chamber</w:t>
      </w:r>
      <w:r w:rsidR="004F7EE5" w:rsidRPr="00194EDC">
        <w:rPr>
          <w:rFonts w:cs="Times New Roman"/>
          <w:color w:val="000000" w:themeColor="text1"/>
          <w:szCs w:val="24"/>
        </w:rPr>
        <w:t xml:space="preserve">. </w:t>
      </w:r>
      <w:r w:rsidRPr="00194EDC">
        <w:rPr>
          <w:rFonts w:cs="Times New Roman"/>
          <w:color w:val="000000" w:themeColor="text1"/>
          <w:szCs w:val="24"/>
        </w:rPr>
        <w:t xml:space="preserve">48 hours later, cells were analyzed by flow cytometry to assess the </w:t>
      </w:r>
      <w:proofErr w:type="spellStart"/>
      <w:r w:rsidRPr="00194EDC">
        <w:rPr>
          <w:rFonts w:cs="Times New Roman"/>
          <w:color w:val="000000" w:themeColor="text1"/>
          <w:szCs w:val="24"/>
        </w:rPr>
        <w:t>the</w:t>
      </w:r>
      <w:proofErr w:type="spellEnd"/>
      <w:r w:rsidRPr="00194EDC">
        <w:rPr>
          <w:rFonts w:cs="Times New Roman"/>
          <w:color w:val="000000" w:themeColor="text1"/>
          <w:szCs w:val="24"/>
        </w:rPr>
        <w:t xml:space="preserve"> activation status of human T cells with CD69 (</w:t>
      </w:r>
      <w:r w:rsidR="004F7EE5" w:rsidRPr="00194EDC">
        <w:rPr>
          <w:rFonts w:cs="Times New Roman"/>
          <w:color w:val="000000" w:themeColor="text1"/>
          <w:szCs w:val="24"/>
        </w:rPr>
        <w:t>left</w:t>
      </w:r>
      <w:r w:rsidRPr="00194EDC">
        <w:rPr>
          <w:rFonts w:cs="Times New Roman"/>
          <w:color w:val="000000" w:themeColor="text1"/>
          <w:szCs w:val="24"/>
        </w:rPr>
        <w:t>) and CD25 (</w:t>
      </w:r>
      <w:r w:rsidR="004F7EE5" w:rsidRPr="00194EDC">
        <w:rPr>
          <w:rFonts w:cs="Times New Roman"/>
          <w:color w:val="000000" w:themeColor="text1"/>
          <w:szCs w:val="24"/>
        </w:rPr>
        <w:t>right</w:t>
      </w:r>
      <w:r w:rsidRPr="00194EDC">
        <w:rPr>
          <w:rFonts w:cs="Times New Roman"/>
          <w:color w:val="000000" w:themeColor="text1"/>
          <w:szCs w:val="24"/>
        </w:rPr>
        <w:t xml:space="preserve">). Cells were pre-gated with CD3+ cells. FACS plot shows the data of 3 independent experiments. </w:t>
      </w:r>
    </w:p>
    <w:p w14:paraId="1B06A4EE" w14:textId="77777777" w:rsidR="00D82D42" w:rsidRPr="00194EDC" w:rsidRDefault="00D82D42" w:rsidP="00AD0120">
      <w:pPr>
        <w:keepNext/>
        <w:rPr>
          <w:rFonts w:cs="Times New Roman"/>
          <w:color w:val="000000" w:themeColor="text1"/>
          <w:szCs w:val="24"/>
        </w:rPr>
      </w:pPr>
    </w:p>
    <w:p w14:paraId="2F558F92" w14:textId="24BE4E46" w:rsidR="00043AB5" w:rsidRPr="00194EDC" w:rsidRDefault="00043AB5">
      <w:pPr>
        <w:spacing w:before="0" w:after="200" w:line="276" w:lineRule="auto"/>
        <w:rPr>
          <w:rFonts w:cs="Times New Roman"/>
          <w:color w:val="000000" w:themeColor="text1"/>
          <w:szCs w:val="24"/>
        </w:rPr>
      </w:pPr>
      <w:r w:rsidRPr="00194EDC">
        <w:rPr>
          <w:rFonts w:cs="Times New Roman"/>
          <w:color w:val="000000" w:themeColor="text1"/>
          <w:szCs w:val="24"/>
        </w:rPr>
        <w:br w:type="page"/>
      </w:r>
    </w:p>
    <w:p w14:paraId="20A1CB05" w14:textId="098F7B25" w:rsidR="00043AB5" w:rsidRPr="00194EDC" w:rsidRDefault="00043AB5" w:rsidP="005E5363">
      <w:pPr>
        <w:keepNext/>
        <w:rPr>
          <w:rFonts w:cs="Times New Roman"/>
          <w:color w:val="000000" w:themeColor="text1"/>
          <w:szCs w:val="24"/>
        </w:rPr>
      </w:pPr>
      <w:r w:rsidRPr="00194EDC">
        <w:rPr>
          <w:rFonts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073F46F" wp14:editId="5B7536CA">
            <wp:extent cx="5664200" cy="2057400"/>
            <wp:effectExtent l="0" t="0" r="0" b="0"/>
            <wp:docPr id="1721028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2860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6952" w14:textId="77777777" w:rsidR="0046698E" w:rsidRPr="00194EDC" w:rsidRDefault="0046698E" w:rsidP="002B4A57">
      <w:pPr>
        <w:keepNext/>
        <w:rPr>
          <w:rFonts w:cs="Times New Roman"/>
          <w:b/>
          <w:color w:val="000000" w:themeColor="text1"/>
          <w:szCs w:val="24"/>
        </w:rPr>
      </w:pPr>
    </w:p>
    <w:p w14:paraId="7F3C49A7" w14:textId="26595D62" w:rsidR="00043AB5" w:rsidRPr="00194EDC" w:rsidRDefault="00043AB5" w:rsidP="00043AB5">
      <w:pPr>
        <w:keepNext/>
        <w:rPr>
          <w:rFonts w:cs="Times New Roman"/>
          <w:color w:val="000000" w:themeColor="text1"/>
          <w:szCs w:val="24"/>
        </w:rPr>
      </w:pPr>
      <w:r w:rsidRPr="00194EDC">
        <w:rPr>
          <w:rFonts w:cs="Times New Roman"/>
          <w:b/>
          <w:color w:val="000000" w:themeColor="text1"/>
          <w:szCs w:val="24"/>
        </w:rPr>
        <w:t xml:space="preserve">Supplementary Figure </w:t>
      </w:r>
      <w:r w:rsidR="00F8444F" w:rsidRPr="00194EDC">
        <w:rPr>
          <w:rFonts w:cs="Times New Roman"/>
          <w:b/>
          <w:color w:val="000000" w:themeColor="text1"/>
          <w:szCs w:val="24"/>
        </w:rPr>
        <w:t>7</w:t>
      </w:r>
      <w:r w:rsidRPr="00194EDC">
        <w:rPr>
          <w:rFonts w:cs="Times New Roman"/>
          <w:b/>
          <w:color w:val="000000" w:themeColor="text1"/>
          <w:szCs w:val="24"/>
        </w:rPr>
        <w:t>.</w:t>
      </w:r>
      <w:r w:rsidRPr="00194EDC">
        <w:rPr>
          <w:rFonts w:cs="Times New Roman"/>
          <w:color w:val="000000" w:themeColor="text1"/>
          <w:szCs w:val="24"/>
        </w:rPr>
        <w:t xml:space="preserve"> </w:t>
      </w:r>
      <w:r w:rsidR="00023BEF" w:rsidRPr="00194EDC">
        <w:rPr>
          <w:rFonts w:cs="Times New Roman"/>
          <w:color w:val="000000" w:themeColor="text1"/>
          <w:szCs w:val="24"/>
        </w:rPr>
        <w:t>Xenograft model for KMS11 cells</w:t>
      </w:r>
      <w:r w:rsidRPr="00194EDC">
        <w:rPr>
          <w:rFonts w:cs="Times New Roman"/>
          <w:color w:val="000000" w:themeColor="text1"/>
          <w:szCs w:val="24"/>
        </w:rPr>
        <w:t>.</w:t>
      </w:r>
      <w:r w:rsidR="00023BEF" w:rsidRPr="00194EDC">
        <w:rPr>
          <w:rFonts w:cs="Times New Roman"/>
          <w:color w:val="000000" w:themeColor="text1"/>
          <w:szCs w:val="24"/>
        </w:rPr>
        <w:t xml:space="preserve"> (A) tumor volumes</w:t>
      </w:r>
      <w:r w:rsidR="009923A1" w:rsidRPr="00194EDC">
        <w:rPr>
          <w:rFonts w:cs="Times New Roman"/>
          <w:color w:val="000000" w:themeColor="text1"/>
          <w:szCs w:val="24"/>
        </w:rPr>
        <w:t xml:space="preserve"> and survival curves of mice transplanted with control KMS11 and PRMT1-KO</w:t>
      </w:r>
      <w:r w:rsidR="007F7ABB" w:rsidRPr="00194EDC">
        <w:rPr>
          <w:rFonts w:cs="Times New Roman"/>
          <w:color w:val="000000" w:themeColor="text1"/>
          <w:szCs w:val="24"/>
        </w:rPr>
        <w:t xml:space="preserve"> KMS11 cells (n=5). </w:t>
      </w:r>
    </w:p>
    <w:p w14:paraId="58F1AED1" w14:textId="77777777" w:rsidR="00DE23E8" w:rsidRPr="00194EDC" w:rsidRDefault="00DE23E8" w:rsidP="00654E8F">
      <w:pPr>
        <w:spacing w:before="240"/>
        <w:rPr>
          <w:color w:val="000000" w:themeColor="text1"/>
        </w:rPr>
      </w:pPr>
    </w:p>
    <w:sectPr w:rsidR="00DE23E8" w:rsidRPr="00194EDC" w:rsidSect="0093429D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3860A" w14:textId="77777777" w:rsidR="00220C1C" w:rsidRDefault="00220C1C" w:rsidP="00117666">
      <w:pPr>
        <w:spacing w:after="0"/>
      </w:pPr>
      <w:r>
        <w:separator/>
      </w:r>
    </w:p>
  </w:endnote>
  <w:endnote w:type="continuationSeparator" w:id="0">
    <w:p w14:paraId="52B9B68E" w14:textId="77777777" w:rsidR="00220C1C" w:rsidRDefault="00220C1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2FDC4" w14:textId="77777777" w:rsidR="00220C1C" w:rsidRDefault="00220C1C" w:rsidP="00117666">
      <w:pPr>
        <w:spacing w:after="0"/>
      </w:pPr>
      <w:r>
        <w:separator/>
      </w:r>
    </w:p>
  </w:footnote>
  <w:footnote w:type="continuationSeparator" w:id="0">
    <w:p w14:paraId="7BE5F80F" w14:textId="77777777" w:rsidR="00220C1C" w:rsidRDefault="00220C1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1DA0"/>
    <w:rsid w:val="0001436A"/>
    <w:rsid w:val="00023BEF"/>
    <w:rsid w:val="00034304"/>
    <w:rsid w:val="00035434"/>
    <w:rsid w:val="00043AB5"/>
    <w:rsid w:val="00046EE2"/>
    <w:rsid w:val="00052A14"/>
    <w:rsid w:val="00077D53"/>
    <w:rsid w:val="00105FD9"/>
    <w:rsid w:val="0010779E"/>
    <w:rsid w:val="00117666"/>
    <w:rsid w:val="0012641B"/>
    <w:rsid w:val="001549D3"/>
    <w:rsid w:val="00160065"/>
    <w:rsid w:val="00177D84"/>
    <w:rsid w:val="00194EDC"/>
    <w:rsid w:val="001F784E"/>
    <w:rsid w:val="00220C1C"/>
    <w:rsid w:val="00267D18"/>
    <w:rsid w:val="002868E2"/>
    <w:rsid w:val="002869C3"/>
    <w:rsid w:val="002936E4"/>
    <w:rsid w:val="002B4A57"/>
    <w:rsid w:val="002C74CA"/>
    <w:rsid w:val="003544FB"/>
    <w:rsid w:val="003D2F2D"/>
    <w:rsid w:val="003F52E0"/>
    <w:rsid w:val="00401590"/>
    <w:rsid w:val="00425206"/>
    <w:rsid w:val="00447801"/>
    <w:rsid w:val="00451586"/>
    <w:rsid w:val="00452E9C"/>
    <w:rsid w:val="0046698E"/>
    <w:rsid w:val="004735C8"/>
    <w:rsid w:val="00483159"/>
    <w:rsid w:val="004961FF"/>
    <w:rsid w:val="004A143B"/>
    <w:rsid w:val="004E2926"/>
    <w:rsid w:val="004F7EE5"/>
    <w:rsid w:val="00517A89"/>
    <w:rsid w:val="005250F2"/>
    <w:rsid w:val="00593925"/>
    <w:rsid w:val="00593EEA"/>
    <w:rsid w:val="005A5EEE"/>
    <w:rsid w:val="005A6A55"/>
    <w:rsid w:val="005C3CFD"/>
    <w:rsid w:val="005E5363"/>
    <w:rsid w:val="00626D5B"/>
    <w:rsid w:val="006375C7"/>
    <w:rsid w:val="00654E8F"/>
    <w:rsid w:val="00660D05"/>
    <w:rsid w:val="006820B1"/>
    <w:rsid w:val="006833F0"/>
    <w:rsid w:val="006B7D14"/>
    <w:rsid w:val="00701727"/>
    <w:rsid w:val="0070566C"/>
    <w:rsid w:val="00714C50"/>
    <w:rsid w:val="007233A0"/>
    <w:rsid w:val="00725A7D"/>
    <w:rsid w:val="00731775"/>
    <w:rsid w:val="00736F0C"/>
    <w:rsid w:val="007501BE"/>
    <w:rsid w:val="00750B5C"/>
    <w:rsid w:val="00771DFC"/>
    <w:rsid w:val="00790BB3"/>
    <w:rsid w:val="0079227D"/>
    <w:rsid w:val="007C206C"/>
    <w:rsid w:val="007C7DED"/>
    <w:rsid w:val="007F7ABB"/>
    <w:rsid w:val="00800FA5"/>
    <w:rsid w:val="00803D24"/>
    <w:rsid w:val="00817DD6"/>
    <w:rsid w:val="00824838"/>
    <w:rsid w:val="00885156"/>
    <w:rsid w:val="008E73E5"/>
    <w:rsid w:val="009151AA"/>
    <w:rsid w:val="0093429D"/>
    <w:rsid w:val="00943573"/>
    <w:rsid w:val="00945D96"/>
    <w:rsid w:val="00970F7D"/>
    <w:rsid w:val="009923A1"/>
    <w:rsid w:val="00994A3D"/>
    <w:rsid w:val="009B4EFD"/>
    <w:rsid w:val="009C2B12"/>
    <w:rsid w:val="009C70F3"/>
    <w:rsid w:val="009D794D"/>
    <w:rsid w:val="00A174D9"/>
    <w:rsid w:val="00A20858"/>
    <w:rsid w:val="00A35BA1"/>
    <w:rsid w:val="00A36197"/>
    <w:rsid w:val="00A4015A"/>
    <w:rsid w:val="00A569CD"/>
    <w:rsid w:val="00AB6715"/>
    <w:rsid w:val="00AD0120"/>
    <w:rsid w:val="00AD73C4"/>
    <w:rsid w:val="00AF5A2C"/>
    <w:rsid w:val="00B1671E"/>
    <w:rsid w:val="00B2032B"/>
    <w:rsid w:val="00B25EB8"/>
    <w:rsid w:val="00B354E1"/>
    <w:rsid w:val="00B37F4D"/>
    <w:rsid w:val="00B76478"/>
    <w:rsid w:val="00BA5182"/>
    <w:rsid w:val="00BA7D17"/>
    <w:rsid w:val="00BE168B"/>
    <w:rsid w:val="00C52A7B"/>
    <w:rsid w:val="00C56BAF"/>
    <w:rsid w:val="00C576C1"/>
    <w:rsid w:val="00C679AA"/>
    <w:rsid w:val="00C75972"/>
    <w:rsid w:val="00C97221"/>
    <w:rsid w:val="00CC0A3A"/>
    <w:rsid w:val="00CD066B"/>
    <w:rsid w:val="00CE4FEE"/>
    <w:rsid w:val="00D27087"/>
    <w:rsid w:val="00D82D42"/>
    <w:rsid w:val="00DA5039"/>
    <w:rsid w:val="00DB59C3"/>
    <w:rsid w:val="00DC259A"/>
    <w:rsid w:val="00DD5E8D"/>
    <w:rsid w:val="00DE23E8"/>
    <w:rsid w:val="00DF654B"/>
    <w:rsid w:val="00DF7D03"/>
    <w:rsid w:val="00E52377"/>
    <w:rsid w:val="00E61C93"/>
    <w:rsid w:val="00E64E17"/>
    <w:rsid w:val="00E866C9"/>
    <w:rsid w:val="00EA3D3C"/>
    <w:rsid w:val="00EE15A6"/>
    <w:rsid w:val="00F0647E"/>
    <w:rsid w:val="00F46900"/>
    <w:rsid w:val="00F61D89"/>
    <w:rsid w:val="00F81E09"/>
    <w:rsid w:val="00F8444F"/>
    <w:rsid w:val="00FE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48</TotalTime>
  <Pages>8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Naimeng Liu</cp:lastModifiedBy>
  <cp:revision>64</cp:revision>
  <cp:lastPrinted>2013-10-03T12:51:00Z</cp:lastPrinted>
  <dcterms:created xsi:type="dcterms:W3CDTF">2022-11-17T16:58:00Z</dcterms:created>
  <dcterms:modified xsi:type="dcterms:W3CDTF">2023-07-11T07:22:00Z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