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8B" w:rsidRDefault="00E51E8B" w:rsidP="00E51E8B">
      <w:pPr>
        <w:spacing w:before="0" w:after="0"/>
        <w:jc w:val="both"/>
        <w:rPr>
          <w:bCs/>
          <w:iCs/>
        </w:rPr>
      </w:pPr>
      <w:bookmarkStart w:id="0" w:name="_Ref128668915"/>
      <w:bookmarkStart w:id="1" w:name="_Ref128668913"/>
      <w:bookmarkStart w:id="2" w:name="_GoBack"/>
      <w:bookmarkEnd w:id="2"/>
      <w:r>
        <w:rPr>
          <w:b/>
          <w:iCs/>
        </w:rPr>
        <w:t>Supplementary Table</w:t>
      </w:r>
      <w:r w:rsidRPr="00C92A63">
        <w:rPr>
          <w:b/>
          <w:iCs/>
        </w:rPr>
        <w:t xml:space="preserve"> </w:t>
      </w:r>
      <w:r w:rsidRPr="00C92A63">
        <w:rPr>
          <w:b/>
          <w:iCs/>
        </w:rPr>
        <w:fldChar w:fldCharType="begin"/>
      </w:r>
      <w:r w:rsidRPr="00C92A63">
        <w:rPr>
          <w:b/>
          <w:iCs/>
        </w:rPr>
        <w:instrText xml:space="preserve"> SEQ Table \* ARABIC </w:instrText>
      </w:r>
      <w:r w:rsidRPr="00C92A63">
        <w:rPr>
          <w:b/>
          <w:iCs/>
        </w:rPr>
        <w:fldChar w:fldCharType="separate"/>
      </w:r>
      <w:r>
        <w:rPr>
          <w:b/>
          <w:iCs/>
          <w:noProof/>
        </w:rPr>
        <w:t>5</w:t>
      </w:r>
      <w:r w:rsidRPr="00C92A63">
        <w:fldChar w:fldCharType="end"/>
      </w:r>
      <w:bookmarkEnd w:id="0"/>
      <w:r w:rsidRPr="00C92A63">
        <w:rPr>
          <w:b/>
          <w:iCs/>
        </w:rPr>
        <w:t xml:space="preserve">: </w:t>
      </w:r>
      <w:r w:rsidRPr="00C92A63">
        <w:rPr>
          <w:b/>
          <w:bCs/>
          <w:iCs/>
        </w:rPr>
        <w:t xml:space="preserve">Summary of all established standard conditions for </w:t>
      </w:r>
      <w:r w:rsidRPr="00C92A63">
        <w:rPr>
          <w:b/>
          <w:bCs/>
          <w:i/>
        </w:rPr>
        <w:t>in</w:t>
      </w:r>
      <w:r w:rsidRPr="00C92A63">
        <w:rPr>
          <w:b/>
          <w:bCs/>
          <w:i/>
          <w:iCs/>
        </w:rPr>
        <w:t xml:space="preserve"> </w:t>
      </w:r>
      <w:r w:rsidRPr="00C92A63">
        <w:rPr>
          <w:b/>
          <w:bCs/>
          <w:i/>
        </w:rPr>
        <w:t>vitro</w:t>
      </w:r>
      <w:r w:rsidRPr="00C92A63">
        <w:rPr>
          <w:b/>
          <w:bCs/>
        </w:rPr>
        <w:t xml:space="preserve"> </w:t>
      </w:r>
      <w:r w:rsidRPr="00C92A63">
        <w:rPr>
          <w:b/>
          <w:bCs/>
          <w:iCs/>
        </w:rPr>
        <w:t>kinase assays.</w:t>
      </w:r>
      <w:r w:rsidRPr="00C92A63">
        <w:rPr>
          <w:bCs/>
          <w:iCs/>
        </w:rPr>
        <w:t xml:space="preserve"> </w:t>
      </w:r>
      <w:r w:rsidRPr="00C92A63">
        <w:rPr>
          <w:iCs/>
        </w:rPr>
        <w:t>Standard conditions for GST-humCK1δ</w:t>
      </w:r>
      <w:r w:rsidRPr="00C92A63">
        <w:rPr>
          <w:iCs/>
          <w:vertAlign w:val="superscript"/>
        </w:rPr>
        <w:t>TV1</w:t>
      </w:r>
      <w:r w:rsidRPr="00C92A63">
        <w:rPr>
          <w:iCs/>
        </w:rPr>
        <w:t xml:space="preserve"> were previously established. </w:t>
      </w:r>
      <w:bookmarkEnd w:id="1"/>
      <w:r w:rsidRPr="00C92A63">
        <w:rPr>
          <w:iCs/>
        </w:rPr>
        <w:t>Standard conditions for GST-CK1</w:t>
      </w:r>
      <w:r w:rsidRPr="00C92A63">
        <w:rPr>
          <w:bCs/>
          <w:iCs/>
        </w:rPr>
        <w:t xml:space="preserve">δ </w:t>
      </w:r>
      <w:proofErr w:type="spellStart"/>
      <w:r w:rsidRPr="00C92A63">
        <w:rPr>
          <w:bCs/>
          <w:iCs/>
        </w:rPr>
        <w:t>waere</w:t>
      </w:r>
      <w:proofErr w:type="spellEnd"/>
      <w:r w:rsidRPr="00C92A63">
        <w:rPr>
          <w:bCs/>
          <w:iCs/>
        </w:rPr>
        <w:t xml:space="preserve"> established by Roth </w:t>
      </w:r>
      <w:r w:rsidRPr="00C92A63">
        <w:rPr>
          <w:bCs/>
          <w:i/>
          <w:iCs/>
        </w:rPr>
        <w:t xml:space="preserve">et al. </w:t>
      </w:r>
      <w:r w:rsidRPr="00C92A63">
        <w:rPr>
          <w:bCs/>
          <w:iCs/>
        </w:rPr>
        <w:t xml:space="preserve">and the data </w:t>
      </w:r>
      <w:proofErr w:type="gramStart"/>
      <w:r w:rsidRPr="00C92A63">
        <w:rPr>
          <w:bCs/>
          <w:iCs/>
        </w:rPr>
        <w:t>is licensed</w:t>
      </w:r>
      <w:proofErr w:type="gramEnd"/>
      <w:r w:rsidRPr="00C92A63">
        <w:rPr>
          <w:bCs/>
          <w:iCs/>
        </w:rPr>
        <w:t xml:space="preserve"> under a Creative Commons Attribution 4.0 In</w:t>
      </w:r>
      <w:r>
        <w:rPr>
          <w:bCs/>
          <w:iCs/>
        </w:rPr>
        <w:t>ternational License (CC BY 4.0) (Roth et al., 2021).</w:t>
      </w:r>
    </w:p>
    <w:tbl>
      <w:tblPr>
        <w:tblStyle w:val="Tabellenraster3"/>
        <w:tblW w:w="0" w:type="auto"/>
        <w:tblLayout w:type="fixed"/>
        <w:tblLook w:val="04A0" w:firstRow="1" w:lastRow="0" w:firstColumn="1" w:lastColumn="0" w:noHBand="0" w:noVBand="1"/>
      </w:tblPr>
      <w:tblGrid>
        <w:gridCol w:w="2506"/>
        <w:gridCol w:w="2552"/>
        <w:gridCol w:w="2268"/>
        <w:gridCol w:w="2409"/>
      </w:tblGrid>
      <w:tr w:rsidR="00E51E8B" w:rsidRPr="00C92A63" w:rsidTr="00DC19F5">
        <w:tc>
          <w:tcPr>
            <w:tcW w:w="2506" w:type="dxa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  <w:b/>
                <w:bCs/>
              </w:rPr>
              <w:t>Applied kinase con-centration [</w:t>
            </w:r>
            <w:proofErr w:type="spellStart"/>
            <w:r w:rsidRPr="00BA7C0E">
              <w:rPr>
                <w:rFonts w:eastAsia="Times New Roman"/>
                <w:b/>
                <w:bCs/>
              </w:rPr>
              <w:t>nM</w:t>
            </w:r>
            <w:proofErr w:type="spellEnd"/>
            <w:r w:rsidRPr="00BA7C0E">
              <w:rPr>
                <w:rFonts w:eastAsia="Times New Roman"/>
                <w:b/>
                <w:bCs/>
              </w:rPr>
              <w:t>]</w:t>
            </w:r>
          </w:p>
        </w:tc>
        <w:tc>
          <w:tcPr>
            <w:tcW w:w="2268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  <w:b/>
                <w:bCs/>
              </w:rPr>
              <w:t>Reaction time [min]</w:t>
            </w:r>
          </w:p>
        </w:tc>
        <w:tc>
          <w:tcPr>
            <w:tcW w:w="2409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  <w:b/>
                <w:bCs/>
              </w:rPr>
              <w:t>K</w:t>
            </w:r>
            <w:r w:rsidRPr="00BA7C0E">
              <w:rPr>
                <w:rFonts w:eastAsia="Times New Roman"/>
                <w:b/>
                <w:bCs/>
                <w:vertAlign w:val="subscript"/>
              </w:rPr>
              <w:t>m</w:t>
            </w:r>
            <w:r w:rsidRPr="00BA7C0E">
              <w:rPr>
                <w:rFonts w:eastAsia="Times New Roman"/>
                <w:b/>
                <w:bCs/>
              </w:rPr>
              <w:t>(ATP) [µM]</w:t>
            </w:r>
          </w:p>
        </w:tc>
      </w:tr>
      <w:tr w:rsidR="00E51E8B" w:rsidRPr="00C92A63" w:rsidTr="00DC19F5">
        <w:tc>
          <w:tcPr>
            <w:tcW w:w="2506" w:type="dxa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  <w:b/>
                <w:bCs/>
              </w:rPr>
              <w:t>His-DrCK1δA</w:t>
            </w:r>
          </w:p>
        </w:tc>
        <w:tc>
          <w:tcPr>
            <w:tcW w:w="2552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70</w:t>
            </w:r>
          </w:p>
        </w:tc>
        <w:tc>
          <w:tcPr>
            <w:tcW w:w="2268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5</w:t>
            </w:r>
          </w:p>
        </w:tc>
        <w:tc>
          <w:tcPr>
            <w:tcW w:w="2409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11.97</w:t>
            </w:r>
          </w:p>
        </w:tc>
      </w:tr>
      <w:tr w:rsidR="00E51E8B" w:rsidRPr="00C92A63" w:rsidTr="00DC19F5">
        <w:tc>
          <w:tcPr>
            <w:tcW w:w="2506" w:type="dxa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  <w:b/>
                <w:bCs/>
              </w:rPr>
              <w:t>His-DrCK1δB</w:t>
            </w:r>
          </w:p>
        </w:tc>
        <w:tc>
          <w:tcPr>
            <w:tcW w:w="2552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33</w:t>
            </w:r>
          </w:p>
        </w:tc>
        <w:tc>
          <w:tcPr>
            <w:tcW w:w="2268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10</w:t>
            </w:r>
          </w:p>
        </w:tc>
        <w:tc>
          <w:tcPr>
            <w:tcW w:w="2409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5.31</w:t>
            </w:r>
          </w:p>
        </w:tc>
      </w:tr>
      <w:tr w:rsidR="00E51E8B" w:rsidRPr="00C92A63" w:rsidTr="00DC19F5">
        <w:tc>
          <w:tcPr>
            <w:tcW w:w="2506" w:type="dxa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  <w:b/>
                <w:bCs/>
              </w:rPr>
              <w:t>His-DrCK1ε</w:t>
            </w:r>
          </w:p>
        </w:tc>
        <w:tc>
          <w:tcPr>
            <w:tcW w:w="2552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15</w:t>
            </w:r>
          </w:p>
        </w:tc>
        <w:tc>
          <w:tcPr>
            <w:tcW w:w="2409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14.45</w:t>
            </w:r>
          </w:p>
        </w:tc>
      </w:tr>
      <w:tr w:rsidR="00E51E8B" w:rsidRPr="00C92A63" w:rsidTr="00DC19F5">
        <w:tc>
          <w:tcPr>
            <w:tcW w:w="2506" w:type="dxa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  <w:b/>
                <w:bCs/>
                <w:color w:val="000000"/>
              </w:rPr>
              <w:t>GST-humCK1δ</w:t>
            </w:r>
            <w:r w:rsidRPr="00BA7C0E">
              <w:rPr>
                <w:rFonts w:eastAsia="Times New Roman"/>
                <w:b/>
                <w:bCs/>
                <w:color w:val="000000"/>
                <w:vertAlign w:val="superscript"/>
              </w:rPr>
              <w:t>TV1</w:t>
            </w:r>
            <w:r w:rsidRPr="00BA7C0E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BA7C0E">
              <w:rPr>
                <w:rFonts w:eastAsia="Times New Roman"/>
                <w:bCs/>
                <w:color w:val="000000"/>
              </w:rPr>
              <w:t>*</w:t>
            </w:r>
          </w:p>
        </w:tc>
        <w:tc>
          <w:tcPr>
            <w:tcW w:w="2552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7*</w:t>
            </w:r>
          </w:p>
        </w:tc>
        <w:tc>
          <w:tcPr>
            <w:tcW w:w="2268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10*</w:t>
            </w:r>
          </w:p>
        </w:tc>
        <w:tc>
          <w:tcPr>
            <w:tcW w:w="2409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6.00*</w:t>
            </w:r>
          </w:p>
        </w:tc>
      </w:tr>
      <w:tr w:rsidR="00E51E8B" w:rsidRPr="00C92A63" w:rsidTr="00DC19F5">
        <w:tc>
          <w:tcPr>
            <w:tcW w:w="2506" w:type="dxa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  <w:b/>
                <w:bCs/>
              </w:rPr>
              <w:t>GST-humCK1ε</w:t>
            </w:r>
          </w:p>
        </w:tc>
        <w:tc>
          <w:tcPr>
            <w:tcW w:w="2552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70</w:t>
            </w:r>
          </w:p>
        </w:tc>
        <w:tc>
          <w:tcPr>
            <w:tcW w:w="2268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10</w:t>
            </w:r>
          </w:p>
        </w:tc>
        <w:tc>
          <w:tcPr>
            <w:tcW w:w="2409" w:type="dxa"/>
            <w:vAlign w:val="center"/>
          </w:tcPr>
          <w:p w:rsidR="00E51E8B" w:rsidRPr="00BA7C0E" w:rsidRDefault="00E51E8B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Times New Roman"/>
              </w:rPr>
              <w:t>15.36</w:t>
            </w:r>
          </w:p>
        </w:tc>
      </w:tr>
    </w:tbl>
    <w:p w:rsidR="00E51E8B" w:rsidRPr="00BA7C0E" w:rsidRDefault="00E51E8B" w:rsidP="00E51E8B">
      <w:pPr>
        <w:spacing w:before="0" w:after="0"/>
        <w:jc w:val="both"/>
        <w:rPr>
          <w:iCs/>
        </w:rPr>
      </w:pPr>
      <w:r w:rsidRPr="00BA7C0E">
        <w:rPr>
          <w:iCs/>
        </w:rPr>
        <w:t>* Previously established by Roth et al.</w:t>
      </w:r>
      <w:r>
        <w:rPr>
          <w:iCs/>
        </w:rPr>
        <w:t xml:space="preserve"> </w:t>
      </w:r>
      <w:r>
        <w:rPr>
          <w:bCs/>
          <w:iCs/>
        </w:rPr>
        <w:t>(Roth et al., 2021)</w:t>
      </w:r>
    </w:p>
    <w:p w:rsidR="00756521" w:rsidRPr="00433477" w:rsidRDefault="00756521" w:rsidP="00433477"/>
    <w:sectPr w:rsidR="00756521" w:rsidRPr="004334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2"/>
    <w:rsid w:val="00220217"/>
    <w:rsid w:val="00433477"/>
    <w:rsid w:val="00453E92"/>
    <w:rsid w:val="005F4790"/>
    <w:rsid w:val="00756521"/>
    <w:rsid w:val="00820FBC"/>
    <w:rsid w:val="00E5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D62D"/>
  <w15:chartTrackingRefBased/>
  <w15:docId w15:val="{2F5C9F72-D7D7-4053-AAFF-F9190FE0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E92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0FBC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433477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51E8B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Ulm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Knippschild Uwe</dc:creator>
  <cp:keywords/>
  <dc:description/>
  <cp:lastModifiedBy>Knippschild Uwe</cp:lastModifiedBy>
  <cp:revision>2</cp:revision>
  <dcterms:created xsi:type="dcterms:W3CDTF">2023-06-23T10:02:00Z</dcterms:created>
  <dcterms:modified xsi:type="dcterms:W3CDTF">2023-06-23T10:02:00Z</dcterms:modified>
</cp:coreProperties>
</file>