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A0E9318" w14:textId="77777777" w:rsidR="00176FE0" w:rsidRDefault="00176FE0" w:rsidP="00176FE0">
      <w:pPr>
        <w:rPr>
          <w:b/>
        </w:rPr>
      </w:pPr>
      <w:r>
        <w:rPr>
          <w:b/>
        </w:rPr>
        <w:t xml:space="preserve">Supplemental </w:t>
      </w:r>
      <w:r w:rsidRPr="00A51B5F">
        <w:rPr>
          <w:b/>
        </w:rPr>
        <w:t xml:space="preserve">Table </w:t>
      </w:r>
      <w:r>
        <w:rPr>
          <w:b/>
        </w:rPr>
        <w:t>1</w:t>
      </w:r>
      <w:r w:rsidRPr="00A51B5F">
        <w:rPr>
          <w:b/>
        </w:rPr>
        <w:t xml:space="preserve">: </w:t>
      </w:r>
      <w:r>
        <w:rPr>
          <w:b/>
        </w:rPr>
        <w:t>Sensitivity analysis with influential observations removed for the effect of intervention group on blood pressure over the first 12 months post-</w:t>
      </w:r>
      <w:proofErr w:type="gramStart"/>
      <w:r>
        <w:rPr>
          <w:b/>
        </w:rPr>
        <w:t>stroke</w:t>
      </w:r>
      <w:proofErr w:type="gramEnd"/>
      <w:r w:rsidRPr="00A51B5F">
        <w:rPr>
          <w:b/>
        </w:rPr>
        <w:t xml:space="preserve"> </w:t>
      </w:r>
    </w:p>
    <w:tbl>
      <w:tblPr>
        <w:tblStyle w:val="TableGrid4"/>
        <w:tblW w:w="0" w:type="auto"/>
        <w:tblLook w:val="0000" w:firstRow="0" w:lastRow="0" w:firstColumn="0" w:lastColumn="0" w:noHBand="0" w:noVBand="0"/>
      </w:tblPr>
      <w:tblGrid>
        <w:gridCol w:w="1502"/>
        <w:gridCol w:w="1223"/>
        <w:gridCol w:w="1780"/>
        <w:gridCol w:w="1232"/>
        <w:gridCol w:w="1221"/>
        <w:gridCol w:w="1538"/>
        <w:gridCol w:w="1296"/>
        <w:gridCol w:w="1179"/>
        <w:gridCol w:w="1417"/>
        <w:gridCol w:w="1162"/>
      </w:tblGrid>
      <w:tr w:rsidR="00176FE0" w:rsidRPr="002F62CD" w14:paraId="752E3579" w14:textId="77777777" w:rsidTr="001D07D7">
        <w:tc>
          <w:tcPr>
            <w:tcW w:w="1502" w:type="dxa"/>
            <w:vMerge w:val="restart"/>
          </w:tcPr>
          <w:p w14:paraId="2C2DE4F3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t>Predictors</w:t>
            </w:r>
          </w:p>
        </w:tc>
        <w:tc>
          <w:tcPr>
            <w:tcW w:w="4235" w:type="dxa"/>
            <w:gridSpan w:val="3"/>
          </w:tcPr>
          <w:p w14:paraId="77B500F6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lang w:val="en-AU"/>
              </w:rPr>
              <w:t>Systolic Blood Pressure</w:t>
            </w:r>
          </w:p>
        </w:tc>
        <w:tc>
          <w:tcPr>
            <w:tcW w:w="4055" w:type="dxa"/>
            <w:gridSpan w:val="3"/>
          </w:tcPr>
          <w:p w14:paraId="75F2D087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lang w:val="en-AU"/>
              </w:rPr>
              <w:t>Diastolic Blood Pressure</w:t>
            </w:r>
          </w:p>
        </w:tc>
        <w:tc>
          <w:tcPr>
            <w:tcW w:w="3758" w:type="dxa"/>
            <w:gridSpan w:val="3"/>
          </w:tcPr>
          <w:p w14:paraId="7F36D249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lang w:val="en-AU"/>
              </w:rPr>
              <w:t>Hypertension</w:t>
            </w:r>
          </w:p>
        </w:tc>
      </w:tr>
      <w:tr w:rsidR="00176FE0" w:rsidRPr="002F62CD" w14:paraId="7195BBBA" w14:textId="77777777" w:rsidTr="001D07D7">
        <w:tc>
          <w:tcPr>
            <w:tcW w:w="1502" w:type="dxa"/>
            <w:vMerge/>
          </w:tcPr>
          <w:p w14:paraId="08C66603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</w:p>
        </w:tc>
        <w:tc>
          <w:tcPr>
            <w:tcW w:w="1223" w:type="dxa"/>
          </w:tcPr>
          <w:p w14:paraId="3E4428BA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t>Est.</w:t>
            </w:r>
          </w:p>
        </w:tc>
        <w:tc>
          <w:tcPr>
            <w:tcW w:w="1780" w:type="dxa"/>
          </w:tcPr>
          <w:p w14:paraId="57DB44C8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t>95% CI</w:t>
            </w:r>
          </w:p>
        </w:tc>
        <w:tc>
          <w:tcPr>
            <w:tcW w:w="1232" w:type="dxa"/>
          </w:tcPr>
          <w:p w14:paraId="11EA8500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t>p</w:t>
            </w:r>
          </w:p>
        </w:tc>
        <w:tc>
          <w:tcPr>
            <w:tcW w:w="1221" w:type="dxa"/>
          </w:tcPr>
          <w:p w14:paraId="6CFD0A65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t>Est.</w:t>
            </w:r>
          </w:p>
        </w:tc>
        <w:tc>
          <w:tcPr>
            <w:tcW w:w="1538" w:type="dxa"/>
          </w:tcPr>
          <w:p w14:paraId="4284A3C7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t>95% CI</w:t>
            </w:r>
          </w:p>
        </w:tc>
        <w:tc>
          <w:tcPr>
            <w:tcW w:w="1296" w:type="dxa"/>
          </w:tcPr>
          <w:p w14:paraId="758BD019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t>p</w:t>
            </w:r>
          </w:p>
        </w:tc>
        <w:tc>
          <w:tcPr>
            <w:tcW w:w="1179" w:type="dxa"/>
          </w:tcPr>
          <w:p w14:paraId="0FBB41E0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lang w:val="en-AU"/>
              </w:rPr>
              <w:t>Odds Ratio</w:t>
            </w:r>
          </w:p>
        </w:tc>
        <w:tc>
          <w:tcPr>
            <w:tcW w:w="1417" w:type="dxa"/>
          </w:tcPr>
          <w:p w14:paraId="1DDAEC58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t>95% CI</w:t>
            </w:r>
          </w:p>
        </w:tc>
        <w:tc>
          <w:tcPr>
            <w:tcW w:w="1162" w:type="dxa"/>
          </w:tcPr>
          <w:p w14:paraId="72A9A7C2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lang w:val="en-AU"/>
              </w:rPr>
              <w:t>p</w:t>
            </w:r>
          </w:p>
        </w:tc>
      </w:tr>
      <w:tr w:rsidR="00176FE0" w:rsidRPr="002F62CD" w14:paraId="3EE2AACF" w14:textId="77777777" w:rsidTr="001D07D7">
        <w:tc>
          <w:tcPr>
            <w:tcW w:w="1502" w:type="dxa"/>
          </w:tcPr>
          <w:p w14:paraId="184FD153" w14:textId="77777777" w:rsidR="00176FE0" w:rsidRPr="002F62CD" w:rsidRDefault="00176FE0" w:rsidP="001D07D7">
            <w:pPr>
              <w:spacing w:before="0" w:after="0"/>
              <w:contextualSpacing/>
            </w:pPr>
            <w:r w:rsidRPr="002F62CD">
              <w:t>Intercept</w:t>
            </w:r>
          </w:p>
        </w:tc>
        <w:tc>
          <w:tcPr>
            <w:tcW w:w="1223" w:type="dxa"/>
          </w:tcPr>
          <w:p w14:paraId="491E0F47" w14:textId="77777777" w:rsidR="00176FE0" w:rsidRPr="002F62CD" w:rsidRDefault="00176FE0" w:rsidP="001D07D7">
            <w:pPr>
              <w:spacing w:before="0" w:after="0"/>
              <w:contextualSpacing/>
            </w:pPr>
            <w:r w:rsidRPr="002F62CD">
              <w:rPr>
                <w:rFonts w:eastAsia="Times New Roman"/>
                <w:lang w:eastAsia="en-AU"/>
              </w:rPr>
              <w:t>121.62</w:t>
            </w:r>
          </w:p>
        </w:tc>
        <w:tc>
          <w:tcPr>
            <w:tcW w:w="1780" w:type="dxa"/>
          </w:tcPr>
          <w:p w14:paraId="213D047D" w14:textId="77777777" w:rsidR="00176FE0" w:rsidRPr="002F62CD" w:rsidRDefault="00176FE0" w:rsidP="001D07D7">
            <w:pPr>
              <w:spacing w:before="0" w:after="0"/>
              <w:contextualSpacing/>
            </w:pPr>
            <w:r w:rsidRPr="002F62CD">
              <w:rPr>
                <w:rFonts w:eastAsia="Times New Roman"/>
                <w:lang w:eastAsia="en-AU"/>
              </w:rPr>
              <w:t>117.04 – 126.19</w:t>
            </w:r>
          </w:p>
        </w:tc>
        <w:tc>
          <w:tcPr>
            <w:tcW w:w="1232" w:type="dxa"/>
          </w:tcPr>
          <w:p w14:paraId="3CE20641" w14:textId="77777777" w:rsidR="00176FE0" w:rsidRPr="002F62CD" w:rsidRDefault="00176FE0" w:rsidP="001D07D7">
            <w:pPr>
              <w:spacing w:before="0" w:after="0"/>
              <w:contextualSpacing/>
            </w:pPr>
            <w:r w:rsidRPr="002F62CD">
              <w:rPr>
                <w:rFonts w:eastAsia="Times New Roman"/>
                <w:b/>
                <w:bCs/>
                <w:lang w:eastAsia="en-AU"/>
              </w:rPr>
              <w:t>&lt;0.001</w:t>
            </w:r>
          </w:p>
        </w:tc>
        <w:tc>
          <w:tcPr>
            <w:tcW w:w="1221" w:type="dxa"/>
          </w:tcPr>
          <w:p w14:paraId="4616B318" w14:textId="77777777" w:rsidR="00176FE0" w:rsidRPr="002F62CD" w:rsidRDefault="00176FE0" w:rsidP="001D07D7">
            <w:pPr>
              <w:spacing w:before="0" w:after="0"/>
              <w:contextualSpacing/>
            </w:pPr>
            <w:r w:rsidRPr="002F62CD">
              <w:rPr>
                <w:rFonts w:eastAsia="Times New Roman"/>
                <w:lang w:eastAsia="en-AU"/>
              </w:rPr>
              <w:t>73.66</w:t>
            </w:r>
          </w:p>
        </w:tc>
        <w:tc>
          <w:tcPr>
            <w:tcW w:w="1538" w:type="dxa"/>
          </w:tcPr>
          <w:p w14:paraId="6FE1847F" w14:textId="77777777" w:rsidR="00176FE0" w:rsidRPr="002F62CD" w:rsidRDefault="00176FE0" w:rsidP="001D07D7">
            <w:pPr>
              <w:spacing w:before="0" w:after="0"/>
              <w:contextualSpacing/>
            </w:pPr>
            <w:r w:rsidRPr="002F62CD">
              <w:rPr>
                <w:rFonts w:eastAsia="Times New Roman"/>
                <w:lang w:eastAsia="en-AU"/>
              </w:rPr>
              <w:t>70.43 – 76.90</w:t>
            </w:r>
          </w:p>
        </w:tc>
        <w:tc>
          <w:tcPr>
            <w:tcW w:w="1296" w:type="dxa"/>
          </w:tcPr>
          <w:p w14:paraId="39A4E1BD" w14:textId="77777777" w:rsidR="00176FE0" w:rsidRPr="002F62CD" w:rsidRDefault="00176FE0" w:rsidP="001D07D7">
            <w:pPr>
              <w:spacing w:before="0" w:after="0"/>
              <w:contextualSpacing/>
              <w:rPr>
                <w:rStyle w:val="Strong"/>
              </w:rPr>
            </w:pPr>
            <w:r w:rsidRPr="002F62CD">
              <w:rPr>
                <w:rFonts w:eastAsia="Times New Roman"/>
                <w:b/>
                <w:bCs/>
                <w:lang w:eastAsia="en-AU"/>
              </w:rPr>
              <w:t>&lt;0.001</w:t>
            </w:r>
          </w:p>
        </w:tc>
        <w:tc>
          <w:tcPr>
            <w:tcW w:w="1179" w:type="dxa"/>
          </w:tcPr>
          <w:p w14:paraId="0574F531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lang w:eastAsia="en-AU"/>
              </w:rPr>
              <w:t>0.08</w:t>
            </w:r>
          </w:p>
        </w:tc>
        <w:tc>
          <w:tcPr>
            <w:tcW w:w="1417" w:type="dxa"/>
          </w:tcPr>
          <w:p w14:paraId="72EF10FF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lang w:eastAsia="en-AU"/>
              </w:rPr>
              <w:t>0.02 – 0.36</w:t>
            </w:r>
          </w:p>
        </w:tc>
        <w:tc>
          <w:tcPr>
            <w:tcW w:w="1162" w:type="dxa"/>
          </w:tcPr>
          <w:p w14:paraId="586BE951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b/>
                <w:bCs/>
                <w:lang w:eastAsia="en-AU"/>
              </w:rPr>
              <w:t>0.001</w:t>
            </w:r>
          </w:p>
        </w:tc>
      </w:tr>
      <w:tr w:rsidR="00176FE0" w:rsidRPr="002F62CD" w14:paraId="0415C95A" w14:textId="77777777" w:rsidTr="001D07D7">
        <w:tc>
          <w:tcPr>
            <w:tcW w:w="1502" w:type="dxa"/>
          </w:tcPr>
          <w:p w14:paraId="18BF8DA2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t>Group (DOSE</w:t>
            </w:r>
            <w:proofErr w:type="gramStart"/>
            <w:r w:rsidRPr="002F62CD">
              <w:t>1)*</w:t>
            </w:r>
            <w:proofErr w:type="gramEnd"/>
          </w:p>
        </w:tc>
        <w:tc>
          <w:tcPr>
            <w:tcW w:w="1223" w:type="dxa"/>
          </w:tcPr>
          <w:p w14:paraId="07A94FCE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lang w:eastAsia="en-AU"/>
              </w:rPr>
              <w:t>0.32</w:t>
            </w:r>
          </w:p>
        </w:tc>
        <w:tc>
          <w:tcPr>
            <w:tcW w:w="1780" w:type="dxa"/>
          </w:tcPr>
          <w:p w14:paraId="05673E0C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lang w:eastAsia="en-AU"/>
              </w:rPr>
              <w:t>-5.55 – 6.19</w:t>
            </w:r>
          </w:p>
        </w:tc>
        <w:tc>
          <w:tcPr>
            <w:tcW w:w="1232" w:type="dxa"/>
          </w:tcPr>
          <w:p w14:paraId="64C40C47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lang w:eastAsia="en-AU"/>
              </w:rPr>
              <w:t>0.914</w:t>
            </w:r>
          </w:p>
        </w:tc>
        <w:tc>
          <w:tcPr>
            <w:tcW w:w="1221" w:type="dxa"/>
          </w:tcPr>
          <w:p w14:paraId="5017E94B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lang w:eastAsia="en-AU"/>
              </w:rPr>
              <w:t>-0.39</w:t>
            </w:r>
          </w:p>
        </w:tc>
        <w:tc>
          <w:tcPr>
            <w:tcW w:w="1538" w:type="dxa"/>
          </w:tcPr>
          <w:p w14:paraId="405DB27F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lang w:eastAsia="en-AU"/>
              </w:rPr>
              <w:t>-4.55 – 3.76</w:t>
            </w:r>
          </w:p>
        </w:tc>
        <w:tc>
          <w:tcPr>
            <w:tcW w:w="1296" w:type="dxa"/>
          </w:tcPr>
          <w:p w14:paraId="65957A37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lang w:eastAsia="en-AU"/>
              </w:rPr>
              <w:t>0.852</w:t>
            </w:r>
          </w:p>
        </w:tc>
        <w:tc>
          <w:tcPr>
            <w:tcW w:w="1179" w:type="dxa"/>
          </w:tcPr>
          <w:p w14:paraId="327E8625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lang w:eastAsia="en-AU"/>
              </w:rPr>
              <w:t>1.46</w:t>
            </w:r>
          </w:p>
        </w:tc>
        <w:tc>
          <w:tcPr>
            <w:tcW w:w="1417" w:type="dxa"/>
          </w:tcPr>
          <w:p w14:paraId="3AECFE14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lang w:eastAsia="en-AU"/>
              </w:rPr>
              <w:t>0.26 – 8.23</w:t>
            </w:r>
          </w:p>
        </w:tc>
        <w:tc>
          <w:tcPr>
            <w:tcW w:w="1162" w:type="dxa"/>
          </w:tcPr>
          <w:p w14:paraId="30DC076E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lang w:eastAsia="en-AU"/>
              </w:rPr>
              <w:t>0.670</w:t>
            </w:r>
          </w:p>
        </w:tc>
      </w:tr>
      <w:tr w:rsidR="00176FE0" w:rsidRPr="002F62CD" w14:paraId="085B081D" w14:textId="77777777" w:rsidTr="001D07D7">
        <w:tc>
          <w:tcPr>
            <w:tcW w:w="1502" w:type="dxa"/>
          </w:tcPr>
          <w:p w14:paraId="52DA329F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t>Group (DOSE</w:t>
            </w:r>
            <w:proofErr w:type="gramStart"/>
            <w:r w:rsidRPr="002F62CD">
              <w:t>2)*</w:t>
            </w:r>
            <w:proofErr w:type="gramEnd"/>
          </w:p>
        </w:tc>
        <w:tc>
          <w:tcPr>
            <w:tcW w:w="1223" w:type="dxa"/>
          </w:tcPr>
          <w:p w14:paraId="17D4EF0E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lang w:eastAsia="en-AU"/>
              </w:rPr>
              <w:t>0.69</w:t>
            </w:r>
          </w:p>
        </w:tc>
        <w:tc>
          <w:tcPr>
            <w:tcW w:w="1780" w:type="dxa"/>
          </w:tcPr>
          <w:p w14:paraId="5EE3B823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lang w:eastAsia="en-AU"/>
              </w:rPr>
              <w:t>-5.19 – 6.56</w:t>
            </w:r>
          </w:p>
        </w:tc>
        <w:tc>
          <w:tcPr>
            <w:tcW w:w="1232" w:type="dxa"/>
          </w:tcPr>
          <w:p w14:paraId="611BFE90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lang w:eastAsia="en-AU"/>
              </w:rPr>
              <w:t>0.818</w:t>
            </w:r>
          </w:p>
        </w:tc>
        <w:tc>
          <w:tcPr>
            <w:tcW w:w="1221" w:type="dxa"/>
          </w:tcPr>
          <w:p w14:paraId="0A01D114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lang w:eastAsia="en-AU"/>
              </w:rPr>
              <w:t>0.65</w:t>
            </w:r>
          </w:p>
        </w:tc>
        <w:tc>
          <w:tcPr>
            <w:tcW w:w="1538" w:type="dxa"/>
          </w:tcPr>
          <w:p w14:paraId="02BE9BED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lang w:eastAsia="en-AU"/>
              </w:rPr>
              <w:t>-3.50 – 4.80</w:t>
            </w:r>
          </w:p>
        </w:tc>
        <w:tc>
          <w:tcPr>
            <w:tcW w:w="1296" w:type="dxa"/>
          </w:tcPr>
          <w:p w14:paraId="6570744A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lang w:eastAsia="en-AU"/>
              </w:rPr>
              <w:t>0.759</w:t>
            </w:r>
          </w:p>
        </w:tc>
        <w:tc>
          <w:tcPr>
            <w:tcW w:w="1179" w:type="dxa"/>
          </w:tcPr>
          <w:p w14:paraId="262A26A2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lang w:eastAsia="en-AU"/>
              </w:rPr>
              <w:t>0.89</w:t>
            </w:r>
          </w:p>
        </w:tc>
        <w:tc>
          <w:tcPr>
            <w:tcW w:w="1417" w:type="dxa"/>
          </w:tcPr>
          <w:p w14:paraId="3A18E6F9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lang w:eastAsia="en-AU"/>
              </w:rPr>
              <w:t>0.15 – 5.15</w:t>
            </w:r>
          </w:p>
        </w:tc>
        <w:tc>
          <w:tcPr>
            <w:tcW w:w="1162" w:type="dxa"/>
          </w:tcPr>
          <w:p w14:paraId="6861BB4B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lang w:eastAsia="en-AU"/>
              </w:rPr>
              <w:t>0.900</w:t>
            </w:r>
          </w:p>
        </w:tc>
      </w:tr>
      <w:tr w:rsidR="00176FE0" w:rsidRPr="002F62CD" w14:paraId="6301865F" w14:textId="77777777" w:rsidTr="001D07D7">
        <w:tc>
          <w:tcPr>
            <w:tcW w:w="1502" w:type="dxa"/>
          </w:tcPr>
          <w:p w14:paraId="2752E82D" w14:textId="77777777" w:rsidR="00176FE0" w:rsidRPr="002F62CD" w:rsidRDefault="00176FE0" w:rsidP="001D07D7">
            <w:pPr>
              <w:spacing w:before="0" w:after="0"/>
              <w:contextualSpacing/>
              <w:rPr>
                <w:bCs/>
              </w:rPr>
            </w:pPr>
            <w:r w:rsidRPr="002F62CD">
              <w:rPr>
                <w:bCs/>
              </w:rPr>
              <w:t>Post-Intervention</w:t>
            </w:r>
            <w:r w:rsidRPr="002F62CD">
              <w:rPr>
                <w:rFonts w:cs="Calibri"/>
                <w:bCs/>
                <w:vertAlign w:val="superscript"/>
              </w:rPr>
              <w:t>¥</w:t>
            </w:r>
          </w:p>
        </w:tc>
        <w:tc>
          <w:tcPr>
            <w:tcW w:w="1223" w:type="dxa"/>
          </w:tcPr>
          <w:p w14:paraId="32A1BD32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lang w:eastAsia="en-AU"/>
              </w:rPr>
              <w:t>4.21</w:t>
            </w:r>
          </w:p>
        </w:tc>
        <w:tc>
          <w:tcPr>
            <w:tcW w:w="1780" w:type="dxa"/>
          </w:tcPr>
          <w:p w14:paraId="01E3FF82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lang w:eastAsia="en-AU"/>
              </w:rPr>
              <w:t>1.18 – 7.23</w:t>
            </w:r>
          </w:p>
        </w:tc>
        <w:tc>
          <w:tcPr>
            <w:tcW w:w="1232" w:type="dxa"/>
          </w:tcPr>
          <w:p w14:paraId="22CDD7A0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b/>
                <w:bCs/>
                <w:lang w:eastAsia="en-AU"/>
              </w:rPr>
              <w:t>0.007</w:t>
            </w:r>
          </w:p>
        </w:tc>
        <w:tc>
          <w:tcPr>
            <w:tcW w:w="1221" w:type="dxa"/>
          </w:tcPr>
          <w:p w14:paraId="4DD5CDD9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lang w:eastAsia="en-AU"/>
              </w:rPr>
              <w:t>1.28</w:t>
            </w:r>
          </w:p>
        </w:tc>
        <w:tc>
          <w:tcPr>
            <w:tcW w:w="1538" w:type="dxa"/>
          </w:tcPr>
          <w:p w14:paraId="1E46DB92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lang w:eastAsia="en-AU"/>
              </w:rPr>
              <w:t>-0.72 – 3.28</w:t>
            </w:r>
          </w:p>
        </w:tc>
        <w:tc>
          <w:tcPr>
            <w:tcW w:w="1296" w:type="dxa"/>
          </w:tcPr>
          <w:p w14:paraId="1F622C6F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lang w:eastAsia="en-AU"/>
              </w:rPr>
              <w:t>0.209</w:t>
            </w:r>
          </w:p>
        </w:tc>
        <w:tc>
          <w:tcPr>
            <w:tcW w:w="1179" w:type="dxa"/>
          </w:tcPr>
          <w:p w14:paraId="144F613D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lang w:eastAsia="en-AU"/>
              </w:rPr>
              <w:t>1.51</w:t>
            </w:r>
          </w:p>
        </w:tc>
        <w:tc>
          <w:tcPr>
            <w:tcW w:w="1417" w:type="dxa"/>
          </w:tcPr>
          <w:p w14:paraId="44521C81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lang w:eastAsia="en-AU"/>
              </w:rPr>
              <w:t>0.52 – 4.40</w:t>
            </w:r>
          </w:p>
        </w:tc>
        <w:tc>
          <w:tcPr>
            <w:tcW w:w="1162" w:type="dxa"/>
          </w:tcPr>
          <w:p w14:paraId="1D1C554F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lang w:eastAsia="en-AU"/>
              </w:rPr>
              <w:t>0.451</w:t>
            </w:r>
          </w:p>
        </w:tc>
      </w:tr>
      <w:tr w:rsidR="00176FE0" w:rsidRPr="002F62CD" w14:paraId="411A140F" w14:textId="77777777" w:rsidTr="001D07D7">
        <w:tc>
          <w:tcPr>
            <w:tcW w:w="1502" w:type="dxa"/>
          </w:tcPr>
          <w:p w14:paraId="4C8CE013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t>6-Months Stroke</w:t>
            </w:r>
            <w:r w:rsidRPr="002F62CD">
              <w:rPr>
                <w:rFonts w:cs="Calibri"/>
                <w:bCs/>
                <w:vertAlign w:val="superscript"/>
              </w:rPr>
              <w:t>¥</w:t>
            </w:r>
          </w:p>
        </w:tc>
        <w:tc>
          <w:tcPr>
            <w:tcW w:w="1223" w:type="dxa"/>
          </w:tcPr>
          <w:p w14:paraId="537D1284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lang w:eastAsia="en-AU"/>
              </w:rPr>
              <w:t>6.26</w:t>
            </w:r>
          </w:p>
        </w:tc>
        <w:tc>
          <w:tcPr>
            <w:tcW w:w="1780" w:type="dxa"/>
          </w:tcPr>
          <w:p w14:paraId="003C3516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lang w:eastAsia="en-AU"/>
              </w:rPr>
              <w:t>3.13 – 9.39</w:t>
            </w:r>
          </w:p>
        </w:tc>
        <w:tc>
          <w:tcPr>
            <w:tcW w:w="1232" w:type="dxa"/>
          </w:tcPr>
          <w:p w14:paraId="20CD4C62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b/>
                <w:bCs/>
                <w:lang w:eastAsia="en-AU"/>
              </w:rPr>
              <w:t>&lt;0.001</w:t>
            </w:r>
          </w:p>
        </w:tc>
        <w:tc>
          <w:tcPr>
            <w:tcW w:w="1221" w:type="dxa"/>
          </w:tcPr>
          <w:p w14:paraId="7EF818B3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lang w:eastAsia="en-AU"/>
              </w:rPr>
              <w:t>3.93</w:t>
            </w:r>
          </w:p>
        </w:tc>
        <w:tc>
          <w:tcPr>
            <w:tcW w:w="1538" w:type="dxa"/>
          </w:tcPr>
          <w:p w14:paraId="0ED89619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lang w:eastAsia="en-AU"/>
              </w:rPr>
              <w:t>1.88 – 5.97</w:t>
            </w:r>
          </w:p>
        </w:tc>
        <w:tc>
          <w:tcPr>
            <w:tcW w:w="1296" w:type="dxa"/>
          </w:tcPr>
          <w:p w14:paraId="2602F55B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b/>
                <w:bCs/>
                <w:lang w:eastAsia="en-AU"/>
              </w:rPr>
              <w:t>&lt;0.001</w:t>
            </w:r>
          </w:p>
        </w:tc>
        <w:tc>
          <w:tcPr>
            <w:tcW w:w="1179" w:type="dxa"/>
          </w:tcPr>
          <w:p w14:paraId="5A8B6758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lang w:eastAsia="en-AU"/>
              </w:rPr>
              <w:t>3.39</w:t>
            </w:r>
          </w:p>
        </w:tc>
        <w:tc>
          <w:tcPr>
            <w:tcW w:w="1417" w:type="dxa"/>
          </w:tcPr>
          <w:p w14:paraId="31087928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lang w:eastAsia="en-AU"/>
              </w:rPr>
              <w:t>1.16 – 9.92</w:t>
            </w:r>
          </w:p>
        </w:tc>
        <w:tc>
          <w:tcPr>
            <w:tcW w:w="1162" w:type="dxa"/>
          </w:tcPr>
          <w:p w14:paraId="2D1CB35F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b/>
                <w:bCs/>
                <w:lang w:eastAsia="en-AU"/>
              </w:rPr>
              <w:t>0.026</w:t>
            </w:r>
          </w:p>
        </w:tc>
      </w:tr>
      <w:tr w:rsidR="00176FE0" w:rsidRPr="002F62CD" w14:paraId="6E21260E" w14:textId="77777777" w:rsidTr="001D07D7">
        <w:tc>
          <w:tcPr>
            <w:tcW w:w="1502" w:type="dxa"/>
          </w:tcPr>
          <w:p w14:paraId="20806768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t>12-Months Post-Stroke</w:t>
            </w:r>
            <w:r w:rsidRPr="002F62CD">
              <w:rPr>
                <w:rFonts w:cs="Calibri"/>
                <w:bCs/>
                <w:vertAlign w:val="superscript"/>
              </w:rPr>
              <w:t>¥</w:t>
            </w:r>
          </w:p>
        </w:tc>
        <w:tc>
          <w:tcPr>
            <w:tcW w:w="1223" w:type="dxa"/>
          </w:tcPr>
          <w:p w14:paraId="790BC018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lang w:eastAsia="en-AU"/>
              </w:rPr>
              <w:t>9.26</w:t>
            </w:r>
          </w:p>
        </w:tc>
        <w:tc>
          <w:tcPr>
            <w:tcW w:w="1780" w:type="dxa"/>
          </w:tcPr>
          <w:p w14:paraId="52D54537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lang w:eastAsia="en-AU"/>
              </w:rPr>
              <w:t>5.96 – 12.56</w:t>
            </w:r>
          </w:p>
        </w:tc>
        <w:tc>
          <w:tcPr>
            <w:tcW w:w="1232" w:type="dxa"/>
          </w:tcPr>
          <w:p w14:paraId="5ACD296B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b/>
                <w:bCs/>
                <w:lang w:eastAsia="en-AU"/>
              </w:rPr>
              <w:t>&lt;0.001</w:t>
            </w:r>
          </w:p>
        </w:tc>
        <w:tc>
          <w:tcPr>
            <w:tcW w:w="1221" w:type="dxa"/>
          </w:tcPr>
          <w:p w14:paraId="0BBAD0EE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lang w:eastAsia="en-AU"/>
              </w:rPr>
              <w:t>4.87</w:t>
            </w:r>
          </w:p>
        </w:tc>
        <w:tc>
          <w:tcPr>
            <w:tcW w:w="1538" w:type="dxa"/>
          </w:tcPr>
          <w:p w14:paraId="18EDF2E2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lang w:eastAsia="en-AU"/>
              </w:rPr>
              <w:t>2.73 – 7.01</w:t>
            </w:r>
          </w:p>
        </w:tc>
        <w:tc>
          <w:tcPr>
            <w:tcW w:w="1296" w:type="dxa"/>
          </w:tcPr>
          <w:p w14:paraId="7B8B9952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b/>
                <w:bCs/>
                <w:lang w:eastAsia="en-AU"/>
              </w:rPr>
              <w:t>&lt;0.001</w:t>
            </w:r>
          </w:p>
        </w:tc>
        <w:tc>
          <w:tcPr>
            <w:tcW w:w="1179" w:type="dxa"/>
          </w:tcPr>
          <w:p w14:paraId="3585DB19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lang w:eastAsia="en-AU"/>
              </w:rPr>
              <w:t>3.52</w:t>
            </w:r>
          </w:p>
        </w:tc>
        <w:tc>
          <w:tcPr>
            <w:tcW w:w="1417" w:type="dxa"/>
          </w:tcPr>
          <w:p w14:paraId="6B330EBE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lang w:eastAsia="en-AU"/>
              </w:rPr>
              <w:t>1.12 – 11.07</w:t>
            </w:r>
          </w:p>
        </w:tc>
        <w:tc>
          <w:tcPr>
            <w:tcW w:w="1162" w:type="dxa"/>
          </w:tcPr>
          <w:p w14:paraId="20C985DD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b/>
                <w:bCs/>
                <w:lang w:eastAsia="en-AU"/>
              </w:rPr>
              <w:t>0.031</w:t>
            </w:r>
          </w:p>
        </w:tc>
      </w:tr>
      <w:tr w:rsidR="00176FE0" w:rsidRPr="002F62CD" w14:paraId="771A0251" w14:textId="77777777" w:rsidTr="001D07D7">
        <w:tc>
          <w:tcPr>
            <w:tcW w:w="13550" w:type="dxa"/>
            <w:gridSpan w:val="10"/>
          </w:tcPr>
          <w:p w14:paraId="08BDDED3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b/>
              </w:rPr>
              <w:t>Random Effects</w:t>
            </w:r>
          </w:p>
        </w:tc>
      </w:tr>
      <w:tr w:rsidR="00176FE0" w:rsidRPr="002F62CD" w14:paraId="36F9133D" w14:textId="77777777" w:rsidTr="001D07D7">
        <w:tc>
          <w:tcPr>
            <w:tcW w:w="1502" w:type="dxa"/>
          </w:tcPr>
          <w:p w14:paraId="3BD7CA13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t>σ</w:t>
            </w:r>
            <w:r w:rsidRPr="002F62CD">
              <w:rPr>
                <w:vertAlign w:val="superscript"/>
              </w:rPr>
              <w:t>2</w:t>
            </w:r>
          </w:p>
        </w:tc>
        <w:tc>
          <w:tcPr>
            <w:tcW w:w="4235" w:type="dxa"/>
            <w:gridSpan w:val="3"/>
          </w:tcPr>
          <w:p w14:paraId="606FFD10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lang w:eastAsia="en-AU"/>
              </w:rPr>
              <w:t>79.21</w:t>
            </w:r>
          </w:p>
        </w:tc>
        <w:tc>
          <w:tcPr>
            <w:tcW w:w="4055" w:type="dxa"/>
            <w:gridSpan w:val="3"/>
          </w:tcPr>
          <w:p w14:paraId="434C3790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lang w:eastAsia="en-AU"/>
              </w:rPr>
              <w:t>33.71</w:t>
            </w:r>
          </w:p>
        </w:tc>
        <w:tc>
          <w:tcPr>
            <w:tcW w:w="3758" w:type="dxa"/>
            <w:gridSpan w:val="3"/>
          </w:tcPr>
          <w:p w14:paraId="5DFC669A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lang w:eastAsia="en-AU"/>
              </w:rPr>
              <w:t>3.29</w:t>
            </w:r>
          </w:p>
        </w:tc>
      </w:tr>
      <w:tr w:rsidR="00176FE0" w:rsidRPr="002F62CD" w14:paraId="4B6D57AC" w14:textId="77777777" w:rsidTr="001D07D7">
        <w:tc>
          <w:tcPr>
            <w:tcW w:w="1502" w:type="dxa"/>
          </w:tcPr>
          <w:p w14:paraId="0C63D737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t>τ</w:t>
            </w:r>
            <w:r w:rsidRPr="002F62CD">
              <w:rPr>
                <w:vertAlign w:val="subscript"/>
              </w:rPr>
              <w:t>00</w:t>
            </w:r>
            <w:r w:rsidRPr="002F62CD">
              <w:t> </w:t>
            </w:r>
            <w:r w:rsidRPr="002F62CD">
              <w:rPr>
                <w:vertAlign w:val="subscript"/>
              </w:rPr>
              <w:t>ID</w:t>
            </w:r>
          </w:p>
        </w:tc>
        <w:tc>
          <w:tcPr>
            <w:tcW w:w="4235" w:type="dxa"/>
            <w:gridSpan w:val="3"/>
          </w:tcPr>
          <w:p w14:paraId="6D441A77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lang w:eastAsia="en-AU"/>
              </w:rPr>
              <w:t>83.80</w:t>
            </w:r>
          </w:p>
        </w:tc>
        <w:tc>
          <w:tcPr>
            <w:tcW w:w="4055" w:type="dxa"/>
            <w:gridSpan w:val="3"/>
          </w:tcPr>
          <w:p w14:paraId="68B83DFD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lang w:eastAsia="en-AU"/>
              </w:rPr>
              <w:t>43.65</w:t>
            </w:r>
          </w:p>
        </w:tc>
        <w:tc>
          <w:tcPr>
            <w:tcW w:w="3758" w:type="dxa"/>
            <w:gridSpan w:val="3"/>
          </w:tcPr>
          <w:p w14:paraId="7F2F0F5D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lang w:eastAsia="en-AU"/>
              </w:rPr>
              <w:t>5.88</w:t>
            </w:r>
          </w:p>
        </w:tc>
      </w:tr>
      <w:tr w:rsidR="00176FE0" w:rsidRPr="002F62CD" w14:paraId="56F6EE5B" w14:textId="77777777" w:rsidTr="001D07D7">
        <w:tc>
          <w:tcPr>
            <w:tcW w:w="1502" w:type="dxa"/>
          </w:tcPr>
          <w:p w14:paraId="3CC9491C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t>ICC</w:t>
            </w:r>
          </w:p>
        </w:tc>
        <w:tc>
          <w:tcPr>
            <w:tcW w:w="4235" w:type="dxa"/>
            <w:gridSpan w:val="3"/>
          </w:tcPr>
          <w:p w14:paraId="11069908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lang w:eastAsia="en-AU"/>
              </w:rPr>
              <w:t>0.51</w:t>
            </w:r>
          </w:p>
        </w:tc>
        <w:tc>
          <w:tcPr>
            <w:tcW w:w="4055" w:type="dxa"/>
            <w:gridSpan w:val="3"/>
          </w:tcPr>
          <w:p w14:paraId="452983EC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lang w:eastAsia="en-AU"/>
              </w:rPr>
              <w:t>0.56</w:t>
            </w:r>
          </w:p>
        </w:tc>
        <w:tc>
          <w:tcPr>
            <w:tcW w:w="3758" w:type="dxa"/>
            <w:gridSpan w:val="3"/>
          </w:tcPr>
          <w:p w14:paraId="64B6E187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lang w:eastAsia="en-AU"/>
              </w:rPr>
              <w:t>0.64</w:t>
            </w:r>
          </w:p>
        </w:tc>
      </w:tr>
      <w:tr w:rsidR="00176FE0" w:rsidRPr="002F62CD" w14:paraId="23658BAE" w14:textId="77777777" w:rsidTr="001D07D7">
        <w:tc>
          <w:tcPr>
            <w:tcW w:w="1502" w:type="dxa"/>
          </w:tcPr>
          <w:p w14:paraId="5A22EBA1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t>N </w:t>
            </w:r>
            <w:r w:rsidRPr="002F62CD">
              <w:rPr>
                <w:vertAlign w:val="subscript"/>
              </w:rPr>
              <w:t>ID</w:t>
            </w:r>
          </w:p>
        </w:tc>
        <w:tc>
          <w:tcPr>
            <w:tcW w:w="4235" w:type="dxa"/>
            <w:gridSpan w:val="3"/>
          </w:tcPr>
          <w:p w14:paraId="08B65FC6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lang w:eastAsia="en-AU"/>
              </w:rPr>
              <w:t>74</w:t>
            </w:r>
          </w:p>
        </w:tc>
        <w:tc>
          <w:tcPr>
            <w:tcW w:w="4055" w:type="dxa"/>
            <w:gridSpan w:val="3"/>
          </w:tcPr>
          <w:p w14:paraId="5784F210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lang w:eastAsia="en-AU"/>
              </w:rPr>
              <w:t>74</w:t>
            </w:r>
          </w:p>
        </w:tc>
        <w:tc>
          <w:tcPr>
            <w:tcW w:w="3758" w:type="dxa"/>
            <w:gridSpan w:val="3"/>
          </w:tcPr>
          <w:p w14:paraId="2247466D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lang w:eastAsia="en-AU"/>
              </w:rPr>
              <w:t>74</w:t>
            </w:r>
          </w:p>
        </w:tc>
      </w:tr>
      <w:tr w:rsidR="00176FE0" w:rsidRPr="002F62CD" w14:paraId="2D8104DE" w14:textId="77777777" w:rsidTr="001D07D7">
        <w:tc>
          <w:tcPr>
            <w:tcW w:w="1502" w:type="dxa"/>
          </w:tcPr>
          <w:p w14:paraId="09AC6203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t>Observations</w:t>
            </w:r>
          </w:p>
        </w:tc>
        <w:tc>
          <w:tcPr>
            <w:tcW w:w="4235" w:type="dxa"/>
            <w:gridSpan w:val="3"/>
          </w:tcPr>
          <w:p w14:paraId="3538D1BA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lang w:eastAsia="en-AU"/>
              </w:rPr>
              <w:t>253</w:t>
            </w:r>
          </w:p>
        </w:tc>
        <w:tc>
          <w:tcPr>
            <w:tcW w:w="4055" w:type="dxa"/>
            <w:gridSpan w:val="3"/>
          </w:tcPr>
          <w:p w14:paraId="5FD28EBB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lang w:eastAsia="en-AU"/>
              </w:rPr>
              <w:t>254</w:t>
            </w:r>
          </w:p>
        </w:tc>
        <w:tc>
          <w:tcPr>
            <w:tcW w:w="3758" w:type="dxa"/>
            <w:gridSpan w:val="3"/>
          </w:tcPr>
          <w:p w14:paraId="2BBA84AF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lang w:eastAsia="en-AU"/>
              </w:rPr>
              <w:t>260</w:t>
            </w:r>
          </w:p>
        </w:tc>
      </w:tr>
      <w:tr w:rsidR="00176FE0" w:rsidRPr="002F62CD" w14:paraId="15B8C752" w14:textId="77777777" w:rsidTr="001D07D7">
        <w:tc>
          <w:tcPr>
            <w:tcW w:w="1502" w:type="dxa"/>
          </w:tcPr>
          <w:p w14:paraId="49A48394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t>Marginal R</w:t>
            </w:r>
            <w:r w:rsidRPr="002F62CD">
              <w:rPr>
                <w:vertAlign w:val="superscript"/>
              </w:rPr>
              <w:t>2</w:t>
            </w:r>
            <w:r w:rsidRPr="002F62CD">
              <w:t> / Conditional R</w:t>
            </w:r>
            <w:r w:rsidRPr="002F62CD">
              <w:rPr>
                <w:vertAlign w:val="superscript"/>
              </w:rPr>
              <w:t>2</w:t>
            </w:r>
          </w:p>
        </w:tc>
        <w:tc>
          <w:tcPr>
            <w:tcW w:w="4235" w:type="dxa"/>
            <w:gridSpan w:val="3"/>
          </w:tcPr>
          <w:p w14:paraId="475890D1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lang w:eastAsia="en-AU"/>
              </w:rPr>
              <w:t>0.063 / 0.545</w:t>
            </w:r>
          </w:p>
        </w:tc>
        <w:tc>
          <w:tcPr>
            <w:tcW w:w="4055" w:type="dxa"/>
            <w:gridSpan w:val="3"/>
          </w:tcPr>
          <w:p w14:paraId="2BB889C7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lang w:eastAsia="en-AU"/>
              </w:rPr>
              <w:t>0.049 / 0.586</w:t>
            </w:r>
          </w:p>
        </w:tc>
        <w:tc>
          <w:tcPr>
            <w:tcW w:w="3758" w:type="dxa"/>
            <w:gridSpan w:val="3"/>
          </w:tcPr>
          <w:p w14:paraId="618A67B0" w14:textId="77777777" w:rsidR="00176FE0" w:rsidRPr="002F62CD" w:rsidRDefault="00176FE0" w:rsidP="001D07D7">
            <w:pPr>
              <w:spacing w:before="0" w:after="0"/>
              <w:contextualSpacing/>
              <w:rPr>
                <w:b/>
              </w:rPr>
            </w:pPr>
            <w:r w:rsidRPr="002F62CD">
              <w:rPr>
                <w:rFonts w:eastAsia="Times New Roman"/>
                <w:lang w:eastAsia="en-AU"/>
              </w:rPr>
              <w:t>0.034 / 0.653</w:t>
            </w:r>
          </w:p>
        </w:tc>
      </w:tr>
    </w:tbl>
    <w:p w14:paraId="6CC35C58" w14:textId="7C9B365D" w:rsidR="00176FE0" w:rsidRPr="00B813D5" w:rsidRDefault="00176FE0" w:rsidP="00176FE0">
      <w:pPr>
        <w:rPr>
          <w:bCs/>
        </w:rPr>
      </w:pPr>
      <w:r w:rsidRPr="00B813D5">
        <w:rPr>
          <w:bCs/>
        </w:rPr>
        <w:t xml:space="preserve">*: Reference is the Usual Care group; </w:t>
      </w:r>
      <w:r w:rsidRPr="00B813D5">
        <w:rPr>
          <w:rFonts w:cs="Calibri"/>
          <w:bCs/>
        </w:rPr>
        <w:t>¥: Reference is Baseline timepoint</w:t>
      </w:r>
      <w:r w:rsidR="00037747">
        <w:rPr>
          <w:rFonts w:cs="Calibri"/>
          <w:bCs/>
        </w:rPr>
        <w:t xml:space="preserve">. </w:t>
      </w:r>
      <w:r w:rsidR="00037747" w:rsidRPr="00037747">
        <w:rPr>
          <w:rFonts w:cs="Calibri"/>
          <w:bCs/>
        </w:rPr>
        <w:t>Bold values indicate statistical significance at p &lt;0.05.</w:t>
      </w:r>
    </w:p>
    <w:p w14:paraId="17F5591D" w14:textId="77777777" w:rsidR="00176FE0" w:rsidRPr="00A51B5F" w:rsidRDefault="00176FE0" w:rsidP="00176FE0">
      <w:pPr>
        <w:spacing w:before="0" w:after="200" w:line="276" w:lineRule="auto"/>
        <w:rPr>
          <w:b/>
        </w:rPr>
      </w:pPr>
      <w:r>
        <w:rPr>
          <w:b/>
        </w:rPr>
        <w:lastRenderedPageBreak/>
        <w:t xml:space="preserve">Supplemental </w:t>
      </w:r>
      <w:r w:rsidRPr="00A51B5F">
        <w:rPr>
          <w:b/>
        </w:rPr>
        <w:t xml:space="preserve">Table </w:t>
      </w:r>
      <w:r>
        <w:rPr>
          <w:b/>
        </w:rPr>
        <w:t>2</w:t>
      </w:r>
      <w:r w:rsidRPr="00A51B5F">
        <w:rPr>
          <w:b/>
        </w:rPr>
        <w:t xml:space="preserve">:  </w:t>
      </w:r>
      <w:r>
        <w:rPr>
          <w:b/>
        </w:rPr>
        <w:t>Sensitivity analysis with influential observations removed for the l</w:t>
      </w:r>
      <w:r w:rsidRPr="00A51B5F">
        <w:rPr>
          <w:b/>
        </w:rPr>
        <w:t>ongitudinal analyses</w:t>
      </w:r>
      <w:r>
        <w:rPr>
          <w:b/>
        </w:rPr>
        <w:t xml:space="preserve"> of blood pressure </w:t>
      </w:r>
      <w:r w:rsidRPr="00A51B5F">
        <w:rPr>
          <w:b/>
        </w:rPr>
        <w:t xml:space="preserve">from the linear mixed effects model </w:t>
      </w:r>
      <w:r>
        <w:rPr>
          <w:b/>
        </w:rPr>
        <w:t>over the first year post-</w:t>
      </w:r>
      <w:proofErr w:type="gramStart"/>
      <w:r>
        <w:rPr>
          <w:b/>
        </w:rPr>
        <w:t>stroke</w:t>
      </w:r>
      <w:proofErr w:type="gramEnd"/>
    </w:p>
    <w:tbl>
      <w:tblPr>
        <w:tblStyle w:val="TableGrid4"/>
        <w:tblW w:w="0" w:type="auto"/>
        <w:tblLook w:val="0000" w:firstRow="0" w:lastRow="0" w:firstColumn="0" w:lastColumn="0" w:noHBand="0" w:noVBand="0"/>
      </w:tblPr>
      <w:tblGrid>
        <w:gridCol w:w="1576"/>
        <w:gridCol w:w="876"/>
        <w:gridCol w:w="1776"/>
        <w:gridCol w:w="1347"/>
        <w:gridCol w:w="1534"/>
        <w:gridCol w:w="1536"/>
        <w:gridCol w:w="1274"/>
        <w:gridCol w:w="1031"/>
        <w:gridCol w:w="1536"/>
        <w:gridCol w:w="1068"/>
      </w:tblGrid>
      <w:tr w:rsidR="00176FE0" w:rsidRPr="00D7042F" w14:paraId="3477A431" w14:textId="77777777" w:rsidTr="000E335D">
        <w:tc>
          <w:tcPr>
            <w:tcW w:w="1576" w:type="dxa"/>
            <w:vMerge w:val="restart"/>
          </w:tcPr>
          <w:p w14:paraId="3A687B03" w14:textId="77777777" w:rsidR="00176FE0" w:rsidRPr="00D7042F" w:rsidRDefault="00176FE0" w:rsidP="001D07D7">
            <w:pPr>
              <w:spacing w:before="0" w:after="0"/>
              <w:contextualSpacing/>
              <w:rPr>
                <w:b/>
              </w:rPr>
            </w:pPr>
            <w:r w:rsidRPr="00D7042F">
              <w:t>Predictors</w:t>
            </w:r>
          </w:p>
        </w:tc>
        <w:tc>
          <w:tcPr>
            <w:tcW w:w="3999" w:type="dxa"/>
            <w:gridSpan w:val="3"/>
          </w:tcPr>
          <w:p w14:paraId="5543F4E2" w14:textId="77777777" w:rsidR="00176FE0" w:rsidRPr="00D7042F" w:rsidRDefault="00176FE0" w:rsidP="001D07D7">
            <w:pPr>
              <w:spacing w:before="0" w:after="0"/>
              <w:contextualSpacing/>
              <w:rPr>
                <w:b/>
              </w:rPr>
            </w:pPr>
            <w:r w:rsidRPr="00D7042F">
              <w:rPr>
                <w:lang w:val="en-AU"/>
              </w:rPr>
              <w:t>Systolic Blood Pressure</w:t>
            </w:r>
          </w:p>
        </w:tc>
        <w:tc>
          <w:tcPr>
            <w:tcW w:w="4344" w:type="dxa"/>
            <w:gridSpan w:val="3"/>
          </w:tcPr>
          <w:p w14:paraId="2B16774A" w14:textId="77777777" w:rsidR="00176FE0" w:rsidRPr="00D7042F" w:rsidRDefault="00176FE0" w:rsidP="001D07D7">
            <w:pPr>
              <w:spacing w:before="0" w:after="0"/>
              <w:contextualSpacing/>
              <w:rPr>
                <w:b/>
              </w:rPr>
            </w:pPr>
            <w:r w:rsidRPr="00D7042F">
              <w:rPr>
                <w:lang w:val="en-AU"/>
              </w:rPr>
              <w:t>Diastolic Blood Pressure</w:t>
            </w:r>
          </w:p>
        </w:tc>
        <w:tc>
          <w:tcPr>
            <w:tcW w:w="3635" w:type="dxa"/>
            <w:gridSpan w:val="3"/>
          </w:tcPr>
          <w:p w14:paraId="17EB2F05" w14:textId="77777777" w:rsidR="00176FE0" w:rsidRPr="00D7042F" w:rsidRDefault="00176FE0" w:rsidP="001D07D7">
            <w:pPr>
              <w:spacing w:before="0" w:after="0"/>
              <w:contextualSpacing/>
              <w:rPr>
                <w:b/>
              </w:rPr>
            </w:pPr>
            <w:r w:rsidRPr="00D7042F">
              <w:rPr>
                <w:lang w:val="en-AU"/>
              </w:rPr>
              <w:t>Hypertension</w:t>
            </w:r>
          </w:p>
        </w:tc>
      </w:tr>
      <w:tr w:rsidR="00176FE0" w:rsidRPr="00D7042F" w14:paraId="7ACF9AC7" w14:textId="77777777" w:rsidTr="000E335D">
        <w:tc>
          <w:tcPr>
            <w:tcW w:w="1576" w:type="dxa"/>
            <w:vMerge/>
          </w:tcPr>
          <w:p w14:paraId="6CE2A951" w14:textId="77777777" w:rsidR="00176FE0" w:rsidRPr="00D7042F" w:rsidRDefault="00176FE0" w:rsidP="001D07D7">
            <w:pPr>
              <w:spacing w:before="0" w:after="0"/>
              <w:contextualSpacing/>
              <w:rPr>
                <w:b/>
              </w:rPr>
            </w:pPr>
          </w:p>
        </w:tc>
        <w:tc>
          <w:tcPr>
            <w:tcW w:w="876" w:type="dxa"/>
          </w:tcPr>
          <w:p w14:paraId="4E866722" w14:textId="77777777" w:rsidR="00176FE0" w:rsidRPr="00D7042F" w:rsidRDefault="00176FE0" w:rsidP="001D07D7">
            <w:pPr>
              <w:spacing w:before="0" w:after="0"/>
              <w:contextualSpacing/>
              <w:rPr>
                <w:b/>
              </w:rPr>
            </w:pPr>
            <w:r w:rsidRPr="00D7042F">
              <w:t>Est.</w:t>
            </w:r>
          </w:p>
        </w:tc>
        <w:tc>
          <w:tcPr>
            <w:tcW w:w="1776" w:type="dxa"/>
          </w:tcPr>
          <w:p w14:paraId="152F73F9" w14:textId="77777777" w:rsidR="00176FE0" w:rsidRPr="00D7042F" w:rsidRDefault="00176FE0" w:rsidP="001D07D7">
            <w:pPr>
              <w:spacing w:before="0" w:after="0"/>
              <w:contextualSpacing/>
              <w:rPr>
                <w:b/>
              </w:rPr>
            </w:pPr>
            <w:r w:rsidRPr="00D7042F">
              <w:t>95% CI</w:t>
            </w:r>
          </w:p>
        </w:tc>
        <w:tc>
          <w:tcPr>
            <w:tcW w:w="1347" w:type="dxa"/>
          </w:tcPr>
          <w:p w14:paraId="5880CB28" w14:textId="77777777" w:rsidR="00176FE0" w:rsidRPr="00D7042F" w:rsidRDefault="00176FE0" w:rsidP="001D07D7">
            <w:pPr>
              <w:spacing w:before="0" w:after="0"/>
              <w:contextualSpacing/>
              <w:rPr>
                <w:b/>
              </w:rPr>
            </w:pPr>
            <w:r w:rsidRPr="00D7042F">
              <w:t>p</w:t>
            </w:r>
          </w:p>
        </w:tc>
        <w:tc>
          <w:tcPr>
            <w:tcW w:w="1534" w:type="dxa"/>
          </w:tcPr>
          <w:p w14:paraId="5FFEA41B" w14:textId="77777777" w:rsidR="00176FE0" w:rsidRPr="00D7042F" w:rsidRDefault="00176FE0" w:rsidP="001D07D7">
            <w:pPr>
              <w:spacing w:before="0" w:after="0"/>
              <w:contextualSpacing/>
              <w:rPr>
                <w:b/>
              </w:rPr>
            </w:pPr>
            <w:r w:rsidRPr="00D7042F">
              <w:t>Est.</w:t>
            </w:r>
          </w:p>
        </w:tc>
        <w:tc>
          <w:tcPr>
            <w:tcW w:w="1536" w:type="dxa"/>
          </w:tcPr>
          <w:p w14:paraId="46EA9333" w14:textId="77777777" w:rsidR="00176FE0" w:rsidRPr="00D7042F" w:rsidRDefault="00176FE0" w:rsidP="001D07D7">
            <w:pPr>
              <w:spacing w:before="0" w:after="0"/>
              <w:contextualSpacing/>
              <w:rPr>
                <w:b/>
              </w:rPr>
            </w:pPr>
            <w:r w:rsidRPr="00D7042F">
              <w:t>95% CI</w:t>
            </w:r>
          </w:p>
        </w:tc>
        <w:tc>
          <w:tcPr>
            <w:tcW w:w="1274" w:type="dxa"/>
          </w:tcPr>
          <w:p w14:paraId="301DDAE1" w14:textId="77777777" w:rsidR="00176FE0" w:rsidRPr="00D7042F" w:rsidRDefault="00176FE0" w:rsidP="001D07D7">
            <w:pPr>
              <w:spacing w:before="0" w:after="0"/>
              <w:contextualSpacing/>
              <w:rPr>
                <w:b/>
              </w:rPr>
            </w:pPr>
            <w:r w:rsidRPr="00D7042F">
              <w:t>p</w:t>
            </w:r>
          </w:p>
        </w:tc>
        <w:tc>
          <w:tcPr>
            <w:tcW w:w="1031" w:type="dxa"/>
          </w:tcPr>
          <w:p w14:paraId="0462AAEE" w14:textId="77777777" w:rsidR="00176FE0" w:rsidRPr="00D7042F" w:rsidRDefault="00176FE0" w:rsidP="001D07D7">
            <w:pPr>
              <w:spacing w:before="0" w:after="0"/>
              <w:contextualSpacing/>
              <w:rPr>
                <w:b/>
              </w:rPr>
            </w:pPr>
            <w:r w:rsidRPr="00D7042F">
              <w:rPr>
                <w:lang w:val="en-AU"/>
              </w:rPr>
              <w:t>Odds Ratio</w:t>
            </w:r>
          </w:p>
        </w:tc>
        <w:tc>
          <w:tcPr>
            <w:tcW w:w="1536" w:type="dxa"/>
          </w:tcPr>
          <w:p w14:paraId="584420FC" w14:textId="77777777" w:rsidR="00176FE0" w:rsidRPr="00D7042F" w:rsidRDefault="00176FE0" w:rsidP="001D07D7">
            <w:pPr>
              <w:spacing w:before="0" w:after="0"/>
              <w:contextualSpacing/>
              <w:rPr>
                <w:b/>
              </w:rPr>
            </w:pPr>
            <w:r w:rsidRPr="00D7042F">
              <w:t>95% CI</w:t>
            </w:r>
          </w:p>
        </w:tc>
        <w:tc>
          <w:tcPr>
            <w:tcW w:w="1068" w:type="dxa"/>
          </w:tcPr>
          <w:p w14:paraId="48B24A0C" w14:textId="77777777" w:rsidR="00176FE0" w:rsidRPr="00D7042F" w:rsidRDefault="00176FE0" w:rsidP="001D07D7">
            <w:pPr>
              <w:spacing w:before="0" w:after="0"/>
              <w:contextualSpacing/>
              <w:rPr>
                <w:b/>
              </w:rPr>
            </w:pPr>
            <w:r w:rsidRPr="00D7042F">
              <w:rPr>
                <w:lang w:val="en-AU"/>
              </w:rPr>
              <w:t>p</w:t>
            </w:r>
          </w:p>
        </w:tc>
      </w:tr>
      <w:tr w:rsidR="000E335D" w:rsidRPr="00D7042F" w14:paraId="0803D535" w14:textId="77777777" w:rsidTr="000E335D">
        <w:tc>
          <w:tcPr>
            <w:tcW w:w="1576" w:type="dxa"/>
          </w:tcPr>
          <w:p w14:paraId="0971BE21" w14:textId="77777777" w:rsidR="000E335D" w:rsidRPr="00D7042F" w:rsidRDefault="000E335D" w:rsidP="000E335D">
            <w:pPr>
              <w:spacing w:before="0" w:after="0"/>
              <w:contextualSpacing/>
            </w:pPr>
            <w:r w:rsidRPr="00D7042F">
              <w:t>(Intercept)</w:t>
            </w:r>
          </w:p>
        </w:tc>
        <w:tc>
          <w:tcPr>
            <w:tcW w:w="876" w:type="dxa"/>
          </w:tcPr>
          <w:p w14:paraId="6B97B8F3" w14:textId="70D763D1" w:rsidR="000E335D" w:rsidRPr="00D7042F" w:rsidRDefault="000E335D" w:rsidP="000E335D">
            <w:pPr>
              <w:spacing w:before="0" w:after="0"/>
              <w:contextualSpacing/>
            </w:pPr>
            <w:r>
              <w:t>115.54</w:t>
            </w:r>
          </w:p>
        </w:tc>
        <w:tc>
          <w:tcPr>
            <w:tcW w:w="1776" w:type="dxa"/>
          </w:tcPr>
          <w:p w14:paraId="369F2EA0" w14:textId="2A49EB5F" w:rsidR="000E335D" w:rsidRPr="00D7042F" w:rsidRDefault="000E335D" w:rsidP="000E335D">
            <w:pPr>
              <w:spacing w:before="0" w:after="0"/>
              <w:contextualSpacing/>
            </w:pPr>
            <w:r>
              <w:t>111.89 – 119.20</w:t>
            </w:r>
          </w:p>
        </w:tc>
        <w:tc>
          <w:tcPr>
            <w:tcW w:w="1347" w:type="dxa"/>
          </w:tcPr>
          <w:p w14:paraId="13CC7CC8" w14:textId="77777777" w:rsidR="000E335D" w:rsidRPr="00D7042F" w:rsidRDefault="000E335D" w:rsidP="000E335D">
            <w:pPr>
              <w:spacing w:before="0" w:after="0"/>
              <w:contextualSpacing/>
            </w:pPr>
            <w:r w:rsidRPr="00D7042F">
              <w:rPr>
                <w:rFonts w:eastAsia="Times New Roman"/>
                <w:b/>
                <w:bCs/>
                <w:lang w:eastAsia="en-AU"/>
              </w:rPr>
              <w:t>&lt;0.001</w:t>
            </w:r>
          </w:p>
        </w:tc>
        <w:tc>
          <w:tcPr>
            <w:tcW w:w="1534" w:type="dxa"/>
          </w:tcPr>
          <w:p w14:paraId="26DBB12A" w14:textId="2794809C" w:rsidR="000E335D" w:rsidRPr="00D7042F" w:rsidRDefault="000E335D" w:rsidP="000E335D">
            <w:pPr>
              <w:spacing w:before="0" w:after="0"/>
              <w:contextualSpacing/>
            </w:pPr>
            <w:r>
              <w:t>72.66</w:t>
            </w:r>
          </w:p>
        </w:tc>
        <w:tc>
          <w:tcPr>
            <w:tcW w:w="1536" w:type="dxa"/>
          </w:tcPr>
          <w:p w14:paraId="55286E0D" w14:textId="0B9F808E" w:rsidR="000E335D" w:rsidRPr="00D7042F" w:rsidRDefault="000E335D" w:rsidP="000E335D">
            <w:pPr>
              <w:spacing w:before="0" w:after="0"/>
              <w:contextualSpacing/>
            </w:pPr>
            <w:r>
              <w:t>69.53 – 75.80</w:t>
            </w:r>
          </w:p>
        </w:tc>
        <w:tc>
          <w:tcPr>
            <w:tcW w:w="1274" w:type="dxa"/>
          </w:tcPr>
          <w:p w14:paraId="0B12C1BE" w14:textId="77777777" w:rsidR="000E335D" w:rsidRPr="00D7042F" w:rsidRDefault="000E335D" w:rsidP="000E335D">
            <w:pPr>
              <w:spacing w:before="0" w:after="0"/>
              <w:contextualSpacing/>
              <w:rPr>
                <w:rStyle w:val="Strong"/>
                <w:b w:val="0"/>
                <w:bCs w:val="0"/>
              </w:rPr>
            </w:pPr>
            <w:r w:rsidRPr="00D7042F">
              <w:rPr>
                <w:rFonts w:eastAsia="Times New Roman"/>
                <w:b/>
                <w:bCs/>
                <w:lang w:eastAsia="en-AU"/>
              </w:rPr>
              <w:t>&lt;0.001</w:t>
            </w:r>
          </w:p>
        </w:tc>
        <w:tc>
          <w:tcPr>
            <w:tcW w:w="1031" w:type="dxa"/>
          </w:tcPr>
          <w:p w14:paraId="699F4168" w14:textId="77777777" w:rsidR="000E335D" w:rsidRPr="00D7042F" w:rsidRDefault="000E335D" w:rsidP="000E335D">
            <w:pPr>
              <w:spacing w:before="0" w:after="0"/>
              <w:contextualSpacing/>
            </w:pPr>
            <w:r w:rsidRPr="00D7042F">
              <w:rPr>
                <w:rFonts w:eastAsia="Times New Roman"/>
                <w:lang w:eastAsia="en-AU"/>
              </w:rPr>
              <w:t>0.01</w:t>
            </w:r>
          </w:p>
        </w:tc>
        <w:tc>
          <w:tcPr>
            <w:tcW w:w="1536" w:type="dxa"/>
          </w:tcPr>
          <w:p w14:paraId="1D9D1324" w14:textId="77777777" w:rsidR="000E335D" w:rsidRPr="00D7042F" w:rsidRDefault="000E335D" w:rsidP="000E335D">
            <w:pPr>
              <w:spacing w:before="0" w:after="0"/>
              <w:contextualSpacing/>
            </w:pPr>
            <w:r w:rsidRPr="00D7042F">
              <w:rPr>
                <w:rFonts w:eastAsia="Times New Roman"/>
                <w:lang w:eastAsia="en-AU"/>
              </w:rPr>
              <w:t>0.00 – 0.05</w:t>
            </w:r>
          </w:p>
        </w:tc>
        <w:tc>
          <w:tcPr>
            <w:tcW w:w="1068" w:type="dxa"/>
          </w:tcPr>
          <w:p w14:paraId="2DF4162F" w14:textId="77777777" w:rsidR="000E335D" w:rsidRPr="00D7042F" w:rsidRDefault="000E335D" w:rsidP="000E335D">
            <w:pPr>
              <w:spacing w:before="0" w:after="0"/>
              <w:contextualSpacing/>
            </w:pPr>
            <w:r w:rsidRPr="00D7042F">
              <w:rPr>
                <w:rFonts w:eastAsia="Times New Roman"/>
                <w:b/>
                <w:bCs/>
                <w:lang w:eastAsia="en-AU"/>
              </w:rPr>
              <w:t>&lt;0.001</w:t>
            </w:r>
          </w:p>
        </w:tc>
      </w:tr>
      <w:tr w:rsidR="000E335D" w:rsidRPr="00D7042F" w14:paraId="45973634" w14:textId="77777777" w:rsidTr="000E335D">
        <w:tc>
          <w:tcPr>
            <w:tcW w:w="1576" w:type="dxa"/>
          </w:tcPr>
          <w:p w14:paraId="1616F459" w14:textId="77777777" w:rsidR="000E335D" w:rsidRPr="00D7042F" w:rsidRDefault="000E335D" w:rsidP="000E335D">
            <w:pPr>
              <w:spacing w:before="0" w:after="0"/>
              <w:contextualSpacing/>
            </w:pPr>
            <w:r w:rsidRPr="00D7042F">
              <w:t>Time in weeks since stroke</w:t>
            </w:r>
          </w:p>
        </w:tc>
        <w:tc>
          <w:tcPr>
            <w:tcW w:w="876" w:type="dxa"/>
          </w:tcPr>
          <w:p w14:paraId="09A8C69D" w14:textId="77777777" w:rsidR="000E335D" w:rsidRPr="00D7042F" w:rsidRDefault="000E335D" w:rsidP="000E335D">
            <w:pPr>
              <w:spacing w:before="0" w:after="0"/>
              <w:contextualSpacing/>
            </w:pPr>
            <w:r w:rsidRPr="00D7042F">
              <w:rPr>
                <w:rFonts w:eastAsia="Times New Roman"/>
                <w:lang w:eastAsia="en-AU"/>
              </w:rPr>
              <w:t>0.17</w:t>
            </w:r>
          </w:p>
        </w:tc>
        <w:tc>
          <w:tcPr>
            <w:tcW w:w="1776" w:type="dxa"/>
          </w:tcPr>
          <w:p w14:paraId="2AD82511" w14:textId="77777777" w:rsidR="000E335D" w:rsidRPr="00D7042F" w:rsidRDefault="000E335D" w:rsidP="000E335D">
            <w:pPr>
              <w:spacing w:before="0" w:after="0"/>
              <w:contextualSpacing/>
            </w:pPr>
            <w:r w:rsidRPr="00D7042F">
              <w:rPr>
                <w:rFonts w:eastAsia="Times New Roman"/>
                <w:lang w:eastAsia="en-AU"/>
              </w:rPr>
              <w:t>0.11 – 0.23</w:t>
            </w:r>
          </w:p>
        </w:tc>
        <w:tc>
          <w:tcPr>
            <w:tcW w:w="1347" w:type="dxa"/>
          </w:tcPr>
          <w:p w14:paraId="4112C136" w14:textId="77777777" w:rsidR="000E335D" w:rsidRPr="00D7042F" w:rsidRDefault="000E335D" w:rsidP="000E335D">
            <w:pPr>
              <w:spacing w:before="0" w:after="0"/>
              <w:contextualSpacing/>
            </w:pPr>
            <w:r w:rsidRPr="00D7042F">
              <w:rPr>
                <w:rFonts w:eastAsia="Times New Roman"/>
                <w:b/>
                <w:bCs/>
                <w:lang w:eastAsia="en-AU"/>
              </w:rPr>
              <w:t>&lt;0.001</w:t>
            </w:r>
          </w:p>
        </w:tc>
        <w:tc>
          <w:tcPr>
            <w:tcW w:w="1534" w:type="dxa"/>
          </w:tcPr>
          <w:p w14:paraId="078B0BC3" w14:textId="26048561" w:rsidR="000E335D" w:rsidRPr="00D7042F" w:rsidRDefault="000E335D" w:rsidP="000E335D">
            <w:pPr>
              <w:spacing w:before="0" w:after="0"/>
              <w:contextualSpacing/>
            </w:pPr>
            <w:r>
              <w:t>0.09</w:t>
            </w:r>
          </w:p>
        </w:tc>
        <w:tc>
          <w:tcPr>
            <w:tcW w:w="1536" w:type="dxa"/>
          </w:tcPr>
          <w:p w14:paraId="7C4EF4D4" w14:textId="6ABAEB41" w:rsidR="000E335D" w:rsidRPr="00D7042F" w:rsidRDefault="000E335D" w:rsidP="000E335D">
            <w:pPr>
              <w:spacing w:before="0" w:after="0"/>
              <w:contextualSpacing/>
            </w:pPr>
            <w:r>
              <w:t>0.05 – 0.13</w:t>
            </w:r>
          </w:p>
        </w:tc>
        <w:tc>
          <w:tcPr>
            <w:tcW w:w="1274" w:type="dxa"/>
          </w:tcPr>
          <w:p w14:paraId="7C1363AB" w14:textId="6E99CAD4" w:rsidR="000E335D" w:rsidRPr="00D7042F" w:rsidRDefault="000E335D" w:rsidP="000E335D">
            <w:pPr>
              <w:spacing w:before="0" w:after="0"/>
              <w:contextualSpacing/>
            </w:pPr>
            <w:r>
              <w:rPr>
                <w:rStyle w:val="Strong"/>
              </w:rPr>
              <w:t>&lt;0.001</w:t>
            </w:r>
          </w:p>
        </w:tc>
        <w:tc>
          <w:tcPr>
            <w:tcW w:w="1031" w:type="dxa"/>
          </w:tcPr>
          <w:p w14:paraId="0EE3A4AA" w14:textId="77777777" w:rsidR="000E335D" w:rsidRPr="00D7042F" w:rsidRDefault="000E335D" w:rsidP="000E335D">
            <w:pPr>
              <w:spacing w:before="0" w:after="0"/>
              <w:contextualSpacing/>
            </w:pPr>
            <w:r w:rsidRPr="00D7042F">
              <w:rPr>
                <w:rFonts w:eastAsia="Times New Roman"/>
                <w:lang w:eastAsia="en-AU"/>
              </w:rPr>
              <w:t>1.03</w:t>
            </w:r>
          </w:p>
        </w:tc>
        <w:tc>
          <w:tcPr>
            <w:tcW w:w="1536" w:type="dxa"/>
          </w:tcPr>
          <w:p w14:paraId="4E30C5E1" w14:textId="77777777" w:rsidR="000E335D" w:rsidRPr="00D7042F" w:rsidRDefault="000E335D" w:rsidP="000E335D">
            <w:pPr>
              <w:spacing w:before="0" w:after="0"/>
              <w:contextualSpacing/>
            </w:pPr>
            <w:r w:rsidRPr="00D7042F">
              <w:rPr>
                <w:rFonts w:eastAsia="Times New Roman"/>
                <w:lang w:eastAsia="en-AU"/>
              </w:rPr>
              <w:t>1.01 – 1.05</w:t>
            </w:r>
          </w:p>
        </w:tc>
        <w:tc>
          <w:tcPr>
            <w:tcW w:w="1068" w:type="dxa"/>
          </w:tcPr>
          <w:p w14:paraId="40242473" w14:textId="77777777" w:rsidR="000E335D" w:rsidRPr="00D7042F" w:rsidRDefault="000E335D" w:rsidP="000E335D">
            <w:pPr>
              <w:spacing w:before="0" w:after="0"/>
              <w:contextualSpacing/>
            </w:pPr>
            <w:r w:rsidRPr="00D7042F">
              <w:rPr>
                <w:rFonts w:eastAsia="Times New Roman"/>
                <w:b/>
                <w:bCs/>
                <w:lang w:eastAsia="en-AU"/>
              </w:rPr>
              <w:t>0.004</w:t>
            </w:r>
          </w:p>
        </w:tc>
      </w:tr>
      <w:tr w:rsidR="00580326" w:rsidRPr="00D7042F" w14:paraId="39E0944D" w14:textId="77777777" w:rsidTr="000E335D">
        <w:tc>
          <w:tcPr>
            <w:tcW w:w="1576" w:type="dxa"/>
          </w:tcPr>
          <w:p w14:paraId="55074E58" w14:textId="42C3C778" w:rsidR="00580326" w:rsidRPr="00D7042F" w:rsidRDefault="00580326" w:rsidP="00580326">
            <w:pPr>
              <w:spacing w:before="0" w:after="0"/>
              <w:contextualSpacing/>
            </w:pPr>
            <w:r>
              <w:t>History of h</w:t>
            </w:r>
            <w:r w:rsidRPr="00D7042F">
              <w:t>ypertension</w:t>
            </w:r>
            <w:r>
              <w:t>*</w:t>
            </w:r>
          </w:p>
        </w:tc>
        <w:tc>
          <w:tcPr>
            <w:tcW w:w="876" w:type="dxa"/>
          </w:tcPr>
          <w:p w14:paraId="14555D90" w14:textId="6125DB55" w:rsidR="00580326" w:rsidRPr="00D7042F" w:rsidRDefault="00580326" w:rsidP="00580326">
            <w:pPr>
              <w:spacing w:before="0" w:after="0"/>
              <w:contextualSpacing/>
            </w:pPr>
            <w:r>
              <w:t>12.48</w:t>
            </w:r>
          </w:p>
        </w:tc>
        <w:tc>
          <w:tcPr>
            <w:tcW w:w="1776" w:type="dxa"/>
          </w:tcPr>
          <w:p w14:paraId="29F31DC1" w14:textId="5EBB0E88" w:rsidR="00580326" w:rsidRPr="00D7042F" w:rsidRDefault="00580326" w:rsidP="00580326">
            <w:pPr>
              <w:spacing w:before="0" w:after="0"/>
              <w:contextualSpacing/>
            </w:pPr>
            <w:r>
              <w:t>8.09 – 16.86</w:t>
            </w:r>
          </w:p>
        </w:tc>
        <w:tc>
          <w:tcPr>
            <w:tcW w:w="1347" w:type="dxa"/>
          </w:tcPr>
          <w:p w14:paraId="6EC930AE" w14:textId="77777777" w:rsidR="00580326" w:rsidRPr="00D7042F" w:rsidRDefault="00580326" w:rsidP="00580326">
            <w:pPr>
              <w:spacing w:before="0" w:after="0"/>
              <w:contextualSpacing/>
            </w:pPr>
            <w:r w:rsidRPr="00D7042F">
              <w:rPr>
                <w:rFonts w:eastAsia="Times New Roman"/>
                <w:b/>
                <w:bCs/>
                <w:lang w:eastAsia="en-AU"/>
              </w:rPr>
              <w:t>&lt;0.001</w:t>
            </w:r>
          </w:p>
        </w:tc>
        <w:tc>
          <w:tcPr>
            <w:tcW w:w="1534" w:type="dxa"/>
          </w:tcPr>
          <w:p w14:paraId="375D6C90" w14:textId="6AB07DB9" w:rsidR="00580326" w:rsidRPr="00D7042F" w:rsidRDefault="00580326" w:rsidP="00580326">
            <w:pPr>
              <w:spacing w:before="0" w:after="0"/>
              <w:contextualSpacing/>
            </w:pPr>
            <w:r>
              <w:t>4.75</w:t>
            </w:r>
          </w:p>
        </w:tc>
        <w:tc>
          <w:tcPr>
            <w:tcW w:w="1536" w:type="dxa"/>
          </w:tcPr>
          <w:p w14:paraId="161A92C7" w14:textId="56DA3798" w:rsidR="00580326" w:rsidRPr="00D7042F" w:rsidRDefault="00580326" w:rsidP="00580326">
            <w:pPr>
              <w:spacing w:before="0" w:after="0"/>
              <w:contextualSpacing/>
            </w:pPr>
            <w:r>
              <w:t>1.17 – 8.33</w:t>
            </w:r>
          </w:p>
        </w:tc>
        <w:tc>
          <w:tcPr>
            <w:tcW w:w="1274" w:type="dxa"/>
          </w:tcPr>
          <w:p w14:paraId="147D9431" w14:textId="1660B6EB" w:rsidR="00580326" w:rsidRPr="00D7042F" w:rsidRDefault="00580326" w:rsidP="00580326">
            <w:pPr>
              <w:spacing w:before="0" w:after="0"/>
              <w:contextualSpacing/>
            </w:pPr>
            <w:r>
              <w:rPr>
                <w:rStyle w:val="Strong"/>
              </w:rPr>
              <w:t>0.009</w:t>
            </w:r>
          </w:p>
        </w:tc>
        <w:tc>
          <w:tcPr>
            <w:tcW w:w="1031" w:type="dxa"/>
          </w:tcPr>
          <w:p w14:paraId="30AAE29C" w14:textId="51D526FD" w:rsidR="00580326" w:rsidRPr="00D7042F" w:rsidRDefault="00580326" w:rsidP="00580326">
            <w:pPr>
              <w:spacing w:before="0" w:after="0"/>
              <w:contextualSpacing/>
            </w:pPr>
            <w:r>
              <w:t>42.38</w:t>
            </w:r>
          </w:p>
        </w:tc>
        <w:tc>
          <w:tcPr>
            <w:tcW w:w="1536" w:type="dxa"/>
          </w:tcPr>
          <w:p w14:paraId="26C4471A" w14:textId="7B4617D1" w:rsidR="00580326" w:rsidRPr="00D7042F" w:rsidRDefault="00580326" w:rsidP="00580326">
            <w:pPr>
              <w:spacing w:before="0" w:after="0"/>
              <w:contextualSpacing/>
            </w:pPr>
            <w:r>
              <w:t>6.19 – 290.31</w:t>
            </w:r>
          </w:p>
        </w:tc>
        <w:tc>
          <w:tcPr>
            <w:tcW w:w="1068" w:type="dxa"/>
          </w:tcPr>
          <w:p w14:paraId="52E86E69" w14:textId="77777777" w:rsidR="00580326" w:rsidRPr="00D7042F" w:rsidRDefault="00580326" w:rsidP="00580326">
            <w:pPr>
              <w:spacing w:before="0" w:after="0"/>
              <w:contextualSpacing/>
            </w:pPr>
            <w:r w:rsidRPr="00D7042F">
              <w:rPr>
                <w:rFonts w:eastAsia="Times New Roman"/>
                <w:b/>
                <w:bCs/>
                <w:lang w:eastAsia="en-AU"/>
              </w:rPr>
              <w:t>&lt;0.001</w:t>
            </w:r>
          </w:p>
        </w:tc>
      </w:tr>
      <w:tr w:rsidR="00580326" w:rsidRPr="00D7042F" w14:paraId="7FDD04FC" w14:textId="77777777" w:rsidTr="000E335D">
        <w:tc>
          <w:tcPr>
            <w:tcW w:w="1576" w:type="dxa"/>
          </w:tcPr>
          <w:p w14:paraId="77A625DC" w14:textId="77777777" w:rsidR="00580326" w:rsidRPr="00D7042F" w:rsidRDefault="00580326" w:rsidP="00580326">
            <w:pPr>
              <w:spacing w:before="0" w:after="0"/>
              <w:contextualSpacing/>
            </w:pPr>
            <w:r w:rsidRPr="00D7042F">
              <w:t>Age in years</w:t>
            </w:r>
          </w:p>
        </w:tc>
        <w:tc>
          <w:tcPr>
            <w:tcW w:w="876" w:type="dxa"/>
          </w:tcPr>
          <w:p w14:paraId="3C076B99" w14:textId="1AF9F3A3" w:rsidR="00580326" w:rsidRPr="00D7042F" w:rsidRDefault="00580326" w:rsidP="00580326">
            <w:pPr>
              <w:spacing w:before="0" w:after="0"/>
              <w:contextualSpacing/>
            </w:pPr>
            <w:r>
              <w:t>0.04</w:t>
            </w:r>
          </w:p>
        </w:tc>
        <w:tc>
          <w:tcPr>
            <w:tcW w:w="1776" w:type="dxa"/>
          </w:tcPr>
          <w:p w14:paraId="03B79E08" w14:textId="7FA2F09B" w:rsidR="00580326" w:rsidRPr="00D7042F" w:rsidRDefault="00580326" w:rsidP="00580326">
            <w:pPr>
              <w:spacing w:before="0" w:after="0"/>
              <w:contextualSpacing/>
            </w:pPr>
            <w:r>
              <w:t>-0.14 – 0.22</w:t>
            </w:r>
          </w:p>
        </w:tc>
        <w:tc>
          <w:tcPr>
            <w:tcW w:w="1347" w:type="dxa"/>
          </w:tcPr>
          <w:p w14:paraId="36365D64" w14:textId="687D1DDA" w:rsidR="00580326" w:rsidRPr="00D7042F" w:rsidRDefault="00580326" w:rsidP="00580326">
            <w:pPr>
              <w:spacing w:before="0" w:after="0"/>
              <w:contextualSpacing/>
            </w:pPr>
            <w:r>
              <w:t>0.666</w:t>
            </w:r>
          </w:p>
        </w:tc>
        <w:tc>
          <w:tcPr>
            <w:tcW w:w="1534" w:type="dxa"/>
          </w:tcPr>
          <w:p w14:paraId="5EA99FEA" w14:textId="3C6B4212" w:rsidR="00580326" w:rsidRPr="00D7042F" w:rsidRDefault="00580326" w:rsidP="00580326">
            <w:pPr>
              <w:spacing w:before="0" w:after="0"/>
              <w:contextualSpacing/>
            </w:pPr>
            <w:r>
              <w:t>-0.20</w:t>
            </w:r>
          </w:p>
        </w:tc>
        <w:tc>
          <w:tcPr>
            <w:tcW w:w="1536" w:type="dxa"/>
          </w:tcPr>
          <w:p w14:paraId="2C68C500" w14:textId="1BCD90AC" w:rsidR="00580326" w:rsidRPr="00D7042F" w:rsidRDefault="00580326" w:rsidP="00580326">
            <w:pPr>
              <w:spacing w:before="0" w:after="0"/>
              <w:contextualSpacing/>
            </w:pPr>
            <w:r>
              <w:t>-0.35 – -0.05</w:t>
            </w:r>
          </w:p>
        </w:tc>
        <w:tc>
          <w:tcPr>
            <w:tcW w:w="1274" w:type="dxa"/>
          </w:tcPr>
          <w:p w14:paraId="4A5A678B" w14:textId="385B9712" w:rsidR="00580326" w:rsidRPr="00D7042F" w:rsidRDefault="00580326" w:rsidP="00580326">
            <w:pPr>
              <w:spacing w:before="0" w:after="0"/>
              <w:contextualSpacing/>
            </w:pPr>
            <w:r>
              <w:rPr>
                <w:rStyle w:val="Strong"/>
              </w:rPr>
              <w:t>0.008</w:t>
            </w:r>
          </w:p>
        </w:tc>
        <w:tc>
          <w:tcPr>
            <w:tcW w:w="1031" w:type="dxa"/>
          </w:tcPr>
          <w:p w14:paraId="09431179" w14:textId="10680D6B" w:rsidR="00580326" w:rsidRPr="00D7042F" w:rsidRDefault="00580326" w:rsidP="00580326">
            <w:pPr>
              <w:spacing w:before="0" w:after="0"/>
              <w:contextualSpacing/>
            </w:pPr>
            <w:r>
              <w:t>1.00</w:t>
            </w:r>
          </w:p>
        </w:tc>
        <w:tc>
          <w:tcPr>
            <w:tcW w:w="1536" w:type="dxa"/>
          </w:tcPr>
          <w:p w14:paraId="6D01F77E" w14:textId="21D14592" w:rsidR="00580326" w:rsidRPr="00D7042F" w:rsidRDefault="00580326" w:rsidP="00580326">
            <w:pPr>
              <w:spacing w:before="0" w:after="0"/>
              <w:contextualSpacing/>
            </w:pPr>
            <w:r>
              <w:t>0.94 – 1.07</w:t>
            </w:r>
          </w:p>
        </w:tc>
        <w:tc>
          <w:tcPr>
            <w:tcW w:w="1068" w:type="dxa"/>
          </w:tcPr>
          <w:p w14:paraId="7F8080E0" w14:textId="2418FCE7" w:rsidR="00580326" w:rsidRPr="00D7042F" w:rsidRDefault="00580326" w:rsidP="00580326">
            <w:pPr>
              <w:spacing w:before="0" w:after="0"/>
              <w:contextualSpacing/>
            </w:pPr>
            <w:r>
              <w:t>0.947</w:t>
            </w:r>
          </w:p>
        </w:tc>
      </w:tr>
      <w:tr w:rsidR="00580326" w:rsidRPr="00D7042F" w14:paraId="2CAE1878" w14:textId="77777777" w:rsidTr="000E335D">
        <w:tc>
          <w:tcPr>
            <w:tcW w:w="1576" w:type="dxa"/>
          </w:tcPr>
          <w:p w14:paraId="289EBDDA" w14:textId="7D550C3F" w:rsidR="00580326" w:rsidRPr="00D7042F" w:rsidRDefault="00580326" w:rsidP="00580326">
            <w:pPr>
              <w:spacing w:before="0" w:after="0"/>
              <w:contextualSpacing/>
            </w:pPr>
            <w:r>
              <w:t>Hemorrhagic Stroke</w:t>
            </w:r>
            <w:r w:rsidRPr="00B813D5">
              <w:rPr>
                <w:rFonts w:cs="Calibri"/>
                <w:bCs/>
              </w:rPr>
              <w:t>¥</w:t>
            </w:r>
          </w:p>
        </w:tc>
        <w:tc>
          <w:tcPr>
            <w:tcW w:w="876" w:type="dxa"/>
          </w:tcPr>
          <w:p w14:paraId="6CE62664" w14:textId="7A60D008" w:rsidR="00580326" w:rsidRPr="00D7042F" w:rsidRDefault="00580326" w:rsidP="00580326">
            <w:pPr>
              <w:spacing w:before="0" w:after="0"/>
              <w:contextualSpacing/>
              <w:rPr>
                <w:rFonts w:eastAsia="Times New Roman"/>
                <w:lang w:eastAsia="en-AU"/>
              </w:rPr>
            </w:pPr>
            <w:r>
              <w:t>-3.64</w:t>
            </w:r>
          </w:p>
        </w:tc>
        <w:tc>
          <w:tcPr>
            <w:tcW w:w="1776" w:type="dxa"/>
          </w:tcPr>
          <w:p w14:paraId="545BAE22" w14:textId="3B9786C9" w:rsidR="00580326" w:rsidRPr="00D7042F" w:rsidRDefault="00580326" w:rsidP="00580326">
            <w:pPr>
              <w:spacing w:before="0" w:after="0"/>
              <w:contextualSpacing/>
              <w:rPr>
                <w:rFonts w:eastAsia="Times New Roman"/>
                <w:lang w:eastAsia="en-AU"/>
              </w:rPr>
            </w:pPr>
            <w:r>
              <w:t>-8.88 – 1.60</w:t>
            </w:r>
          </w:p>
        </w:tc>
        <w:tc>
          <w:tcPr>
            <w:tcW w:w="1347" w:type="dxa"/>
          </w:tcPr>
          <w:p w14:paraId="5C342617" w14:textId="3F1A98B3" w:rsidR="00580326" w:rsidRPr="00D7042F" w:rsidRDefault="00580326" w:rsidP="00580326">
            <w:pPr>
              <w:spacing w:before="0" w:after="0"/>
              <w:contextualSpacing/>
              <w:rPr>
                <w:rFonts w:eastAsia="Times New Roman"/>
                <w:lang w:eastAsia="en-AU"/>
              </w:rPr>
            </w:pPr>
            <w:r>
              <w:t>0.173</w:t>
            </w:r>
          </w:p>
        </w:tc>
        <w:tc>
          <w:tcPr>
            <w:tcW w:w="1534" w:type="dxa"/>
          </w:tcPr>
          <w:p w14:paraId="57A63518" w14:textId="71C3A9CF" w:rsidR="00580326" w:rsidRPr="00D7042F" w:rsidRDefault="00580326" w:rsidP="00580326">
            <w:pPr>
              <w:spacing w:before="0" w:after="0"/>
              <w:contextualSpacing/>
              <w:rPr>
                <w:rFonts w:eastAsia="Times New Roman"/>
                <w:lang w:eastAsia="en-AU"/>
              </w:rPr>
            </w:pPr>
            <w:r>
              <w:t>-1.50</w:t>
            </w:r>
          </w:p>
        </w:tc>
        <w:tc>
          <w:tcPr>
            <w:tcW w:w="1536" w:type="dxa"/>
          </w:tcPr>
          <w:p w14:paraId="1E4FB369" w14:textId="7A5654F8" w:rsidR="00580326" w:rsidRPr="00D7042F" w:rsidRDefault="00580326" w:rsidP="00580326">
            <w:pPr>
              <w:spacing w:before="0" w:after="0"/>
              <w:contextualSpacing/>
              <w:rPr>
                <w:rFonts w:eastAsia="Times New Roman"/>
                <w:lang w:eastAsia="en-AU"/>
              </w:rPr>
            </w:pPr>
            <w:r>
              <w:t>-5.78 – 2.77</w:t>
            </w:r>
          </w:p>
        </w:tc>
        <w:tc>
          <w:tcPr>
            <w:tcW w:w="1274" w:type="dxa"/>
          </w:tcPr>
          <w:p w14:paraId="72A286E0" w14:textId="5D06A827" w:rsidR="00580326" w:rsidRPr="00D7042F" w:rsidRDefault="00580326" w:rsidP="00580326">
            <w:pPr>
              <w:spacing w:before="0" w:after="0"/>
              <w:contextualSpacing/>
              <w:rPr>
                <w:rFonts w:eastAsia="Times New Roman"/>
                <w:b/>
                <w:bCs/>
                <w:lang w:eastAsia="en-AU"/>
              </w:rPr>
            </w:pPr>
            <w:r>
              <w:t>0.489</w:t>
            </w:r>
          </w:p>
        </w:tc>
        <w:tc>
          <w:tcPr>
            <w:tcW w:w="1031" w:type="dxa"/>
          </w:tcPr>
          <w:p w14:paraId="601D475E" w14:textId="288FBBD3" w:rsidR="00580326" w:rsidRPr="00D7042F" w:rsidRDefault="00580326" w:rsidP="00580326">
            <w:pPr>
              <w:spacing w:before="0" w:after="0"/>
              <w:contextualSpacing/>
              <w:rPr>
                <w:rFonts w:eastAsia="Times New Roman"/>
                <w:lang w:eastAsia="en-AU"/>
              </w:rPr>
            </w:pPr>
            <w:r>
              <w:t>0.27</w:t>
            </w:r>
          </w:p>
        </w:tc>
        <w:tc>
          <w:tcPr>
            <w:tcW w:w="1536" w:type="dxa"/>
          </w:tcPr>
          <w:p w14:paraId="5E47D510" w14:textId="2D2565FF" w:rsidR="00580326" w:rsidRPr="00D7042F" w:rsidRDefault="00580326" w:rsidP="00580326">
            <w:pPr>
              <w:spacing w:before="0" w:after="0"/>
              <w:contextualSpacing/>
              <w:rPr>
                <w:rFonts w:eastAsia="Times New Roman"/>
                <w:lang w:eastAsia="en-AU"/>
              </w:rPr>
            </w:pPr>
            <w:r>
              <w:t>0.05 – 1.40</w:t>
            </w:r>
          </w:p>
        </w:tc>
        <w:tc>
          <w:tcPr>
            <w:tcW w:w="1068" w:type="dxa"/>
          </w:tcPr>
          <w:p w14:paraId="04C5A095" w14:textId="0EC6A109" w:rsidR="00580326" w:rsidRPr="00D7042F" w:rsidRDefault="00580326" w:rsidP="00580326">
            <w:pPr>
              <w:spacing w:before="0" w:after="0"/>
              <w:contextualSpacing/>
              <w:rPr>
                <w:rFonts w:eastAsia="Times New Roman"/>
                <w:lang w:eastAsia="en-AU"/>
              </w:rPr>
            </w:pPr>
            <w:r>
              <w:t>0.119</w:t>
            </w:r>
          </w:p>
        </w:tc>
      </w:tr>
      <w:tr w:rsidR="00176FE0" w:rsidRPr="00D7042F" w14:paraId="139B0065" w14:textId="77777777" w:rsidTr="000E335D">
        <w:tc>
          <w:tcPr>
            <w:tcW w:w="13554" w:type="dxa"/>
            <w:gridSpan w:val="10"/>
          </w:tcPr>
          <w:p w14:paraId="5D15423D" w14:textId="77777777" w:rsidR="00176FE0" w:rsidRPr="00D7042F" w:rsidRDefault="00176FE0" w:rsidP="001D07D7">
            <w:pPr>
              <w:spacing w:before="0" w:after="0"/>
              <w:contextualSpacing/>
              <w:rPr>
                <w:b/>
              </w:rPr>
            </w:pPr>
            <w:r w:rsidRPr="00D7042F">
              <w:rPr>
                <w:b/>
              </w:rPr>
              <w:t>Random Effects</w:t>
            </w:r>
          </w:p>
        </w:tc>
      </w:tr>
      <w:tr w:rsidR="007A132A" w:rsidRPr="00D7042F" w14:paraId="0EB0D288" w14:textId="77777777" w:rsidTr="000E335D">
        <w:tc>
          <w:tcPr>
            <w:tcW w:w="1576" w:type="dxa"/>
          </w:tcPr>
          <w:p w14:paraId="3C6ADB30" w14:textId="1E592BED" w:rsidR="007A132A" w:rsidRPr="00D7042F" w:rsidRDefault="007A132A" w:rsidP="007A132A">
            <w:pPr>
              <w:spacing w:before="0" w:after="0"/>
              <w:contextualSpacing/>
              <w:rPr>
                <w:b/>
              </w:rPr>
            </w:pPr>
            <w:r>
              <w:t>σ</w:t>
            </w:r>
            <w:r>
              <w:rPr>
                <w:vertAlign w:val="superscript"/>
              </w:rPr>
              <w:t>2</w:t>
            </w:r>
          </w:p>
        </w:tc>
        <w:tc>
          <w:tcPr>
            <w:tcW w:w="3999" w:type="dxa"/>
            <w:gridSpan w:val="3"/>
          </w:tcPr>
          <w:p w14:paraId="6A6798A0" w14:textId="64D9F14F" w:rsidR="007A132A" w:rsidRPr="00D7042F" w:rsidRDefault="007A132A" w:rsidP="007A132A">
            <w:pPr>
              <w:spacing w:before="0" w:after="0"/>
              <w:contextualSpacing/>
              <w:rPr>
                <w:b/>
              </w:rPr>
            </w:pPr>
            <w:r>
              <w:t>80.45</w:t>
            </w:r>
          </w:p>
        </w:tc>
        <w:tc>
          <w:tcPr>
            <w:tcW w:w="4344" w:type="dxa"/>
            <w:gridSpan w:val="3"/>
          </w:tcPr>
          <w:p w14:paraId="23572A50" w14:textId="19317AC4" w:rsidR="007A132A" w:rsidRPr="00D7042F" w:rsidRDefault="007A132A" w:rsidP="007A132A">
            <w:pPr>
              <w:spacing w:before="0" w:after="0"/>
              <w:contextualSpacing/>
              <w:rPr>
                <w:b/>
              </w:rPr>
            </w:pPr>
            <w:r w:rsidRPr="00D7042F">
              <w:rPr>
                <w:rFonts w:eastAsia="Times New Roman"/>
                <w:lang w:eastAsia="en-AU"/>
              </w:rPr>
              <w:t>3</w:t>
            </w:r>
            <w:r w:rsidR="00580326">
              <w:rPr>
                <w:rFonts w:eastAsia="Times New Roman"/>
                <w:lang w:eastAsia="en-AU"/>
              </w:rPr>
              <w:t>4.93</w:t>
            </w:r>
          </w:p>
        </w:tc>
        <w:tc>
          <w:tcPr>
            <w:tcW w:w="3635" w:type="dxa"/>
            <w:gridSpan w:val="3"/>
          </w:tcPr>
          <w:p w14:paraId="61FF0006" w14:textId="77777777" w:rsidR="007A132A" w:rsidRPr="00D7042F" w:rsidRDefault="007A132A" w:rsidP="007A132A">
            <w:pPr>
              <w:spacing w:before="0" w:after="0"/>
              <w:contextualSpacing/>
              <w:rPr>
                <w:b/>
              </w:rPr>
            </w:pPr>
            <w:r w:rsidRPr="00D7042F">
              <w:rPr>
                <w:rFonts w:eastAsia="Times New Roman"/>
                <w:lang w:eastAsia="en-AU"/>
              </w:rPr>
              <w:t>3.29</w:t>
            </w:r>
          </w:p>
        </w:tc>
      </w:tr>
      <w:tr w:rsidR="007A132A" w:rsidRPr="00D7042F" w14:paraId="6711F386" w14:textId="77777777" w:rsidTr="000E335D">
        <w:tc>
          <w:tcPr>
            <w:tcW w:w="1576" w:type="dxa"/>
          </w:tcPr>
          <w:p w14:paraId="3089518C" w14:textId="05D6BFAF" w:rsidR="007A132A" w:rsidRPr="00D7042F" w:rsidRDefault="007A132A" w:rsidP="007A132A">
            <w:pPr>
              <w:spacing w:before="0" w:after="0"/>
              <w:contextualSpacing/>
              <w:rPr>
                <w:b/>
              </w:rPr>
            </w:pPr>
            <w:r>
              <w:t>τ</w:t>
            </w:r>
            <w:r>
              <w:rPr>
                <w:vertAlign w:val="subscript"/>
              </w:rPr>
              <w:t>00</w:t>
            </w:r>
            <w:r>
              <w:t> </w:t>
            </w:r>
            <w:r>
              <w:rPr>
                <w:vertAlign w:val="subscript"/>
              </w:rPr>
              <w:t>ID</w:t>
            </w:r>
          </w:p>
        </w:tc>
        <w:tc>
          <w:tcPr>
            <w:tcW w:w="3999" w:type="dxa"/>
            <w:gridSpan w:val="3"/>
          </w:tcPr>
          <w:p w14:paraId="1F0A2CCC" w14:textId="6002DFC6" w:rsidR="007A132A" w:rsidRPr="00D7042F" w:rsidRDefault="007A132A" w:rsidP="007A132A">
            <w:pPr>
              <w:spacing w:before="0" w:after="0"/>
              <w:contextualSpacing/>
              <w:rPr>
                <w:b/>
              </w:rPr>
            </w:pPr>
            <w:r>
              <w:t>47.00</w:t>
            </w:r>
          </w:p>
        </w:tc>
        <w:tc>
          <w:tcPr>
            <w:tcW w:w="4344" w:type="dxa"/>
            <w:gridSpan w:val="3"/>
          </w:tcPr>
          <w:p w14:paraId="646545C7" w14:textId="024640A5" w:rsidR="007A132A" w:rsidRPr="00D7042F" w:rsidRDefault="007A132A" w:rsidP="007A132A">
            <w:pPr>
              <w:spacing w:before="0" w:after="0"/>
              <w:contextualSpacing/>
              <w:rPr>
                <w:b/>
              </w:rPr>
            </w:pPr>
            <w:r w:rsidRPr="00D7042F">
              <w:rPr>
                <w:rFonts w:eastAsia="Times New Roman"/>
                <w:lang w:eastAsia="en-AU"/>
              </w:rPr>
              <w:t>36.</w:t>
            </w:r>
            <w:r w:rsidR="00580326">
              <w:rPr>
                <w:rFonts w:eastAsia="Times New Roman"/>
                <w:lang w:eastAsia="en-AU"/>
              </w:rPr>
              <w:t>67</w:t>
            </w:r>
          </w:p>
        </w:tc>
        <w:tc>
          <w:tcPr>
            <w:tcW w:w="3635" w:type="dxa"/>
            <w:gridSpan w:val="3"/>
          </w:tcPr>
          <w:p w14:paraId="1C32E1ED" w14:textId="19AEC139" w:rsidR="007A132A" w:rsidRPr="00580326" w:rsidRDefault="00580326" w:rsidP="007A132A">
            <w:pPr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3.34</w:t>
            </w:r>
          </w:p>
        </w:tc>
      </w:tr>
      <w:tr w:rsidR="007A132A" w:rsidRPr="00D7042F" w14:paraId="11E9AC68" w14:textId="77777777" w:rsidTr="000E335D">
        <w:tc>
          <w:tcPr>
            <w:tcW w:w="1576" w:type="dxa"/>
          </w:tcPr>
          <w:p w14:paraId="36B83EE3" w14:textId="2DC86203" w:rsidR="007A132A" w:rsidRPr="00D7042F" w:rsidRDefault="007A132A" w:rsidP="007A132A">
            <w:pPr>
              <w:spacing w:before="0" w:after="0"/>
              <w:contextualSpacing/>
              <w:rPr>
                <w:b/>
              </w:rPr>
            </w:pPr>
            <w:r>
              <w:t>ICC</w:t>
            </w:r>
          </w:p>
        </w:tc>
        <w:tc>
          <w:tcPr>
            <w:tcW w:w="3999" w:type="dxa"/>
            <w:gridSpan w:val="3"/>
          </w:tcPr>
          <w:p w14:paraId="555150D2" w14:textId="67529D45" w:rsidR="007A132A" w:rsidRPr="00D7042F" w:rsidRDefault="007A132A" w:rsidP="007A132A">
            <w:pPr>
              <w:spacing w:before="0" w:after="0"/>
              <w:contextualSpacing/>
              <w:rPr>
                <w:b/>
              </w:rPr>
            </w:pPr>
            <w:r>
              <w:t>0.37</w:t>
            </w:r>
          </w:p>
        </w:tc>
        <w:tc>
          <w:tcPr>
            <w:tcW w:w="4344" w:type="dxa"/>
            <w:gridSpan w:val="3"/>
          </w:tcPr>
          <w:p w14:paraId="2B9677A2" w14:textId="1B38E743" w:rsidR="007A132A" w:rsidRPr="00D7042F" w:rsidRDefault="007A132A" w:rsidP="007A132A">
            <w:pPr>
              <w:spacing w:before="0" w:after="0"/>
              <w:contextualSpacing/>
              <w:rPr>
                <w:b/>
              </w:rPr>
            </w:pPr>
            <w:r w:rsidRPr="00D7042F">
              <w:rPr>
                <w:rFonts w:eastAsia="Times New Roman"/>
                <w:lang w:eastAsia="en-AU"/>
              </w:rPr>
              <w:t>0.5</w:t>
            </w:r>
            <w:r w:rsidR="00580326">
              <w:rPr>
                <w:rFonts w:eastAsia="Times New Roman"/>
                <w:lang w:eastAsia="en-AU"/>
              </w:rPr>
              <w:t>1</w:t>
            </w:r>
          </w:p>
        </w:tc>
        <w:tc>
          <w:tcPr>
            <w:tcW w:w="3635" w:type="dxa"/>
            <w:gridSpan w:val="3"/>
          </w:tcPr>
          <w:p w14:paraId="4678588B" w14:textId="46F9C883" w:rsidR="007A132A" w:rsidRPr="00D7042F" w:rsidRDefault="007A132A" w:rsidP="007A132A">
            <w:pPr>
              <w:spacing w:before="0" w:after="0"/>
              <w:contextualSpacing/>
              <w:rPr>
                <w:b/>
              </w:rPr>
            </w:pPr>
            <w:r w:rsidRPr="00D7042F">
              <w:rPr>
                <w:rFonts w:eastAsia="Times New Roman"/>
                <w:lang w:eastAsia="en-AU"/>
              </w:rPr>
              <w:t>0.5</w:t>
            </w:r>
            <w:r w:rsidR="00580326">
              <w:rPr>
                <w:rFonts w:eastAsia="Times New Roman"/>
                <w:lang w:eastAsia="en-AU"/>
              </w:rPr>
              <w:t>0</w:t>
            </w:r>
          </w:p>
        </w:tc>
      </w:tr>
      <w:tr w:rsidR="007A132A" w:rsidRPr="00D7042F" w14:paraId="55A1460B" w14:textId="77777777" w:rsidTr="000E335D">
        <w:tc>
          <w:tcPr>
            <w:tcW w:w="1576" w:type="dxa"/>
          </w:tcPr>
          <w:p w14:paraId="4C87D870" w14:textId="29A10FFB" w:rsidR="007A132A" w:rsidRPr="00D7042F" w:rsidRDefault="007A132A" w:rsidP="007A132A">
            <w:pPr>
              <w:spacing w:before="0" w:after="0"/>
              <w:contextualSpacing/>
              <w:rPr>
                <w:b/>
              </w:rPr>
            </w:pPr>
            <w:r>
              <w:t>N </w:t>
            </w:r>
            <w:r>
              <w:rPr>
                <w:vertAlign w:val="subscript"/>
              </w:rPr>
              <w:t>ID</w:t>
            </w:r>
          </w:p>
        </w:tc>
        <w:tc>
          <w:tcPr>
            <w:tcW w:w="3999" w:type="dxa"/>
            <w:gridSpan w:val="3"/>
          </w:tcPr>
          <w:p w14:paraId="1287258B" w14:textId="429A7998" w:rsidR="007A132A" w:rsidRPr="00D7042F" w:rsidRDefault="007A132A" w:rsidP="007A132A">
            <w:pPr>
              <w:spacing w:before="0" w:after="0"/>
              <w:contextualSpacing/>
              <w:rPr>
                <w:b/>
              </w:rPr>
            </w:pPr>
            <w:r>
              <w:t>74</w:t>
            </w:r>
          </w:p>
        </w:tc>
        <w:tc>
          <w:tcPr>
            <w:tcW w:w="4344" w:type="dxa"/>
            <w:gridSpan w:val="3"/>
          </w:tcPr>
          <w:p w14:paraId="65B80BB4" w14:textId="77777777" w:rsidR="007A132A" w:rsidRPr="00D7042F" w:rsidRDefault="007A132A" w:rsidP="007A132A">
            <w:pPr>
              <w:spacing w:before="0" w:after="0"/>
              <w:contextualSpacing/>
              <w:rPr>
                <w:b/>
              </w:rPr>
            </w:pPr>
            <w:r w:rsidRPr="00D7042F">
              <w:rPr>
                <w:rFonts w:eastAsia="Times New Roman"/>
                <w:lang w:eastAsia="en-AU"/>
              </w:rPr>
              <w:t>74</w:t>
            </w:r>
          </w:p>
        </w:tc>
        <w:tc>
          <w:tcPr>
            <w:tcW w:w="3635" w:type="dxa"/>
            <w:gridSpan w:val="3"/>
          </w:tcPr>
          <w:p w14:paraId="60A5D9CC" w14:textId="77777777" w:rsidR="007A132A" w:rsidRPr="00D7042F" w:rsidRDefault="007A132A" w:rsidP="007A132A">
            <w:pPr>
              <w:spacing w:before="0" w:after="0"/>
              <w:contextualSpacing/>
              <w:rPr>
                <w:b/>
              </w:rPr>
            </w:pPr>
            <w:r w:rsidRPr="00D7042F">
              <w:rPr>
                <w:rFonts w:eastAsia="Times New Roman"/>
                <w:lang w:eastAsia="en-AU"/>
              </w:rPr>
              <w:t>74</w:t>
            </w:r>
          </w:p>
        </w:tc>
      </w:tr>
      <w:tr w:rsidR="007A132A" w:rsidRPr="00D7042F" w14:paraId="22AB4F9C" w14:textId="77777777" w:rsidTr="000E335D">
        <w:tc>
          <w:tcPr>
            <w:tcW w:w="1576" w:type="dxa"/>
          </w:tcPr>
          <w:p w14:paraId="2708F328" w14:textId="5D371E1F" w:rsidR="007A132A" w:rsidRPr="00D7042F" w:rsidRDefault="007A132A" w:rsidP="007A132A">
            <w:pPr>
              <w:spacing w:before="0" w:after="0"/>
              <w:contextualSpacing/>
              <w:rPr>
                <w:b/>
              </w:rPr>
            </w:pPr>
            <w:r>
              <w:t>Observations</w:t>
            </w:r>
          </w:p>
        </w:tc>
        <w:tc>
          <w:tcPr>
            <w:tcW w:w="3999" w:type="dxa"/>
            <w:gridSpan w:val="3"/>
          </w:tcPr>
          <w:p w14:paraId="1D65133C" w14:textId="4F478A5F" w:rsidR="007A132A" w:rsidRPr="00D7042F" w:rsidRDefault="007A132A" w:rsidP="007A132A">
            <w:pPr>
              <w:spacing w:before="0" w:after="0"/>
              <w:contextualSpacing/>
              <w:rPr>
                <w:b/>
              </w:rPr>
            </w:pPr>
            <w:r>
              <w:t>253</w:t>
            </w:r>
          </w:p>
        </w:tc>
        <w:tc>
          <w:tcPr>
            <w:tcW w:w="4344" w:type="dxa"/>
            <w:gridSpan w:val="3"/>
          </w:tcPr>
          <w:p w14:paraId="499FA622" w14:textId="04D0182B" w:rsidR="007A132A" w:rsidRPr="00D7042F" w:rsidRDefault="007A132A" w:rsidP="007A132A">
            <w:pPr>
              <w:spacing w:before="0" w:after="0"/>
              <w:contextualSpacing/>
              <w:rPr>
                <w:b/>
              </w:rPr>
            </w:pPr>
            <w:r w:rsidRPr="00D7042F">
              <w:rPr>
                <w:rFonts w:eastAsia="Times New Roman"/>
                <w:lang w:eastAsia="en-AU"/>
              </w:rPr>
              <w:t>25</w:t>
            </w:r>
            <w:r w:rsidR="00580326">
              <w:rPr>
                <w:rFonts w:eastAsia="Times New Roman"/>
                <w:lang w:eastAsia="en-AU"/>
              </w:rPr>
              <w:t>5</w:t>
            </w:r>
          </w:p>
        </w:tc>
        <w:tc>
          <w:tcPr>
            <w:tcW w:w="3635" w:type="dxa"/>
            <w:gridSpan w:val="3"/>
          </w:tcPr>
          <w:p w14:paraId="0CB54F2E" w14:textId="77777777" w:rsidR="007A132A" w:rsidRPr="00D7042F" w:rsidRDefault="007A132A" w:rsidP="007A132A">
            <w:pPr>
              <w:spacing w:before="0" w:after="0"/>
              <w:contextualSpacing/>
              <w:rPr>
                <w:b/>
              </w:rPr>
            </w:pPr>
            <w:r w:rsidRPr="00D7042F">
              <w:rPr>
                <w:rFonts w:eastAsia="Times New Roman"/>
                <w:lang w:eastAsia="en-AU"/>
              </w:rPr>
              <w:t>263</w:t>
            </w:r>
          </w:p>
        </w:tc>
      </w:tr>
      <w:tr w:rsidR="007A132A" w:rsidRPr="00D7042F" w14:paraId="3B5C1BCB" w14:textId="77777777" w:rsidTr="000E335D">
        <w:tc>
          <w:tcPr>
            <w:tcW w:w="1576" w:type="dxa"/>
          </w:tcPr>
          <w:p w14:paraId="2119DA7B" w14:textId="00E093C0" w:rsidR="007A132A" w:rsidRPr="00D7042F" w:rsidRDefault="007A132A" w:rsidP="007A132A">
            <w:pPr>
              <w:spacing w:before="0" w:after="0"/>
              <w:contextualSpacing/>
              <w:rPr>
                <w:b/>
              </w:rPr>
            </w:pPr>
            <w:r>
              <w:t>Marginal R</w:t>
            </w:r>
            <w:r>
              <w:rPr>
                <w:vertAlign w:val="superscript"/>
              </w:rPr>
              <w:t>2</w:t>
            </w:r>
            <w:r>
              <w:t> / Conditional R</w:t>
            </w:r>
            <w:r>
              <w:rPr>
                <w:vertAlign w:val="superscript"/>
              </w:rPr>
              <w:t>2</w:t>
            </w:r>
          </w:p>
        </w:tc>
        <w:tc>
          <w:tcPr>
            <w:tcW w:w="3999" w:type="dxa"/>
            <w:gridSpan w:val="3"/>
          </w:tcPr>
          <w:p w14:paraId="77DF6D1B" w14:textId="4833C28F" w:rsidR="007A132A" w:rsidRPr="00D7042F" w:rsidRDefault="007A132A" w:rsidP="007A132A">
            <w:pPr>
              <w:spacing w:before="0" w:after="0"/>
              <w:contextualSpacing/>
              <w:rPr>
                <w:b/>
              </w:rPr>
            </w:pPr>
            <w:r>
              <w:t>0.260 / 0.533</w:t>
            </w:r>
          </w:p>
        </w:tc>
        <w:tc>
          <w:tcPr>
            <w:tcW w:w="4344" w:type="dxa"/>
            <w:gridSpan w:val="3"/>
          </w:tcPr>
          <w:p w14:paraId="5169AF80" w14:textId="77266112" w:rsidR="007A132A" w:rsidRPr="00D7042F" w:rsidRDefault="00580326" w:rsidP="007A132A">
            <w:pPr>
              <w:spacing w:before="0" w:after="0"/>
              <w:contextualSpacing/>
              <w:rPr>
                <w:b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0.125 / 0.573</w:t>
            </w:r>
          </w:p>
        </w:tc>
        <w:tc>
          <w:tcPr>
            <w:tcW w:w="3635" w:type="dxa"/>
            <w:gridSpan w:val="3"/>
          </w:tcPr>
          <w:p w14:paraId="5E7EA3BB" w14:textId="45F4C4A4" w:rsidR="007A132A" w:rsidRPr="00D7042F" w:rsidRDefault="007A132A" w:rsidP="007A132A">
            <w:pPr>
              <w:spacing w:before="0" w:after="0"/>
              <w:contextualSpacing/>
              <w:rPr>
                <w:b/>
              </w:rPr>
            </w:pPr>
            <w:r w:rsidRPr="00D7042F">
              <w:rPr>
                <w:rFonts w:eastAsia="Times New Roman"/>
                <w:lang w:eastAsia="en-AU"/>
              </w:rPr>
              <w:t>0.3</w:t>
            </w:r>
            <w:r w:rsidR="00580326">
              <w:rPr>
                <w:rFonts w:eastAsia="Times New Roman"/>
                <w:lang w:eastAsia="en-AU"/>
              </w:rPr>
              <w:t>4</w:t>
            </w:r>
            <w:r w:rsidRPr="00D7042F">
              <w:rPr>
                <w:rFonts w:eastAsia="Times New Roman"/>
                <w:lang w:eastAsia="en-AU"/>
              </w:rPr>
              <w:t>3 / 0.</w:t>
            </w:r>
            <w:r w:rsidR="00580326">
              <w:rPr>
                <w:rFonts w:eastAsia="Times New Roman"/>
                <w:lang w:eastAsia="en-AU"/>
              </w:rPr>
              <w:t>674</w:t>
            </w:r>
          </w:p>
        </w:tc>
      </w:tr>
    </w:tbl>
    <w:p w14:paraId="57A312F0" w14:textId="589B7AB9" w:rsidR="00176FE0" w:rsidRDefault="007A132A" w:rsidP="00176FE0">
      <w:pPr>
        <w:rPr>
          <w:lang w:val="en-AU"/>
        </w:rPr>
      </w:pPr>
      <w:r>
        <w:rPr>
          <w:lang w:val="en-AU"/>
        </w:rPr>
        <w:t xml:space="preserve">*: Reference is no history of hypertension; </w:t>
      </w:r>
      <w:r w:rsidRPr="00B813D5">
        <w:rPr>
          <w:rFonts w:cs="Calibri"/>
          <w:bCs/>
        </w:rPr>
        <w:t>¥</w:t>
      </w:r>
      <w:r>
        <w:rPr>
          <w:rFonts w:cs="Calibri"/>
          <w:bCs/>
        </w:rPr>
        <w:t xml:space="preserve">: Reference is </w:t>
      </w:r>
      <w:proofErr w:type="spellStart"/>
      <w:r>
        <w:rPr>
          <w:rFonts w:cs="Calibri"/>
          <w:bCs/>
        </w:rPr>
        <w:t>i</w:t>
      </w:r>
      <w:r>
        <w:rPr>
          <w:lang w:val="en-AU"/>
        </w:rPr>
        <w:t>schemic</w:t>
      </w:r>
      <w:proofErr w:type="spellEnd"/>
      <w:r>
        <w:rPr>
          <w:lang w:val="en-AU"/>
        </w:rPr>
        <w:t xml:space="preserve"> stroke</w:t>
      </w:r>
      <w:r w:rsidR="00037747">
        <w:rPr>
          <w:lang w:val="en-AU"/>
        </w:rPr>
        <w:t xml:space="preserve">. </w:t>
      </w:r>
      <w:r w:rsidR="00037747" w:rsidRPr="00037747">
        <w:rPr>
          <w:lang w:val="en-AU"/>
        </w:rPr>
        <w:t>Bold values indicate statistical significance at p &lt;0.05.</w:t>
      </w:r>
    </w:p>
    <w:p w14:paraId="261A5303" w14:textId="77777777" w:rsidR="00176FE0" w:rsidRDefault="00176FE0" w:rsidP="00176FE0">
      <w:pPr>
        <w:spacing w:before="0" w:after="200" w:line="276" w:lineRule="auto"/>
        <w:rPr>
          <w:lang w:val="en-AU"/>
        </w:rPr>
      </w:pPr>
      <w:r>
        <w:rPr>
          <w:lang w:val="en-AU"/>
        </w:rPr>
        <w:br w:type="page"/>
      </w:r>
    </w:p>
    <w:p w14:paraId="308950CD" w14:textId="77777777" w:rsidR="00176FE0" w:rsidRDefault="00176FE0" w:rsidP="00176FE0">
      <w:pPr>
        <w:rPr>
          <w:b/>
          <w:bCs/>
          <w:lang w:val="en-AU"/>
        </w:rPr>
        <w:sectPr w:rsidR="00176FE0" w:rsidSect="00176FE0">
          <w:headerReference w:type="even" r:id="rId8"/>
          <w:footerReference w:type="even" r:id="rId9"/>
          <w:footerReference w:type="default" r:id="rId10"/>
          <w:headerReference w:type="first" r:id="rId11"/>
          <w:pgSz w:w="15840" w:h="12240" w:orient="landscape"/>
          <w:pgMar w:top="1282" w:right="1138" w:bottom="1181" w:left="1138" w:header="720" w:footer="720" w:gutter="0"/>
          <w:cols w:space="720"/>
          <w:titlePg/>
          <w:docGrid w:linePitch="360"/>
        </w:sectPr>
      </w:pPr>
    </w:p>
    <w:p w14:paraId="5AEF5B0D" w14:textId="77777777" w:rsidR="00176FE0" w:rsidRPr="00F836B5" w:rsidRDefault="00176FE0" w:rsidP="00176FE0">
      <w:pPr>
        <w:rPr>
          <w:b/>
          <w:bCs/>
          <w:lang w:val="en-AU"/>
        </w:rPr>
      </w:pPr>
      <w:r w:rsidRPr="00F836B5">
        <w:rPr>
          <w:b/>
          <w:bCs/>
          <w:lang w:val="en-AU"/>
        </w:rPr>
        <w:lastRenderedPageBreak/>
        <w:t xml:space="preserve">Supplemental Table 3 – Predictors of </w:t>
      </w:r>
      <w:r>
        <w:rPr>
          <w:b/>
          <w:bCs/>
          <w:lang w:val="en-AU"/>
        </w:rPr>
        <w:t>p</w:t>
      </w:r>
      <w:r w:rsidRPr="00F836B5">
        <w:rPr>
          <w:b/>
          <w:bCs/>
          <w:lang w:val="en-AU"/>
        </w:rPr>
        <w:t xml:space="preserve">articipants who missed 6-month and 12-month </w:t>
      </w:r>
      <w:proofErr w:type="gramStart"/>
      <w:r w:rsidRPr="00F836B5">
        <w:rPr>
          <w:b/>
          <w:bCs/>
          <w:lang w:val="en-AU"/>
        </w:rPr>
        <w:t>assessments</w:t>
      </w:r>
      <w:proofErr w:type="gramEnd"/>
    </w:p>
    <w:tbl>
      <w:tblPr>
        <w:tblStyle w:val="TableGrid4"/>
        <w:tblW w:w="0" w:type="auto"/>
        <w:tblLook w:val="0000" w:firstRow="0" w:lastRow="0" w:firstColumn="0" w:lastColumn="0" w:noHBand="0" w:noVBand="0"/>
      </w:tblPr>
      <w:tblGrid>
        <w:gridCol w:w="1510"/>
        <w:gridCol w:w="1351"/>
        <w:gridCol w:w="1782"/>
        <w:gridCol w:w="1356"/>
      </w:tblGrid>
      <w:tr w:rsidR="00176FE0" w14:paraId="1D9E6BEF" w14:textId="77777777" w:rsidTr="001D07D7">
        <w:tc>
          <w:tcPr>
            <w:tcW w:w="1510" w:type="dxa"/>
            <w:vMerge w:val="restart"/>
          </w:tcPr>
          <w:p w14:paraId="2B84EE12" w14:textId="77777777" w:rsidR="00176FE0" w:rsidRDefault="00176FE0" w:rsidP="001D07D7">
            <w:pPr>
              <w:spacing w:before="0" w:after="0"/>
              <w:contextualSpacing/>
              <w:rPr>
                <w:b/>
              </w:rPr>
            </w:pPr>
            <w:r w:rsidRPr="00D2096C">
              <w:t>Predictors</w:t>
            </w:r>
          </w:p>
        </w:tc>
        <w:tc>
          <w:tcPr>
            <w:tcW w:w="4489" w:type="dxa"/>
            <w:gridSpan w:val="3"/>
          </w:tcPr>
          <w:p w14:paraId="25ADF50B" w14:textId="77777777" w:rsidR="00176FE0" w:rsidRDefault="00176FE0" w:rsidP="001D07D7">
            <w:pPr>
              <w:spacing w:before="0" w:after="0"/>
              <w:contextualSpacing/>
              <w:rPr>
                <w:b/>
              </w:rPr>
            </w:pPr>
            <w:r>
              <w:rPr>
                <w:b/>
              </w:rPr>
              <w:t xml:space="preserve">Participants who missed 6-month and 12-month assessments </w:t>
            </w:r>
          </w:p>
        </w:tc>
      </w:tr>
      <w:tr w:rsidR="00176FE0" w14:paraId="2FB7783A" w14:textId="77777777" w:rsidTr="001D07D7">
        <w:tc>
          <w:tcPr>
            <w:tcW w:w="1510" w:type="dxa"/>
            <w:vMerge/>
          </w:tcPr>
          <w:p w14:paraId="619F677F" w14:textId="77777777" w:rsidR="00176FE0" w:rsidRDefault="00176FE0" w:rsidP="001D07D7">
            <w:pPr>
              <w:spacing w:before="0" w:after="0"/>
              <w:contextualSpacing/>
              <w:rPr>
                <w:b/>
              </w:rPr>
            </w:pPr>
          </w:p>
        </w:tc>
        <w:tc>
          <w:tcPr>
            <w:tcW w:w="1351" w:type="dxa"/>
          </w:tcPr>
          <w:p w14:paraId="3B524B67" w14:textId="77777777" w:rsidR="00176FE0" w:rsidRDefault="00176FE0" w:rsidP="001D07D7">
            <w:pPr>
              <w:spacing w:before="0" w:after="0"/>
              <w:contextualSpacing/>
              <w:rPr>
                <w:b/>
              </w:rPr>
            </w:pPr>
            <w:r>
              <w:rPr>
                <w:b/>
              </w:rPr>
              <w:t>Odds Ratios</w:t>
            </w:r>
          </w:p>
        </w:tc>
        <w:tc>
          <w:tcPr>
            <w:tcW w:w="1782" w:type="dxa"/>
          </w:tcPr>
          <w:p w14:paraId="5F238735" w14:textId="77777777" w:rsidR="00176FE0" w:rsidRDefault="00176FE0" w:rsidP="001D07D7">
            <w:pPr>
              <w:spacing w:before="0" w:after="0"/>
              <w:contextualSpacing/>
              <w:rPr>
                <w:b/>
              </w:rPr>
            </w:pPr>
            <w:r w:rsidRPr="00D2096C">
              <w:t>95% CI</w:t>
            </w:r>
          </w:p>
        </w:tc>
        <w:tc>
          <w:tcPr>
            <w:tcW w:w="1356" w:type="dxa"/>
          </w:tcPr>
          <w:p w14:paraId="7106DF75" w14:textId="77777777" w:rsidR="00176FE0" w:rsidRDefault="00176FE0" w:rsidP="001D07D7">
            <w:pPr>
              <w:spacing w:before="0" w:after="0"/>
              <w:contextualSpacing/>
              <w:rPr>
                <w:b/>
              </w:rPr>
            </w:pPr>
            <w:r w:rsidRPr="00D2096C">
              <w:t>p</w:t>
            </w:r>
          </w:p>
        </w:tc>
      </w:tr>
      <w:tr w:rsidR="00176FE0" w:rsidRPr="00B813D5" w14:paraId="3DAC1B44" w14:textId="77777777" w:rsidTr="001D07D7">
        <w:tc>
          <w:tcPr>
            <w:tcW w:w="1510" w:type="dxa"/>
          </w:tcPr>
          <w:p w14:paraId="2C8C1220" w14:textId="77777777" w:rsidR="00176FE0" w:rsidRPr="00B813D5" w:rsidRDefault="00176FE0" w:rsidP="001D07D7">
            <w:pPr>
              <w:spacing w:before="0" w:after="0"/>
              <w:contextualSpacing/>
            </w:pPr>
            <w:r w:rsidRPr="00D2096C">
              <w:t>(Intercept)</w:t>
            </w:r>
          </w:p>
        </w:tc>
        <w:tc>
          <w:tcPr>
            <w:tcW w:w="1351" w:type="dxa"/>
          </w:tcPr>
          <w:p w14:paraId="14A0334A" w14:textId="77777777" w:rsidR="00176FE0" w:rsidRPr="00B813D5" w:rsidRDefault="00176FE0" w:rsidP="001D07D7">
            <w:pPr>
              <w:spacing w:before="0" w:after="0"/>
              <w:contextualSpacing/>
            </w:pPr>
            <w:r w:rsidRPr="007E5A74">
              <w:rPr>
                <w:rFonts w:eastAsia="Times New Roman"/>
                <w:lang w:val="en-AU" w:eastAsia="en-AU"/>
              </w:rPr>
              <w:t>0.00</w:t>
            </w:r>
          </w:p>
        </w:tc>
        <w:tc>
          <w:tcPr>
            <w:tcW w:w="1782" w:type="dxa"/>
          </w:tcPr>
          <w:p w14:paraId="60DC534E" w14:textId="77777777" w:rsidR="00176FE0" w:rsidRPr="00B813D5" w:rsidRDefault="00176FE0" w:rsidP="001D07D7">
            <w:pPr>
              <w:spacing w:before="0" w:after="0"/>
              <w:contextualSpacing/>
            </w:pPr>
            <w:r w:rsidRPr="007E5A74">
              <w:rPr>
                <w:rFonts w:eastAsia="Times New Roman"/>
                <w:lang w:val="en-AU" w:eastAsia="en-AU"/>
              </w:rPr>
              <w:t>0.00 – 0.20</w:t>
            </w:r>
          </w:p>
        </w:tc>
        <w:tc>
          <w:tcPr>
            <w:tcW w:w="1356" w:type="dxa"/>
          </w:tcPr>
          <w:p w14:paraId="7F74C4BA" w14:textId="77777777" w:rsidR="00176FE0" w:rsidRPr="00B813D5" w:rsidRDefault="00176FE0" w:rsidP="001D07D7">
            <w:pPr>
              <w:spacing w:before="0" w:after="0"/>
              <w:contextualSpacing/>
            </w:pPr>
            <w:r w:rsidRPr="007E5A74">
              <w:rPr>
                <w:rFonts w:eastAsia="Times New Roman"/>
                <w:b/>
                <w:bCs/>
                <w:lang w:val="en-AU" w:eastAsia="en-AU"/>
              </w:rPr>
              <w:t>0.015</w:t>
            </w:r>
          </w:p>
        </w:tc>
      </w:tr>
      <w:tr w:rsidR="00176FE0" w:rsidRPr="00B813D5" w14:paraId="59598531" w14:textId="77777777" w:rsidTr="001D07D7">
        <w:tc>
          <w:tcPr>
            <w:tcW w:w="1510" w:type="dxa"/>
          </w:tcPr>
          <w:p w14:paraId="0E9ED7BF" w14:textId="77777777" w:rsidR="00176FE0" w:rsidRPr="00B813D5" w:rsidRDefault="00176FE0" w:rsidP="001D07D7">
            <w:pPr>
              <w:spacing w:before="0" w:after="0"/>
              <w:contextualSpacing/>
            </w:pPr>
            <w:r>
              <w:t>Age</w:t>
            </w:r>
          </w:p>
        </w:tc>
        <w:tc>
          <w:tcPr>
            <w:tcW w:w="1351" w:type="dxa"/>
          </w:tcPr>
          <w:p w14:paraId="7EC77E45" w14:textId="77777777" w:rsidR="00176FE0" w:rsidRPr="00B813D5" w:rsidRDefault="00176FE0" w:rsidP="001D07D7">
            <w:pPr>
              <w:spacing w:before="0" w:after="0"/>
              <w:contextualSpacing/>
            </w:pPr>
            <w:r w:rsidRPr="007E5A74">
              <w:rPr>
                <w:rFonts w:eastAsia="Times New Roman"/>
                <w:lang w:val="en-AU" w:eastAsia="en-AU"/>
              </w:rPr>
              <w:t>1.04</w:t>
            </w:r>
          </w:p>
        </w:tc>
        <w:tc>
          <w:tcPr>
            <w:tcW w:w="1782" w:type="dxa"/>
          </w:tcPr>
          <w:p w14:paraId="46440CA2" w14:textId="77777777" w:rsidR="00176FE0" w:rsidRPr="00B813D5" w:rsidRDefault="00176FE0" w:rsidP="001D07D7">
            <w:pPr>
              <w:spacing w:before="0" w:after="0"/>
              <w:contextualSpacing/>
            </w:pPr>
            <w:r w:rsidRPr="007E5A74">
              <w:rPr>
                <w:rFonts w:eastAsia="Times New Roman"/>
                <w:lang w:val="en-AU" w:eastAsia="en-AU"/>
              </w:rPr>
              <w:t>0.98 – 1.11</w:t>
            </w:r>
          </w:p>
        </w:tc>
        <w:tc>
          <w:tcPr>
            <w:tcW w:w="1356" w:type="dxa"/>
          </w:tcPr>
          <w:p w14:paraId="3BA58E86" w14:textId="77777777" w:rsidR="00176FE0" w:rsidRPr="00B813D5" w:rsidRDefault="00176FE0" w:rsidP="001D07D7">
            <w:pPr>
              <w:spacing w:before="0" w:after="0"/>
              <w:contextualSpacing/>
            </w:pPr>
            <w:r w:rsidRPr="007E5A74">
              <w:rPr>
                <w:rFonts w:eastAsia="Times New Roman"/>
                <w:lang w:val="en-AU" w:eastAsia="en-AU"/>
              </w:rPr>
              <w:t>0.176</w:t>
            </w:r>
          </w:p>
        </w:tc>
      </w:tr>
      <w:tr w:rsidR="00176FE0" w:rsidRPr="00B813D5" w14:paraId="358E8A2A" w14:textId="77777777" w:rsidTr="001D07D7">
        <w:tc>
          <w:tcPr>
            <w:tcW w:w="1510" w:type="dxa"/>
          </w:tcPr>
          <w:p w14:paraId="5A5792D3" w14:textId="77777777" w:rsidR="00176FE0" w:rsidRPr="00B813D5" w:rsidRDefault="00176FE0" w:rsidP="001D07D7">
            <w:pPr>
              <w:spacing w:before="0" w:after="0"/>
              <w:contextualSpacing/>
            </w:pPr>
            <w:r>
              <w:t>Female Sex</w:t>
            </w:r>
          </w:p>
        </w:tc>
        <w:tc>
          <w:tcPr>
            <w:tcW w:w="1351" w:type="dxa"/>
          </w:tcPr>
          <w:p w14:paraId="6CA88350" w14:textId="77777777" w:rsidR="00176FE0" w:rsidRPr="00B813D5" w:rsidRDefault="00176FE0" w:rsidP="001D07D7">
            <w:pPr>
              <w:spacing w:before="0" w:after="0"/>
              <w:contextualSpacing/>
            </w:pPr>
            <w:r w:rsidRPr="007E5A74">
              <w:rPr>
                <w:rFonts w:eastAsia="Times New Roman"/>
                <w:lang w:val="en-AU" w:eastAsia="en-AU"/>
              </w:rPr>
              <w:t>2.00</w:t>
            </w:r>
          </w:p>
        </w:tc>
        <w:tc>
          <w:tcPr>
            <w:tcW w:w="1782" w:type="dxa"/>
          </w:tcPr>
          <w:p w14:paraId="17C28C07" w14:textId="77777777" w:rsidR="00176FE0" w:rsidRPr="00B813D5" w:rsidRDefault="00176FE0" w:rsidP="001D07D7">
            <w:pPr>
              <w:spacing w:before="0" w:after="0"/>
              <w:contextualSpacing/>
            </w:pPr>
            <w:r w:rsidRPr="007E5A74">
              <w:rPr>
                <w:rFonts w:eastAsia="Times New Roman"/>
                <w:lang w:val="en-AU" w:eastAsia="en-AU"/>
              </w:rPr>
              <w:t>0.56 – 7.31</w:t>
            </w:r>
          </w:p>
        </w:tc>
        <w:tc>
          <w:tcPr>
            <w:tcW w:w="1356" w:type="dxa"/>
          </w:tcPr>
          <w:p w14:paraId="1D8294AE" w14:textId="77777777" w:rsidR="00176FE0" w:rsidRPr="00B813D5" w:rsidRDefault="00176FE0" w:rsidP="001D07D7">
            <w:pPr>
              <w:spacing w:before="0" w:after="0"/>
              <w:contextualSpacing/>
            </w:pPr>
            <w:r w:rsidRPr="007E5A74">
              <w:rPr>
                <w:rFonts w:eastAsia="Times New Roman"/>
                <w:lang w:val="en-AU" w:eastAsia="en-AU"/>
              </w:rPr>
              <w:t>0.282</w:t>
            </w:r>
          </w:p>
        </w:tc>
      </w:tr>
      <w:tr w:rsidR="00176FE0" w:rsidRPr="00B813D5" w14:paraId="18FFC59A" w14:textId="77777777" w:rsidTr="001D07D7">
        <w:tc>
          <w:tcPr>
            <w:tcW w:w="1510" w:type="dxa"/>
          </w:tcPr>
          <w:p w14:paraId="38573484" w14:textId="77777777" w:rsidR="00176FE0" w:rsidRPr="00B813D5" w:rsidRDefault="00176FE0" w:rsidP="001D07D7">
            <w:pPr>
              <w:spacing w:before="0" w:after="0"/>
              <w:contextualSpacing/>
            </w:pPr>
            <w:r>
              <w:t>Baseline SBP</w:t>
            </w:r>
          </w:p>
        </w:tc>
        <w:tc>
          <w:tcPr>
            <w:tcW w:w="1351" w:type="dxa"/>
          </w:tcPr>
          <w:p w14:paraId="04867BD5" w14:textId="77777777" w:rsidR="00176FE0" w:rsidRPr="00B813D5" w:rsidRDefault="00176FE0" w:rsidP="001D07D7">
            <w:pPr>
              <w:spacing w:before="0" w:after="0"/>
              <w:contextualSpacing/>
            </w:pPr>
            <w:r w:rsidRPr="007E5A74">
              <w:rPr>
                <w:rFonts w:eastAsia="Times New Roman"/>
                <w:lang w:val="en-AU" w:eastAsia="en-AU"/>
              </w:rPr>
              <w:t>1.04</w:t>
            </w:r>
          </w:p>
        </w:tc>
        <w:tc>
          <w:tcPr>
            <w:tcW w:w="1782" w:type="dxa"/>
          </w:tcPr>
          <w:p w14:paraId="36493F9F" w14:textId="77777777" w:rsidR="00176FE0" w:rsidRPr="00B813D5" w:rsidRDefault="00176FE0" w:rsidP="001D07D7">
            <w:pPr>
              <w:spacing w:before="0" w:after="0"/>
              <w:contextualSpacing/>
            </w:pPr>
            <w:r w:rsidRPr="007E5A74">
              <w:rPr>
                <w:rFonts w:eastAsia="Times New Roman"/>
                <w:lang w:val="en-AU" w:eastAsia="en-AU"/>
              </w:rPr>
              <w:t>1.00 – 1.09</w:t>
            </w:r>
          </w:p>
        </w:tc>
        <w:tc>
          <w:tcPr>
            <w:tcW w:w="1356" w:type="dxa"/>
          </w:tcPr>
          <w:p w14:paraId="331A74CE" w14:textId="77777777" w:rsidR="00176FE0" w:rsidRPr="00B813D5" w:rsidRDefault="00176FE0" w:rsidP="001D07D7">
            <w:pPr>
              <w:spacing w:before="0" w:after="0"/>
              <w:contextualSpacing/>
            </w:pPr>
            <w:r w:rsidRPr="007E5A74">
              <w:rPr>
                <w:rFonts w:eastAsia="Times New Roman"/>
                <w:lang w:val="en-AU" w:eastAsia="en-AU"/>
              </w:rPr>
              <w:t>0.059</w:t>
            </w:r>
          </w:p>
        </w:tc>
      </w:tr>
      <w:tr w:rsidR="00176FE0" w14:paraId="3E5A3487" w14:textId="77777777" w:rsidTr="001D07D7">
        <w:tc>
          <w:tcPr>
            <w:tcW w:w="1510" w:type="dxa"/>
          </w:tcPr>
          <w:p w14:paraId="274C525B" w14:textId="77777777" w:rsidR="00176FE0" w:rsidRDefault="00176FE0" w:rsidP="001D07D7">
            <w:pPr>
              <w:spacing w:before="0" w:after="0"/>
              <w:contextualSpacing/>
              <w:rPr>
                <w:b/>
              </w:rPr>
            </w:pPr>
            <w:r>
              <w:t>Observations</w:t>
            </w:r>
          </w:p>
        </w:tc>
        <w:tc>
          <w:tcPr>
            <w:tcW w:w="4489" w:type="dxa"/>
            <w:gridSpan w:val="3"/>
          </w:tcPr>
          <w:p w14:paraId="36002362" w14:textId="77777777" w:rsidR="00176FE0" w:rsidRDefault="00176FE0" w:rsidP="001D07D7">
            <w:pPr>
              <w:spacing w:before="0" w:after="0"/>
              <w:contextualSpacing/>
              <w:rPr>
                <w:b/>
              </w:rPr>
            </w:pPr>
            <w:r>
              <w:t>72</w:t>
            </w:r>
          </w:p>
        </w:tc>
      </w:tr>
      <w:tr w:rsidR="00176FE0" w14:paraId="6D05F591" w14:textId="77777777" w:rsidTr="001D07D7">
        <w:tc>
          <w:tcPr>
            <w:tcW w:w="1510" w:type="dxa"/>
          </w:tcPr>
          <w:p w14:paraId="259DF54A" w14:textId="77777777" w:rsidR="00176FE0" w:rsidRDefault="00176FE0" w:rsidP="001D07D7">
            <w:pPr>
              <w:spacing w:before="0" w:after="0"/>
              <w:contextualSpacing/>
              <w:rPr>
                <w:b/>
              </w:rPr>
            </w:pPr>
            <w:r>
              <w:t>R</w:t>
            </w:r>
            <w:r>
              <w:rPr>
                <w:vertAlign w:val="superscript"/>
              </w:rPr>
              <w:t>2</w:t>
            </w:r>
            <w:r>
              <w:t> Tjur</w:t>
            </w:r>
          </w:p>
        </w:tc>
        <w:tc>
          <w:tcPr>
            <w:tcW w:w="4489" w:type="dxa"/>
            <w:gridSpan w:val="3"/>
          </w:tcPr>
          <w:p w14:paraId="37D7CDFB" w14:textId="77777777" w:rsidR="00176FE0" w:rsidRDefault="00176FE0" w:rsidP="001D07D7">
            <w:pPr>
              <w:spacing w:before="0" w:after="0"/>
              <w:contextualSpacing/>
              <w:rPr>
                <w:b/>
              </w:rPr>
            </w:pPr>
            <w:r>
              <w:t>0.191</w:t>
            </w:r>
          </w:p>
        </w:tc>
      </w:tr>
    </w:tbl>
    <w:p w14:paraId="18AA9E49" w14:textId="6CB0CCA9" w:rsidR="00176FE0" w:rsidRPr="0088513A" w:rsidRDefault="007A132A" w:rsidP="00176FE0">
      <w:pPr>
        <w:rPr>
          <w:rFonts w:cs="Times New Roman"/>
          <w:szCs w:val="24"/>
        </w:rPr>
      </w:pPr>
      <w:r>
        <w:rPr>
          <w:rFonts w:cs="Times New Roman"/>
          <w:szCs w:val="24"/>
        </w:rPr>
        <w:t>SBP: systolic blood pressure</w:t>
      </w:r>
      <w:r w:rsidR="00037747">
        <w:rPr>
          <w:rFonts w:cs="Times New Roman"/>
          <w:szCs w:val="24"/>
        </w:rPr>
        <w:t xml:space="preserve">. </w:t>
      </w:r>
      <w:r w:rsidR="00037747" w:rsidRPr="00037747">
        <w:rPr>
          <w:rFonts w:cs="Times New Roman"/>
          <w:szCs w:val="24"/>
        </w:rPr>
        <w:t>Bold values indicate statistical significance at p &lt;0.05.</w:t>
      </w:r>
    </w:p>
    <w:p w14:paraId="6754D378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176FE0">
      <w:pgSz w:w="12240" w:h="15840"/>
      <w:pgMar w:top="1140" w:right="1179" w:bottom="1140" w:left="128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073DB" w14:textId="77777777" w:rsidR="002A67A5" w:rsidRDefault="002A67A5" w:rsidP="00117666">
      <w:pPr>
        <w:spacing w:after="0"/>
      </w:pPr>
      <w:r>
        <w:separator/>
      </w:r>
    </w:p>
  </w:endnote>
  <w:endnote w:type="continuationSeparator" w:id="0">
    <w:p w14:paraId="2739AB11" w14:textId="77777777" w:rsidR="002A67A5" w:rsidRDefault="002A67A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F929C3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F929C3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F929C3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F929C3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7B549" w14:textId="77777777" w:rsidR="002A67A5" w:rsidRDefault="002A67A5" w:rsidP="00117666">
      <w:pPr>
        <w:spacing w:after="0"/>
      </w:pPr>
      <w:r>
        <w:separator/>
      </w:r>
    </w:p>
  </w:footnote>
  <w:footnote w:type="continuationSeparator" w:id="0">
    <w:p w14:paraId="6BD62397" w14:textId="77777777" w:rsidR="002A67A5" w:rsidRDefault="002A67A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F929C3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F929C3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37381453">
    <w:abstractNumId w:val="0"/>
  </w:num>
  <w:num w:numId="2" w16cid:durableId="1069234349">
    <w:abstractNumId w:val="4"/>
  </w:num>
  <w:num w:numId="3" w16cid:durableId="1980643808">
    <w:abstractNumId w:val="1"/>
  </w:num>
  <w:num w:numId="4" w16cid:durableId="1860119279">
    <w:abstractNumId w:val="5"/>
  </w:num>
  <w:num w:numId="5" w16cid:durableId="16366416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9995046">
    <w:abstractNumId w:val="3"/>
  </w:num>
  <w:num w:numId="7" w16cid:durableId="1284993671">
    <w:abstractNumId w:val="6"/>
  </w:num>
  <w:num w:numId="8" w16cid:durableId="1689411116">
    <w:abstractNumId w:val="6"/>
  </w:num>
  <w:num w:numId="9" w16cid:durableId="654186944">
    <w:abstractNumId w:val="6"/>
  </w:num>
  <w:num w:numId="10" w16cid:durableId="1640571454">
    <w:abstractNumId w:val="6"/>
  </w:num>
  <w:num w:numId="11" w16cid:durableId="1905287405">
    <w:abstractNumId w:val="6"/>
  </w:num>
  <w:num w:numId="12" w16cid:durableId="2108309462">
    <w:abstractNumId w:val="6"/>
  </w:num>
  <w:num w:numId="13" w16cid:durableId="919944283">
    <w:abstractNumId w:val="3"/>
  </w:num>
  <w:num w:numId="14" w16cid:durableId="1434857981">
    <w:abstractNumId w:val="2"/>
  </w:num>
  <w:num w:numId="15" w16cid:durableId="200898187">
    <w:abstractNumId w:val="2"/>
  </w:num>
  <w:num w:numId="16" w16cid:durableId="2055228441">
    <w:abstractNumId w:val="2"/>
  </w:num>
  <w:num w:numId="17" w16cid:durableId="1560820176">
    <w:abstractNumId w:val="2"/>
  </w:num>
  <w:num w:numId="18" w16cid:durableId="441341390">
    <w:abstractNumId w:val="2"/>
  </w:num>
  <w:num w:numId="19" w16cid:durableId="539130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37747"/>
    <w:rsid w:val="00052A14"/>
    <w:rsid w:val="00077D53"/>
    <w:rsid w:val="000E335D"/>
    <w:rsid w:val="00105FD9"/>
    <w:rsid w:val="00117666"/>
    <w:rsid w:val="001549D3"/>
    <w:rsid w:val="00160065"/>
    <w:rsid w:val="00176FE0"/>
    <w:rsid w:val="00177D84"/>
    <w:rsid w:val="00267D18"/>
    <w:rsid w:val="00274347"/>
    <w:rsid w:val="002868E2"/>
    <w:rsid w:val="002869C3"/>
    <w:rsid w:val="002936E4"/>
    <w:rsid w:val="002A67A5"/>
    <w:rsid w:val="002B4A57"/>
    <w:rsid w:val="002C74CA"/>
    <w:rsid w:val="002E3631"/>
    <w:rsid w:val="003123F4"/>
    <w:rsid w:val="003544FB"/>
    <w:rsid w:val="003D2F2D"/>
    <w:rsid w:val="003F2A2B"/>
    <w:rsid w:val="00401590"/>
    <w:rsid w:val="00447801"/>
    <w:rsid w:val="00452E9C"/>
    <w:rsid w:val="004735C8"/>
    <w:rsid w:val="004947A6"/>
    <w:rsid w:val="004961FF"/>
    <w:rsid w:val="00517A89"/>
    <w:rsid w:val="005250F2"/>
    <w:rsid w:val="00580326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62EDB"/>
    <w:rsid w:val="00790BB3"/>
    <w:rsid w:val="007A132A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9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customStyle="1" w:styleId="TableGrid4">
    <w:name w:val="Table Grid4"/>
    <w:basedOn w:val="TableNormal"/>
    <w:next w:val="TableGrid"/>
    <w:uiPriority w:val="39"/>
    <w:rsid w:val="00176FE0"/>
    <w:pPr>
      <w:spacing w:after="0" w:line="240" w:lineRule="auto"/>
    </w:pPr>
    <w:rPr>
      <w:rFonts w:ascii="Calibri" w:eastAsia="Calibri" w:hAnsi="Calibri" w:cs="Times New Roman"/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25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Hung, Stanley</cp:lastModifiedBy>
  <cp:revision>4</cp:revision>
  <cp:lastPrinted>2013-10-03T12:51:00Z</cp:lastPrinted>
  <dcterms:created xsi:type="dcterms:W3CDTF">2023-06-22T22:44:00Z</dcterms:created>
  <dcterms:modified xsi:type="dcterms:W3CDTF">2023-09-06T21:50:00Z</dcterms:modified>
</cp:coreProperties>
</file>