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A43D" w14:textId="77777777" w:rsidR="007D2A65" w:rsidRDefault="007D2A65" w:rsidP="00301CE9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Table S3. </w:t>
      </w:r>
      <w:r w:rsidRPr="00773DC5">
        <w:rPr>
          <w:color w:val="000000" w:themeColor="text1"/>
        </w:rPr>
        <w:t>Grading of the certainty of the evidence</w:t>
      </w:r>
      <w:r>
        <w:rPr>
          <w:color w:val="000000" w:themeColor="text1"/>
        </w:rPr>
        <w:t>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316"/>
        <w:gridCol w:w="4217"/>
        <w:gridCol w:w="4101"/>
      </w:tblGrid>
      <w:tr w:rsidR="007D2A65" w:rsidRPr="00797BAC" w14:paraId="7AD2094D" w14:textId="77777777" w:rsidTr="005E318B">
        <w:tc>
          <w:tcPr>
            <w:tcW w:w="1316" w:type="dxa"/>
          </w:tcPr>
          <w:p w14:paraId="50766411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  <w:lang w:val="pl-PL"/>
              </w:rPr>
            </w:pPr>
            <w:r w:rsidRPr="00797BAC">
              <w:rPr>
                <w:sz w:val="20"/>
                <w:szCs w:val="20"/>
                <w:lang w:val="pl-PL"/>
              </w:rPr>
              <w:t>Domain</w:t>
            </w:r>
          </w:p>
        </w:tc>
        <w:tc>
          <w:tcPr>
            <w:tcW w:w="4217" w:type="dxa"/>
          </w:tcPr>
          <w:p w14:paraId="68E9CAF2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366D7A">
              <w:rPr>
                <w:sz w:val="20"/>
                <w:szCs w:val="20"/>
                <w:lang w:val="pl-PL"/>
              </w:rPr>
              <w:t>pgrading</w:t>
            </w:r>
            <w:r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101" w:type="dxa"/>
          </w:tcPr>
          <w:p w14:paraId="6C1B9FE5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  <w:lang w:val="pl-PL"/>
              </w:rPr>
            </w:pPr>
            <w:r w:rsidRPr="00366D7A">
              <w:rPr>
                <w:sz w:val="20"/>
                <w:szCs w:val="20"/>
                <w:lang w:val="pl-PL"/>
              </w:rPr>
              <w:t>Evaluation</w:t>
            </w:r>
          </w:p>
        </w:tc>
      </w:tr>
      <w:tr w:rsidR="007D2A65" w:rsidRPr="00797BAC" w14:paraId="7337B325" w14:textId="77777777" w:rsidTr="005E318B">
        <w:tc>
          <w:tcPr>
            <w:tcW w:w="1316" w:type="dxa"/>
          </w:tcPr>
          <w:p w14:paraId="66BBCB94" w14:textId="77777777" w:rsidR="007D2A65" w:rsidRPr="00366D7A" w:rsidRDefault="007D2A65" w:rsidP="00301CE9">
            <w:pPr>
              <w:spacing w:line="360" w:lineRule="auto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Risk of bias across the studies</w:t>
            </w:r>
          </w:p>
        </w:tc>
        <w:tc>
          <w:tcPr>
            <w:tcW w:w="4217" w:type="dxa"/>
          </w:tcPr>
          <w:p w14:paraId="4D7DC94D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The quality of evidence will be downgraded in case of high risk of based on the Newcastle-Ottawa Scale.</w:t>
            </w:r>
          </w:p>
        </w:tc>
        <w:tc>
          <w:tcPr>
            <w:tcW w:w="4101" w:type="dxa"/>
          </w:tcPr>
          <w:p w14:paraId="6DA07552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 xml:space="preserve">Most information is from studies at low risk of bias = No serious limitations, do not downgrade; </w:t>
            </w:r>
          </w:p>
          <w:p w14:paraId="3FC1CFA3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09477C01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Most information is from studies at low or unclear risk of bias = No serious limitations, do not downgrade</w:t>
            </w:r>
          </w:p>
          <w:p w14:paraId="166CF966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DA87905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The proportion of information from studies at high risk of bias is sufficient to affect the interpretation of results = Serious limitations, downgrade one level or Very serious limitations, downgrade two levels</w:t>
            </w:r>
          </w:p>
        </w:tc>
      </w:tr>
      <w:tr w:rsidR="007D2A65" w:rsidRPr="00797BAC" w14:paraId="1EAE7DA0" w14:textId="77777777" w:rsidTr="005E318B">
        <w:tc>
          <w:tcPr>
            <w:tcW w:w="1316" w:type="dxa"/>
          </w:tcPr>
          <w:p w14:paraId="3AE075DF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</w:rPr>
            </w:pPr>
            <w:r w:rsidRPr="00797BAC">
              <w:rPr>
                <w:sz w:val="20"/>
                <w:szCs w:val="20"/>
              </w:rPr>
              <w:t xml:space="preserve">Inconsistency </w:t>
            </w:r>
          </w:p>
        </w:tc>
        <w:tc>
          <w:tcPr>
            <w:tcW w:w="4217" w:type="dxa"/>
          </w:tcPr>
          <w:p w14:paraId="5016C759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The quality of evidence will be downgraded in case of high heterogeneity (</w:t>
            </w:r>
            <w:r w:rsidRPr="000F77E0">
              <w:rPr>
                <w:i/>
                <w:iCs/>
                <w:color w:val="000000" w:themeColor="text1"/>
              </w:rPr>
              <w:t>I</w:t>
            </w:r>
            <w:r w:rsidRPr="001C52EC">
              <w:rPr>
                <w:color w:val="000000" w:themeColor="text1"/>
                <w:vertAlign w:val="superscript"/>
              </w:rPr>
              <w:t>2</w:t>
            </w:r>
            <w:r w:rsidRPr="00366D7A">
              <w:rPr>
                <w:sz w:val="20"/>
                <w:szCs w:val="20"/>
              </w:rPr>
              <w:t xml:space="preserve"> &gt; 50%) or inconsistency of results across studies.</w:t>
            </w:r>
          </w:p>
        </w:tc>
        <w:tc>
          <w:tcPr>
            <w:tcW w:w="4101" w:type="dxa"/>
          </w:tcPr>
          <w:p w14:paraId="14EA8B49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 xml:space="preserve">Most information is from studies at low risk of bias = No serious limitations, do not downgrade; </w:t>
            </w:r>
          </w:p>
          <w:p w14:paraId="04EE1CDB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DD5ACEA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Most information is from studies at low or unclear risk of bias = No serious limitations, do not downgrade</w:t>
            </w:r>
          </w:p>
          <w:p w14:paraId="49575F0E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7E671F4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The proportion of information from studies at high risk of bias is sufficient to affect the interpretation of results = Serious limitations, downgrade one level or Very serious limitations, downgrade two levels</w:t>
            </w:r>
          </w:p>
        </w:tc>
      </w:tr>
      <w:tr w:rsidR="007D2A65" w:rsidRPr="00797BAC" w14:paraId="2B184C5A" w14:textId="77777777" w:rsidTr="005E318B">
        <w:tc>
          <w:tcPr>
            <w:tcW w:w="1316" w:type="dxa"/>
          </w:tcPr>
          <w:p w14:paraId="271630C1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97BAC">
              <w:rPr>
                <w:sz w:val="20"/>
                <w:szCs w:val="20"/>
              </w:rPr>
              <w:t>ndirectness of evidence</w:t>
            </w:r>
          </w:p>
        </w:tc>
        <w:tc>
          <w:tcPr>
            <w:tcW w:w="4217" w:type="dxa"/>
          </w:tcPr>
          <w:p w14:paraId="1959167C" w14:textId="77777777" w:rsidR="007D2A65" w:rsidRPr="00B87B47" w:rsidRDefault="007D2A65" w:rsidP="00301CE9">
            <w:pPr>
              <w:spacing w:line="360" w:lineRule="auto"/>
              <w:rPr>
                <w:sz w:val="20"/>
                <w:szCs w:val="20"/>
              </w:rPr>
            </w:pPr>
            <w:r w:rsidRPr="009B05C5">
              <w:rPr>
                <w:sz w:val="20"/>
                <w:szCs w:val="20"/>
              </w:rPr>
              <w:t xml:space="preserve">The quality of evidence will be downgraded un case of indirect population, control, outcomes. The indirectness which becomes stronger in case </w:t>
            </w:r>
            <w:r w:rsidRPr="009B05C5">
              <w:rPr>
                <w:sz w:val="20"/>
                <w:szCs w:val="20"/>
              </w:rPr>
              <w:lastRenderedPageBreak/>
              <w:t>of flawed measurement of both exposure and outcome as well as failure to develop and apply appropriate eligibility criteria (inclusion of control population).</w:t>
            </w:r>
          </w:p>
        </w:tc>
        <w:tc>
          <w:tcPr>
            <w:tcW w:w="4101" w:type="dxa"/>
          </w:tcPr>
          <w:p w14:paraId="09C059A2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lastRenderedPageBreak/>
              <w:t xml:space="preserve">Most information is from studies at low risk of bias = No serious limitations, do not downgrade; </w:t>
            </w:r>
          </w:p>
          <w:p w14:paraId="333B5360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05FA5435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Most information is from studies at low or unclear risk of bias = No serious limitations, do not downgrade</w:t>
            </w:r>
          </w:p>
          <w:p w14:paraId="6F7D2FEC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0A45331" w14:textId="77777777" w:rsidR="007D2A65" w:rsidRPr="00A04A9F" w:rsidRDefault="007D2A65" w:rsidP="00301CE9">
            <w:pPr>
              <w:spacing w:line="360" w:lineRule="auto"/>
              <w:rPr>
                <w:sz w:val="20"/>
                <w:szCs w:val="20"/>
                <w:highlight w:val="green"/>
              </w:rPr>
            </w:pPr>
            <w:r w:rsidRPr="00366D7A">
              <w:rPr>
                <w:sz w:val="20"/>
                <w:szCs w:val="20"/>
              </w:rPr>
              <w:t>The proportion of information from studies at high risk of bias is sufficient to affect the interpretation of results = Serious limitations, downgrade one level or Very serious limitations, downgrade two levels</w:t>
            </w:r>
          </w:p>
        </w:tc>
      </w:tr>
      <w:tr w:rsidR="007D2A65" w:rsidRPr="00797BAC" w14:paraId="24A5ACB9" w14:textId="77777777" w:rsidTr="005E318B">
        <w:tc>
          <w:tcPr>
            <w:tcW w:w="1316" w:type="dxa"/>
          </w:tcPr>
          <w:p w14:paraId="5E35F275" w14:textId="77777777" w:rsidR="007D2A65" w:rsidRPr="00797BAC" w:rsidRDefault="007D2A65" w:rsidP="00301CE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Pr="00797BAC">
              <w:rPr>
                <w:sz w:val="20"/>
                <w:szCs w:val="20"/>
              </w:rPr>
              <w:t xml:space="preserve">mprecision of results </w:t>
            </w:r>
          </w:p>
        </w:tc>
        <w:tc>
          <w:tcPr>
            <w:tcW w:w="4217" w:type="dxa"/>
          </w:tcPr>
          <w:p w14:paraId="56A36392" w14:textId="77777777" w:rsidR="007D2A65" w:rsidRPr="009B69A0" w:rsidRDefault="007D2A65" w:rsidP="00301CE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7BAC">
              <w:rPr>
                <w:sz w:val="20"/>
                <w:szCs w:val="20"/>
              </w:rPr>
              <w:t xml:space="preserve">The quality of evidence was downgraded in case of wide confidence intervals and/or mall sample size. </w:t>
            </w:r>
            <w:r w:rsidRPr="00797BAC">
              <w:rPr>
                <w:color w:val="000000" w:themeColor="text1"/>
                <w:sz w:val="20"/>
                <w:szCs w:val="20"/>
              </w:rPr>
              <w:t xml:space="preserve">Since there are no clear-cut recommendations on imprecision with continuous outcomes and standardized effect measures, we were downgraded if the sample size is &lt; 620 (calculated under standard assumptions of α = 0.05, power = 0.80, and effect size of 0.20) </w:t>
            </w:r>
            <w:r w:rsidRPr="00797BAC">
              <w:rPr>
                <w:noProof/>
                <w:color w:val="000000" w:themeColor="text1"/>
                <w:sz w:val="20"/>
                <w:szCs w:val="20"/>
              </w:rPr>
              <w:t>(Schünemann et al., 2013)</w:t>
            </w:r>
            <w:r w:rsidRPr="00797BAC">
              <w:rPr>
                <w:color w:val="000000" w:themeColor="text1"/>
                <w:sz w:val="20"/>
                <w:szCs w:val="20"/>
              </w:rPr>
              <w:t xml:space="preserve">, and we took into consideration the width of the confidence interval around the point estimate and the range of values it includes. </w:t>
            </w:r>
          </w:p>
        </w:tc>
        <w:tc>
          <w:tcPr>
            <w:tcW w:w="4101" w:type="dxa"/>
          </w:tcPr>
          <w:p w14:paraId="552FB58C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 xml:space="preserve">Most information is from studies at low risk of bias = No serious limitations, do not downgrade; </w:t>
            </w:r>
          </w:p>
          <w:p w14:paraId="2254B013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5F3982E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Most information is from studies at low or unclear risk of bias = No serious limitations, do not downgrade</w:t>
            </w:r>
          </w:p>
          <w:p w14:paraId="0D21D6EF" w14:textId="77777777" w:rsidR="007D2A65" w:rsidRPr="00366D7A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63F4778" w14:textId="77777777" w:rsidR="007D2A65" w:rsidRPr="00797BAC" w:rsidRDefault="007D2A65" w:rsidP="00301C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6D7A">
              <w:rPr>
                <w:sz w:val="20"/>
                <w:szCs w:val="20"/>
              </w:rPr>
              <w:t>The proportion of information from studies at high risk of bias is sufficient to affect the interpretation of results = Serious limitations, downgrade one level or Very serious limitations, downgrade two levels</w:t>
            </w:r>
          </w:p>
        </w:tc>
      </w:tr>
      <w:tr w:rsidR="007D2A65" w:rsidRPr="00797BAC" w14:paraId="663E4D18" w14:textId="77777777" w:rsidTr="005E318B">
        <w:tc>
          <w:tcPr>
            <w:tcW w:w="9634" w:type="dxa"/>
            <w:gridSpan w:val="3"/>
          </w:tcPr>
          <w:p w14:paraId="02DFFECA" w14:textId="77777777" w:rsidR="007D2A65" w:rsidRPr="00797BAC" w:rsidRDefault="007D2A65" w:rsidP="00301CE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7BAC">
              <w:rPr>
                <w:color w:val="000000" w:themeColor="text1"/>
                <w:sz w:val="20"/>
                <w:szCs w:val="20"/>
              </w:rPr>
              <w:t xml:space="preserve">If there were no serious concerns about the risk of bias, we upgraded the quality of evidence by one level for a large magnitude of effect, when a dose-response gradient was observed, and/or when accounting for all plausible confounding was reduced the pooled effect or suggested a spurious effect when results show no effect </w:t>
            </w:r>
            <w:r w:rsidRPr="00797BAC">
              <w:rPr>
                <w:noProof/>
                <w:color w:val="000000" w:themeColor="text1"/>
                <w:sz w:val="20"/>
                <w:szCs w:val="20"/>
              </w:rPr>
              <w:t>(Schünemann et al., 2013)</w:t>
            </w:r>
            <w:r w:rsidRPr="00797BAC">
              <w:rPr>
                <w:color w:val="000000" w:themeColor="text1"/>
                <w:sz w:val="20"/>
                <w:szCs w:val="20"/>
              </w:rPr>
              <w:t xml:space="preserve">. We defined a large effect according to Cohen’s convention of 0.80 </w:t>
            </w:r>
            <w:r w:rsidRPr="00797BAC">
              <w:rPr>
                <w:noProof/>
                <w:color w:val="000000" w:themeColor="text1"/>
                <w:sz w:val="20"/>
                <w:szCs w:val="20"/>
              </w:rPr>
              <w:t>(Cohen, 1992)</w:t>
            </w:r>
            <w:r w:rsidRPr="00797BAC">
              <w:rPr>
                <w:color w:val="000000" w:themeColor="text1"/>
                <w:sz w:val="20"/>
                <w:szCs w:val="20"/>
              </w:rPr>
              <w:t xml:space="preserve">, although we recognized that this cutoff may be too strict or not equally relevant across psychological sub-disciplines </w:t>
            </w:r>
            <w:r w:rsidRPr="00797BAC">
              <w:rPr>
                <w:noProof/>
                <w:color w:val="000000" w:themeColor="text1"/>
                <w:sz w:val="20"/>
                <w:szCs w:val="20"/>
              </w:rPr>
              <w:t>(Gignac &amp; Szodorai, 2016; Schäfer &amp; Schwarz, 2019)</w:t>
            </w:r>
            <w:r w:rsidRPr="00797BAC">
              <w:rPr>
                <w:color w:val="000000" w:themeColor="text1"/>
                <w:sz w:val="20"/>
                <w:szCs w:val="20"/>
              </w:rPr>
              <w:t xml:space="preserve">.  In addition, to upgrade for a large effect, the lower limit of the confidence interval of the point estimate had to be at least 0.80 or greater </w:t>
            </w:r>
            <w:r w:rsidRPr="00797BAC">
              <w:rPr>
                <w:noProof/>
                <w:color w:val="000000" w:themeColor="text1"/>
                <w:sz w:val="20"/>
                <w:szCs w:val="20"/>
              </w:rPr>
              <w:t>(Schünemann et al., 2013)</w:t>
            </w:r>
            <w:r w:rsidRPr="00797BAC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7F207705" w14:textId="77777777" w:rsidR="007D2A65" w:rsidRPr="0046789F" w:rsidRDefault="007D2A65" w:rsidP="00301CE9">
      <w:pPr>
        <w:pStyle w:val="EndNoteBibliography"/>
        <w:spacing w:after="0" w:line="240" w:lineRule="auto"/>
        <w:ind w:left="720" w:hanging="720"/>
        <w:rPr>
          <w:sz w:val="20"/>
          <w:szCs w:val="20"/>
        </w:rPr>
      </w:pPr>
      <w:r w:rsidRPr="0046789F">
        <w:rPr>
          <w:sz w:val="20"/>
          <w:szCs w:val="20"/>
        </w:rPr>
        <w:t xml:space="preserve">Cohen, J. (1992). A power primer. </w:t>
      </w:r>
      <w:r w:rsidRPr="0046789F">
        <w:rPr>
          <w:i/>
          <w:sz w:val="20"/>
          <w:szCs w:val="20"/>
        </w:rPr>
        <w:t>Psychol Bull</w:t>
      </w:r>
      <w:r w:rsidRPr="0046789F">
        <w:rPr>
          <w:sz w:val="20"/>
          <w:szCs w:val="20"/>
        </w:rPr>
        <w:t>,</w:t>
      </w:r>
      <w:r w:rsidRPr="0046789F">
        <w:rPr>
          <w:i/>
          <w:sz w:val="20"/>
          <w:szCs w:val="20"/>
        </w:rPr>
        <w:t xml:space="preserve"> 112</w:t>
      </w:r>
      <w:r w:rsidRPr="0046789F">
        <w:rPr>
          <w:sz w:val="20"/>
          <w:szCs w:val="20"/>
        </w:rPr>
        <w:t>(1), 15</w:t>
      </w:r>
      <w:r>
        <w:rPr>
          <w:sz w:val="20"/>
          <w:szCs w:val="20"/>
        </w:rPr>
        <w:t>5–</w:t>
      </w:r>
      <w:r w:rsidRPr="0046789F">
        <w:rPr>
          <w:sz w:val="20"/>
          <w:szCs w:val="20"/>
        </w:rPr>
        <w:t xml:space="preserve">159. </w:t>
      </w:r>
      <w:hyperlink r:id="rId12" w:history="1">
        <w:r w:rsidRPr="0046789F">
          <w:rPr>
            <w:rStyle w:val="Hipercze"/>
            <w:sz w:val="20"/>
            <w:szCs w:val="20"/>
          </w:rPr>
          <w:t>https://doi.org/10.1037//0033-2909.112.1.155</w:t>
        </w:r>
      </w:hyperlink>
      <w:r w:rsidRPr="0046789F">
        <w:rPr>
          <w:sz w:val="20"/>
          <w:szCs w:val="20"/>
        </w:rPr>
        <w:t xml:space="preserve"> </w:t>
      </w:r>
    </w:p>
    <w:p w14:paraId="1B8301D7" w14:textId="77777777" w:rsidR="007D2A65" w:rsidRPr="0046789F" w:rsidRDefault="007D2A65" w:rsidP="00301CE9">
      <w:pPr>
        <w:pStyle w:val="EndNoteBibliography"/>
        <w:spacing w:after="0" w:line="240" w:lineRule="auto"/>
        <w:ind w:left="720" w:hanging="720"/>
        <w:rPr>
          <w:sz w:val="20"/>
          <w:szCs w:val="20"/>
        </w:rPr>
      </w:pPr>
      <w:r w:rsidRPr="00D515A7">
        <w:rPr>
          <w:sz w:val="20"/>
          <w:szCs w:val="20"/>
        </w:rPr>
        <w:t xml:space="preserve">Gignac, G. E., &amp; Szodorai, E. T. (2016). </w:t>
      </w:r>
      <w:r w:rsidRPr="0046789F">
        <w:rPr>
          <w:sz w:val="20"/>
          <w:szCs w:val="20"/>
        </w:rPr>
        <w:t xml:space="preserve">Effect size guidelines for individual differences researchers. </w:t>
      </w:r>
      <w:r w:rsidRPr="0046789F">
        <w:rPr>
          <w:i/>
          <w:sz w:val="20"/>
          <w:szCs w:val="20"/>
        </w:rPr>
        <w:t>Personality and Individual Differences</w:t>
      </w:r>
      <w:r w:rsidRPr="0046789F">
        <w:rPr>
          <w:sz w:val="20"/>
          <w:szCs w:val="20"/>
        </w:rPr>
        <w:t>,</w:t>
      </w:r>
      <w:r w:rsidRPr="0046789F">
        <w:rPr>
          <w:i/>
          <w:sz w:val="20"/>
          <w:szCs w:val="20"/>
        </w:rPr>
        <w:t xml:space="preserve"> 102</w:t>
      </w:r>
      <w:r w:rsidRPr="0046789F">
        <w:rPr>
          <w:sz w:val="20"/>
          <w:szCs w:val="20"/>
        </w:rPr>
        <w:t xml:space="preserve">, 74-78. </w:t>
      </w:r>
      <w:hyperlink r:id="rId13" w:history="1">
        <w:r w:rsidRPr="0046789F">
          <w:rPr>
            <w:rStyle w:val="Hipercze"/>
            <w:sz w:val="20"/>
            <w:szCs w:val="20"/>
          </w:rPr>
          <w:t>https://doi.org/10.1016/j.paid.2016.06.069</w:t>
        </w:r>
      </w:hyperlink>
      <w:r w:rsidRPr="0046789F">
        <w:rPr>
          <w:sz w:val="20"/>
          <w:szCs w:val="20"/>
        </w:rPr>
        <w:t xml:space="preserve"> </w:t>
      </w:r>
    </w:p>
    <w:p w14:paraId="0BEA54DF" w14:textId="77777777" w:rsidR="007D2A65" w:rsidRPr="0046789F" w:rsidRDefault="007D2A65" w:rsidP="00301CE9">
      <w:pPr>
        <w:pStyle w:val="EndNoteBibliography"/>
        <w:spacing w:after="0" w:line="240" w:lineRule="auto"/>
        <w:ind w:left="720" w:hanging="720"/>
        <w:rPr>
          <w:sz w:val="20"/>
          <w:szCs w:val="20"/>
        </w:rPr>
      </w:pPr>
      <w:r w:rsidRPr="0046789F">
        <w:rPr>
          <w:sz w:val="20"/>
          <w:szCs w:val="20"/>
        </w:rPr>
        <w:lastRenderedPageBreak/>
        <w:t xml:space="preserve">Schäfer, T., &amp; Schwarz, M. A. (2019). The Meaningfulness of Effect Sizes in Psychological Research: Differences Between Sub-Disciplines and the Impact of Potential Biases [Original Research]. </w:t>
      </w:r>
      <w:r w:rsidRPr="0046789F">
        <w:rPr>
          <w:i/>
          <w:sz w:val="20"/>
          <w:szCs w:val="20"/>
        </w:rPr>
        <w:t>Frontiers in Psychology</w:t>
      </w:r>
      <w:r w:rsidRPr="0046789F">
        <w:rPr>
          <w:sz w:val="20"/>
          <w:szCs w:val="20"/>
        </w:rPr>
        <w:t>,</w:t>
      </w:r>
      <w:r w:rsidRPr="0046789F">
        <w:rPr>
          <w:i/>
          <w:sz w:val="20"/>
          <w:szCs w:val="20"/>
        </w:rPr>
        <w:t xml:space="preserve"> 10</w:t>
      </w:r>
      <w:r w:rsidRPr="0046789F">
        <w:rPr>
          <w:sz w:val="20"/>
          <w:szCs w:val="20"/>
        </w:rPr>
        <w:t xml:space="preserve">. </w:t>
      </w:r>
      <w:hyperlink r:id="rId14" w:history="1">
        <w:r w:rsidRPr="0046789F">
          <w:rPr>
            <w:rStyle w:val="Hipercze"/>
            <w:sz w:val="20"/>
            <w:szCs w:val="20"/>
          </w:rPr>
          <w:t>https://doi.org/10.3389/fpsyg.2019.00813</w:t>
        </w:r>
      </w:hyperlink>
      <w:r w:rsidRPr="0046789F">
        <w:rPr>
          <w:sz w:val="20"/>
          <w:szCs w:val="20"/>
        </w:rPr>
        <w:t xml:space="preserve"> </w:t>
      </w:r>
    </w:p>
    <w:p w14:paraId="0137A67C" w14:textId="11A8DB59" w:rsidR="00D4706D" w:rsidRPr="00301CE9" w:rsidRDefault="007D2A65" w:rsidP="0061494B">
      <w:pPr>
        <w:pStyle w:val="EndNoteBibliography"/>
        <w:spacing w:after="0" w:line="240" w:lineRule="auto"/>
        <w:ind w:left="720" w:hanging="720"/>
      </w:pPr>
      <w:r w:rsidRPr="0046789F">
        <w:rPr>
          <w:sz w:val="20"/>
          <w:szCs w:val="20"/>
        </w:rPr>
        <w:t xml:space="preserve">Schünemann, H., Brożek, J., Guyatt, G., &amp; Oxman, A. (2013). </w:t>
      </w:r>
      <w:r w:rsidRPr="0046789F">
        <w:rPr>
          <w:i/>
          <w:sz w:val="20"/>
          <w:szCs w:val="20"/>
        </w:rPr>
        <w:t xml:space="preserve">GRADE handbook for grading quality of evidence and strength of recommendations. Updated October 2013. </w:t>
      </w:r>
      <w:r w:rsidRPr="0046789F">
        <w:rPr>
          <w:sz w:val="20"/>
          <w:szCs w:val="20"/>
        </w:rPr>
        <w:t xml:space="preserve">. The GRADE Working Group. guidelinedevelopment.org/handbook </w:t>
      </w:r>
      <w:r>
        <w:rPr>
          <w:sz w:val="20"/>
          <w:szCs w:val="20"/>
        </w:rPr>
        <w:t>]</w:t>
      </w:r>
      <w:r w:rsidR="00D4706D" w:rsidRPr="00F11FDD">
        <w:t xml:space="preserve"> </w:t>
      </w:r>
    </w:p>
    <w:sectPr w:rsidR="00D4706D" w:rsidRPr="00301CE9" w:rsidSect="006149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8BBF" w14:textId="77777777" w:rsidR="00164586" w:rsidRDefault="00164586" w:rsidP="00117666">
      <w:pPr>
        <w:spacing w:after="0"/>
      </w:pPr>
      <w:r>
        <w:separator/>
      </w:r>
    </w:p>
  </w:endnote>
  <w:endnote w:type="continuationSeparator" w:id="0">
    <w:p w14:paraId="0CBBBAC3" w14:textId="77777777" w:rsidR="00164586" w:rsidRDefault="001645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B79" w14:textId="77777777" w:rsidR="00686C9D" w:rsidRPr="00577C4C" w:rsidRDefault="00C52A7B">
    <w:pPr>
      <w:pStyle w:val="Stopka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686C9D" w:rsidRPr="00E9561B" w:rsidRDefault="00C52A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" stroked="f">
              <v:textbox style="mso-fit-shape-to-text:t">
                <w:txbxContent>
                  <w:p w14:paraId="7B187B51" w14:textId="77777777"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Stopk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62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60F" w14:textId="77777777" w:rsidR="00686C9D" w:rsidRPr="00577C4C" w:rsidRDefault="00C52A7B">
    <w:pPr>
      <w:pStyle w:val="Stopka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Stopk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63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CDIg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&#13;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7923" w14:textId="77777777" w:rsidR="00164586" w:rsidRDefault="00164586" w:rsidP="00117666">
      <w:pPr>
        <w:spacing w:after="0"/>
      </w:pPr>
      <w:r>
        <w:separator/>
      </w:r>
    </w:p>
  </w:footnote>
  <w:footnote w:type="continuationSeparator" w:id="0">
    <w:p w14:paraId="62B12A5E" w14:textId="77777777" w:rsidR="00164586" w:rsidRDefault="001645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EC0" w14:textId="54B92735" w:rsidR="00686C9D" w:rsidRPr="007E3148" w:rsidRDefault="00686C9D" w:rsidP="00A53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3055" w14:textId="1A817A43" w:rsidR="00686C9D" w:rsidRPr="00A53000" w:rsidRDefault="00686C9D" w:rsidP="00A53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C69" w14:textId="77777777" w:rsidR="00686C9D" w:rsidRDefault="005A1D84" w:rsidP="00A53000">
    <w:pPr>
      <w:pStyle w:val="Nagwek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424500134" name="Obraz 42450013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7655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5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98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5" w:hanging="1440"/>
      </w:pPr>
      <w:rPr>
        <w:rFonts w:hint="default"/>
      </w:rPr>
    </w:lvl>
  </w:abstractNum>
  <w:abstractNum w:abstractNumId="1" w15:restartNumberingAfterBreak="0">
    <w:nsid w:val="0AC42841"/>
    <w:multiLevelType w:val="hybridMultilevel"/>
    <w:tmpl w:val="0AEC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5F1"/>
    <w:multiLevelType w:val="hybridMultilevel"/>
    <w:tmpl w:val="A68A77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581E"/>
    <w:multiLevelType w:val="hybridMultilevel"/>
    <w:tmpl w:val="D3E239D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122"/>
    <w:multiLevelType w:val="hybridMultilevel"/>
    <w:tmpl w:val="04D48B88"/>
    <w:lvl w:ilvl="0" w:tplc="A1D4C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2591A"/>
    <w:multiLevelType w:val="hybridMultilevel"/>
    <w:tmpl w:val="D3E239D6"/>
    <w:lvl w:ilvl="0" w:tplc="BBA2B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205472E7"/>
    <w:multiLevelType w:val="hybridMultilevel"/>
    <w:tmpl w:val="53846108"/>
    <w:lvl w:ilvl="0" w:tplc="39BC33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2321"/>
    <w:multiLevelType w:val="hybridMultilevel"/>
    <w:tmpl w:val="02BEB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D3CAC"/>
    <w:multiLevelType w:val="hybridMultilevel"/>
    <w:tmpl w:val="9656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131E"/>
    <w:multiLevelType w:val="hybridMultilevel"/>
    <w:tmpl w:val="560EBD0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02A7CAC"/>
    <w:multiLevelType w:val="multilevel"/>
    <w:tmpl w:val="C6A8CCEA"/>
    <w:numStyleLink w:val="Headings"/>
  </w:abstractNum>
  <w:abstractNum w:abstractNumId="15" w15:restartNumberingAfterBreak="0">
    <w:nsid w:val="34E57F35"/>
    <w:multiLevelType w:val="hybridMultilevel"/>
    <w:tmpl w:val="A66046E6"/>
    <w:lvl w:ilvl="0" w:tplc="67606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02669"/>
    <w:multiLevelType w:val="hybridMultilevel"/>
    <w:tmpl w:val="E7064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9D3515"/>
    <w:multiLevelType w:val="hybridMultilevel"/>
    <w:tmpl w:val="5808ADC0"/>
    <w:lvl w:ilvl="0" w:tplc="A4D4D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C0B41"/>
    <w:multiLevelType w:val="hybridMultilevel"/>
    <w:tmpl w:val="09823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812C7"/>
    <w:multiLevelType w:val="hybridMultilevel"/>
    <w:tmpl w:val="7DB033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E5DCC"/>
    <w:multiLevelType w:val="hybridMultilevel"/>
    <w:tmpl w:val="5EB6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7369"/>
    <w:multiLevelType w:val="hybridMultilevel"/>
    <w:tmpl w:val="FF9E1A5C"/>
    <w:lvl w:ilvl="0" w:tplc="34760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0D52"/>
    <w:multiLevelType w:val="hybridMultilevel"/>
    <w:tmpl w:val="54165C78"/>
    <w:lvl w:ilvl="0" w:tplc="FCA86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B163E"/>
    <w:multiLevelType w:val="hybridMultilevel"/>
    <w:tmpl w:val="7DB033B2"/>
    <w:lvl w:ilvl="0" w:tplc="BBA2B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5401"/>
    <w:multiLevelType w:val="hybridMultilevel"/>
    <w:tmpl w:val="8B10756A"/>
    <w:lvl w:ilvl="0" w:tplc="C8003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A59F2"/>
    <w:multiLevelType w:val="hybridMultilevel"/>
    <w:tmpl w:val="DBE6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A2078"/>
    <w:multiLevelType w:val="hybridMultilevel"/>
    <w:tmpl w:val="E208D4EA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594"/>
    <w:multiLevelType w:val="hybridMultilevel"/>
    <w:tmpl w:val="B4F820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614FF"/>
    <w:multiLevelType w:val="hybridMultilevel"/>
    <w:tmpl w:val="73F60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C6F29"/>
    <w:multiLevelType w:val="multilevel"/>
    <w:tmpl w:val="C6A8CCEA"/>
    <w:numStyleLink w:val="Headings"/>
  </w:abstractNum>
  <w:abstractNum w:abstractNumId="40" w15:restartNumberingAfterBreak="0">
    <w:nsid w:val="7E78256C"/>
    <w:multiLevelType w:val="hybridMultilevel"/>
    <w:tmpl w:val="30F0D976"/>
    <w:lvl w:ilvl="0" w:tplc="ED101A4C">
      <w:start w:val="2010"/>
      <w:numFmt w:val="bullet"/>
      <w:lvlText w:val="-"/>
      <w:lvlJc w:val="left"/>
      <w:pPr>
        <w:ind w:left="1280" w:hanging="92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26D61"/>
    <w:multiLevelType w:val="hybridMultilevel"/>
    <w:tmpl w:val="FB70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28"/>
  </w:num>
  <w:num w:numId="3" w16cid:durableId="1144352800">
    <w:abstractNumId w:val="2"/>
  </w:num>
  <w:num w:numId="4" w16cid:durableId="769737119">
    <w:abstractNumId w:val="30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20"/>
  </w:num>
  <w:num w:numId="7" w16cid:durableId="773479634">
    <w:abstractNumId w:val="18"/>
  </w:num>
  <w:num w:numId="8" w16cid:durableId="2072000685">
    <w:abstractNumId w:val="16"/>
  </w:num>
  <w:num w:numId="9" w16cid:durableId="1213807494">
    <w:abstractNumId w:val="19"/>
  </w:num>
  <w:num w:numId="10" w16cid:durableId="308825289">
    <w:abstractNumId w:val="17"/>
  </w:num>
  <w:num w:numId="11" w16cid:durableId="372848954">
    <w:abstractNumId w:val="7"/>
  </w:num>
  <w:num w:numId="12" w16cid:durableId="213006365">
    <w:abstractNumId w:val="42"/>
  </w:num>
  <w:num w:numId="13" w16cid:durableId="1411196366">
    <w:abstractNumId w:val="23"/>
  </w:num>
  <w:num w:numId="14" w16cid:durableId="944966812">
    <w:abstractNumId w:val="11"/>
  </w:num>
  <w:num w:numId="15" w16cid:durableId="1662200756">
    <w:abstractNumId w:val="21"/>
  </w:num>
  <w:num w:numId="16" w16cid:durableId="2141485750">
    <w:abstractNumId w:val="29"/>
  </w:num>
  <w:num w:numId="17" w16cid:durableId="2002923295">
    <w:abstractNumId w:val="8"/>
    <w:lvlOverride w:ilvl="0">
      <w:lvl w:ilvl="0">
        <w:start w:val="1"/>
        <w:numFmt w:val="decimal"/>
        <w:pStyle w:val="Nagwek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14"/>
  </w:num>
  <w:num w:numId="20" w16cid:durableId="58940097">
    <w:abstractNumId w:val="39"/>
  </w:num>
  <w:num w:numId="21" w16cid:durableId="490292411">
    <w:abstractNumId w:val="8"/>
  </w:num>
  <w:num w:numId="22" w16cid:durableId="1120419941">
    <w:abstractNumId w:val="8"/>
    <w:lvlOverride w:ilvl="0">
      <w:startOverride w:val="1"/>
      <w:lvl w:ilvl="0">
        <w:start w:val="1"/>
        <w:numFmt w:val="decimal"/>
        <w:pStyle w:val="Nagwek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Nagwek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Nagwek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Nagwek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410541075">
    <w:abstractNumId w:val="10"/>
  </w:num>
  <w:num w:numId="24" w16cid:durableId="1786801062">
    <w:abstractNumId w:val="38"/>
  </w:num>
  <w:num w:numId="25" w16cid:durableId="229075731">
    <w:abstractNumId w:val="15"/>
  </w:num>
  <w:num w:numId="26" w16cid:durableId="1943030936">
    <w:abstractNumId w:val="35"/>
  </w:num>
  <w:num w:numId="27" w16cid:durableId="988822937">
    <w:abstractNumId w:val="25"/>
  </w:num>
  <w:num w:numId="28" w16cid:durableId="1179344666">
    <w:abstractNumId w:val="27"/>
  </w:num>
  <w:num w:numId="29" w16cid:durableId="674918774">
    <w:abstractNumId w:val="36"/>
  </w:num>
  <w:num w:numId="30" w16cid:durableId="442648142">
    <w:abstractNumId w:val="22"/>
  </w:num>
  <w:num w:numId="31" w16cid:durableId="1775981733">
    <w:abstractNumId w:val="37"/>
  </w:num>
  <w:num w:numId="32" w16cid:durableId="196280640">
    <w:abstractNumId w:val="34"/>
  </w:num>
  <w:num w:numId="33" w16cid:durableId="375785627">
    <w:abstractNumId w:val="13"/>
  </w:num>
  <w:num w:numId="34" w16cid:durableId="1108112898">
    <w:abstractNumId w:val="12"/>
  </w:num>
  <w:num w:numId="35" w16cid:durableId="1768649978">
    <w:abstractNumId w:val="41"/>
  </w:num>
  <w:num w:numId="36" w16cid:durableId="2046059714">
    <w:abstractNumId w:val="9"/>
  </w:num>
  <w:num w:numId="37" w16cid:durableId="542861310">
    <w:abstractNumId w:val="33"/>
  </w:num>
  <w:num w:numId="38" w16cid:durableId="1412652514">
    <w:abstractNumId w:val="6"/>
  </w:num>
  <w:num w:numId="39" w16cid:durableId="2019428931">
    <w:abstractNumId w:val="26"/>
  </w:num>
  <w:num w:numId="40" w16cid:durableId="1259874363">
    <w:abstractNumId w:val="4"/>
  </w:num>
  <w:num w:numId="41" w16cid:durableId="527836165">
    <w:abstractNumId w:val="31"/>
  </w:num>
  <w:num w:numId="42" w16cid:durableId="389424660">
    <w:abstractNumId w:val="3"/>
  </w:num>
  <w:num w:numId="43" w16cid:durableId="204368466">
    <w:abstractNumId w:val="5"/>
  </w:num>
  <w:num w:numId="44" w16cid:durableId="121577561">
    <w:abstractNumId w:val="32"/>
  </w:num>
  <w:num w:numId="45" w16cid:durableId="505483133">
    <w:abstractNumId w:val="24"/>
  </w:num>
  <w:num w:numId="46" w16cid:durableId="1335497571">
    <w:abstractNumId w:val="1"/>
  </w:num>
  <w:num w:numId="47" w16cid:durableId="187950811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0"/>
    <w:rsid w:val="000001BE"/>
    <w:rsid w:val="00015D7B"/>
    <w:rsid w:val="0002273A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C6654"/>
    <w:rsid w:val="000C7E2A"/>
    <w:rsid w:val="000E1A6A"/>
    <w:rsid w:val="000F4CFB"/>
    <w:rsid w:val="00117666"/>
    <w:rsid w:val="001223A7"/>
    <w:rsid w:val="00134256"/>
    <w:rsid w:val="00147395"/>
    <w:rsid w:val="00152161"/>
    <w:rsid w:val="001552C9"/>
    <w:rsid w:val="00164586"/>
    <w:rsid w:val="00177D84"/>
    <w:rsid w:val="001927CC"/>
    <w:rsid w:val="001964EF"/>
    <w:rsid w:val="001A172C"/>
    <w:rsid w:val="001B1A2C"/>
    <w:rsid w:val="001C1F08"/>
    <w:rsid w:val="001D5C23"/>
    <w:rsid w:val="001E4F08"/>
    <w:rsid w:val="001F4C07"/>
    <w:rsid w:val="00206322"/>
    <w:rsid w:val="00206C9A"/>
    <w:rsid w:val="002101F6"/>
    <w:rsid w:val="002159AF"/>
    <w:rsid w:val="00217BA1"/>
    <w:rsid w:val="00220AEA"/>
    <w:rsid w:val="00226954"/>
    <w:rsid w:val="002368CB"/>
    <w:rsid w:val="002629A3"/>
    <w:rsid w:val="00265660"/>
    <w:rsid w:val="002677A0"/>
    <w:rsid w:val="00267D18"/>
    <w:rsid w:val="002728C5"/>
    <w:rsid w:val="002868E2"/>
    <w:rsid w:val="002869C3"/>
    <w:rsid w:val="002936E4"/>
    <w:rsid w:val="00296B88"/>
    <w:rsid w:val="002A260D"/>
    <w:rsid w:val="002A63D8"/>
    <w:rsid w:val="002C74CA"/>
    <w:rsid w:val="002D30A8"/>
    <w:rsid w:val="002D4A3E"/>
    <w:rsid w:val="002D616C"/>
    <w:rsid w:val="002F744D"/>
    <w:rsid w:val="00301CE9"/>
    <w:rsid w:val="00303DE6"/>
    <w:rsid w:val="00310124"/>
    <w:rsid w:val="00322306"/>
    <w:rsid w:val="003251CD"/>
    <w:rsid w:val="003544FB"/>
    <w:rsid w:val="00363477"/>
    <w:rsid w:val="00365D63"/>
    <w:rsid w:val="0036793B"/>
    <w:rsid w:val="00372682"/>
    <w:rsid w:val="00376CC5"/>
    <w:rsid w:val="0039693B"/>
    <w:rsid w:val="003A4F4D"/>
    <w:rsid w:val="003B3C40"/>
    <w:rsid w:val="003D2F2D"/>
    <w:rsid w:val="003E5F5C"/>
    <w:rsid w:val="00401590"/>
    <w:rsid w:val="004201C3"/>
    <w:rsid w:val="00420CC4"/>
    <w:rsid w:val="004215B5"/>
    <w:rsid w:val="00446E4C"/>
    <w:rsid w:val="00463E3D"/>
    <w:rsid w:val="004645AE"/>
    <w:rsid w:val="004D3E33"/>
    <w:rsid w:val="00510770"/>
    <w:rsid w:val="0052252B"/>
    <w:rsid w:val="005250F2"/>
    <w:rsid w:val="00537352"/>
    <w:rsid w:val="00543CA7"/>
    <w:rsid w:val="005555E2"/>
    <w:rsid w:val="00574111"/>
    <w:rsid w:val="005A1D84"/>
    <w:rsid w:val="005A70EA"/>
    <w:rsid w:val="005B6D3B"/>
    <w:rsid w:val="005C3963"/>
    <w:rsid w:val="005D1840"/>
    <w:rsid w:val="005D35E4"/>
    <w:rsid w:val="005D4802"/>
    <w:rsid w:val="005D7910"/>
    <w:rsid w:val="005F1492"/>
    <w:rsid w:val="0061494B"/>
    <w:rsid w:val="00614C68"/>
    <w:rsid w:val="00617A1B"/>
    <w:rsid w:val="0062154F"/>
    <w:rsid w:val="00623D8F"/>
    <w:rsid w:val="00626026"/>
    <w:rsid w:val="00631A8C"/>
    <w:rsid w:val="00651CA2"/>
    <w:rsid w:val="00653D60"/>
    <w:rsid w:val="00660D05"/>
    <w:rsid w:val="00663280"/>
    <w:rsid w:val="00665E66"/>
    <w:rsid w:val="00671D9A"/>
    <w:rsid w:val="00673952"/>
    <w:rsid w:val="00686C9D"/>
    <w:rsid w:val="006B2D5B"/>
    <w:rsid w:val="006B7D14"/>
    <w:rsid w:val="006C186D"/>
    <w:rsid w:val="006D5B93"/>
    <w:rsid w:val="006E09EB"/>
    <w:rsid w:val="006E18DE"/>
    <w:rsid w:val="006E54C5"/>
    <w:rsid w:val="00725A7D"/>
    <w:rsid w:val="00727093"/>
    <w:rsid w:val="0073085C"/>
    <w:rsid w:val="00735769"/>
    <w:rsid w:val="00746505"/>
    <w:rsid w:val="00752FD1"/>
    <w:rsid w:val="00790BB3"/>
    <w:rsid w:val="00792043"/>
    <w:rsid w:val="00797EDD"/>
    <w:rsid w:val="007B0322"/>
    <w:rsid w:val="007C0E3F"/>
    <w:rsid w:val="007C206C"/>
    <w:rsid w:val="007C5729"/>
    <w:rsid w:val="007D2A65"/>
    <w:rsid w:val="008111E4"/>
    <w:rsid w:val="0081301C"/>
    <w:rsid w:val="00817DD6"/>
    <w:rsid w:val="00847D6F"/>
    <w:rsid w:val="008629A9"/>
    <w:rsid w:val="0088513A"/>
    <w:rsid w:val="00893C19"/>
    <w:rsid w:val="00895308"/>
    <w:rsid w:val="008A0240"/>
    <w:rsid w:val="008B26EB"/>
    <w:rsid w:val="008B3A50"/>
    <w:rsid w:val="008D6C8D"/>
    <w:rsid w:val="008E2506"/>
    <w:rsid w:val="008E2B54"/>
    <w:rsid w:val="008E4404"/>
    <w:rsid w:val="008E58C7"/>
    <w:rsid w:val="008F5021"/>
    <w:rsid w:val="00943573"/>
    <w:rsid w:val="00971B61"/>
    <w:rsid w:val="00980C31"/>
    <w:rsid w:val="009842E9"/>
    <w:rsid w:val="009955FF"/>
    <w:rsid w:val="009D259D"/>
    <w:rsid w:val="00A00487"/>
    <w:rsid w:val="00A353B4"/>
    <w:rsid w:val="00A50D9D"/>
    <w:rsid w:val="00A53000"/>
    <w:rsid w:val="00A545C6"/>
    <w:rsid w:val="00A75F87"/>
    <w:rsid w:val="00A95D8B"/>
    <w:rsid w:val="00AC0270"/>
    <w:rsid w:val="00AC3EA3"/>
    <w:rsid w:val="00AC792D"/>
    <w:rsid w:val="00B657B8"/>
    <w:rsid w:val="00B801BC"/>
    <w:rsid w:val="00B84920"/>
    <w:rsid w:val="00B8556A"/>
    <w:rsid w:val="00BB41CE"/>
    <w:rsid w:val="00BB6949"/>
    <w:rsid w:val="00C012A3"/>
    <w:rsid w:val="00C1203F"/>
    <w:rsid w:val="00C16F19"/>
    <w:rsid w:val="00C30EB1"/>
    <w:rsid w:val="00C52A7B"/>
    <w:rsid w:val="00C6324C"/>
    <w:rsid w:val="00C667E4"/>
    <w:rsid w:val="00C679AA"/>
    <w:rsid w:val="00C724CF"/>
    <w:rsid w:val="00C75972"/>
    <w:rsid w:val="00C82792"/>
    <w:rsid w:val="00C948FD"/>
    <w:rsid w:val="00CB2220"/>
    <w:rsid w:val="00CB43D5"/>
    <w:rsid w:val="00CC76F9"/>
    <w:rsid w:val="00CD066B"/>
    <w:rsid w:val="00CD3ECE"/>
    <w:rsid w:val="00CD46E2"/>
    <w:rsid w:val="00D00D0B"/>
    <w:rsid w:val="00D04B69"/>
    <w:rsid w:val="00D17FBC"/>
    <w:rsid w:val="00D23690"/>
    <w:rsid w:val="00D40420"/>
    <w:rsid w:val="00D44A91"/>
    <w:rsid w:val="00D4706D"/>
    <w:rsid w:val="00D537FA"/>
    <w:rsid w:val="00D80D99"/>
    <w:rsid w:val="00D9503C"/>
    <w:rsid w:val="00DD73EF"/>
    <w:rsid w:val="00DE23E8"/>
    <w:rsid w:val="00DF187F"/>
    <w:rsid w:val="00E0128B"/>
    <w:rsid w:val="00E11C78"/>
    <w:rsid w:val="00E64E17"/>
    <w:rsid w:val="00E84797"/>
    <w:rsid w:val="00E852EA"/>
    <w:rsid w:val="00EA3D3C"/>
    <w:rsid w:val="00EC7CC3"/>
    <w:rsid w:val="00F254A4"/>
    <w:rsid w:val="00F46494"/>
    <w:rsid w:val="00F558AB"/>
    <w:rsid w:val="00F61D89"/>
    <w:rsid w:val="00F76885"/>
    <w:rsid w:val="00F86ABB"/>
    <w:rsid w:val="00F94FA1"/>
    <w:rsid w:val="00F97039"/>
    <w:rsid w:val="00FD7648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D80D99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24CF"/>
    <w:rPr>
      <w:rFonts w:ascii="Times New Roman" w:hAnsi="Times New Roman"/>
      <w:i/>
      <w:iCs/>
    </w:rPr>
  </w:style>
  <w:style w:type="paragraph" w:styleId="Akapitzlist">
    <w:name w:val="List Paragraph"/>
    <w:basedOn w:val="Normalny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C724CF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53000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17666"/>
  </w:style>
  <w:style w:type="table" w:styleId="Tabela-Siatka">
    <w:name w:val="Table Grid"/>
    <w:basedOn w:val="Standardowy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666"/>
    <w:rPr>
      <w:vertAlign w:val="superscript"/>
    </w:rPr>
  </w:style>
  <w:style w:type="paragraph" w:styleId="Legenda">
    <w:name w:val="caption"/>
    <w:basedOn w:val="Normalny"/>
    <w:next w:val="Bezodstpw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1176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A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A7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1D8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Bezodstpw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651CA2"/>
  </w:style>
  <w:style w:type="character" w:styleId="Wyrnieniedelikatne">
    <w:name w:val="Subtle Emphasis"/>
    <w:basedOn w:val="Domylnaczcionkaakapitu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Odwoanieintensywne">
    <w:name w:val="Intense Reference"/>
    <w:basedOn w:val="Domylnaczcionkaakapitu"/>
    <w:uiPriority w:val="32"/>
    <w:qFormat/>
    <w:rsid w:val="00C724CF"/>
    <w:rPr>
      <w:b/>
      <w:bCs/>
      <w:smallCaps/>
      <w:color w:val="auto"/>
      <w:spacing w:val="5"/>
    </w:rPr>
  </w:style>
  <w:style w:type="character" w:styleId="Tytuksiki">
    <w:name w:val="Book Title"/>
    <w:basedOn w:val="Domylnaczcionkaakapitu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Poprawka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30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728C5"/>
  </w:style>
  <w:style w:type="character" w:customStyle="1" w:styleId="contentpasted0">
    <w:name w:val="contentpasted0"/>
    <w:basedOn w:val="Domylnaczcionkaakapitu"/>
    <w:rsid w:val="002728C5"/>
  </w:style>
  <w:style w:type="paragraph" w:customStyle="1" w:styleId="msonormal0">
    <w:name w:val="msonormal"/>
    <w:basedOn w:val="Normalny"/>
    <w:rsid w:val="007D2A65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paragraph">
    <w:name w:val="paragraph"/>
    <w:basedOn w:val="Normalny"/>
    <w:rsid w:val="007D2A65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textrun">
    <w:name w:val="textrun"/>
    <w:basedOn w:val="Domylnaczcionkaakapitu"/>
    <w:rsid w:val="007D2A65"/>
  </w:style>
  <w:style w:type="character" w:customStyle="1" w:styleId="normaltextrun">
    <w:name w:val="normaltextrun"/>
    <w:basedOn w:val="Domylnaczcionkaakapitu"/>
    <w:rsid w:val="007D2A65"/>
  </w:style>
  <w:style w:type="character" w:customStyle="1" w:styleId="spellingerror">
    <w:name w:val="spellingerror"/>
    <w:basedOn w:val="Domylnaczcionkaakapitu"/>
    <w:rsid w:val="007D2A65"/>
  </w:style>
  <w:style w:type="character" w:customStyle="1" w:styleId="eop">
    <w:name w:val="eop"/>
    <w:basedOn w:val="Domylnaczcionkaakapitu"/>
    <w:rsid w:val="007D2A65"/>
  </w:style>
  <w:style w:type="paragraph" w:customStyle="1" w:styleId="outlineelement">
    <w:name w:val="outlineelement"/>
    <w:basedOn w:val="Normalny"/>
    <w:rsid w:val="007D2A65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wacimagecontainer">
    <w:name w:val="wacimagecontainer"/>
    <w:basedOn w:val="Domylnaczcionkaakapitu"/>
    <w:rsid w:val="007D2A65"/>
  </w:style>
  <w:style w:type="character" w:customStyle="1" w:styleId="contextualspellingandgrammarerror">
    <w:name w:val="contextualspellingandgrammarerror"/>
    <w:basedOn w:val="Domylnaczcionkaakapitu"/>
    <w:rsid w:val="007D2A6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A6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2A65"/>
    <w:pPr>
      <w:spacing w:before="0" w:after="120" w:line="480" w:lineRule="auto"/>
    </w:pPr>
    <w:rPr>
      <w:sz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2A65"/>
    <w:rPr>
      <w:rFonts w:ascii="Times New Roman" w:hAnsi="Times New Roman"/>
      <w:lang w:val="en-GB"/>
    </w:rPr>
  </w:style>
  <w:style w:type="paragraph" w:customStyle="1" w:styleId="EndNoteBibliographyTitle">
    <w:name w:val="EndNote Bibliography Title"/>
    <w:basedOn w:val="Normalny"/>
    <w:link w:val="EndNoteBibliographyTitleZnak"/>
    <w:rsid w:val="007D2A65"/>
    <w:pPr>
      <w:spacing w:before="0" w:after="0" w:line="480" w:lineRule="auto"/>
      <w:jc w:val="center"/>
    </w:pPr>
    <w:rPr>
      <w:rFonts w:cs="Times New Roman"/>
      <w:noProof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7D2A6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ny"/>
    <w:link w:val="EndNoteBibliographyZnak"/>
    <w:rsid w:val="007D2A65"/>
    <w:pPr>
      <w:spacing w:before="0" w:after="160" w:line="480" w:lineRule="auto"/>
      <w:jc w:val="both"/>
    </w:pPr>
    <w:rPr>
      <w:rFonts w:cs="Times New Roman"/>
      <w:noProof/>
    </w:rPr>
  </w:style>
  <w:style w:type="character" w:customStyle="1" w:styleId="EndNoteBibliographyZnak">
    <w:name w:val="EndNote Bibliography Znak"/>
    <w:basedOn w:val="Domylnaczcionkaakapitu"/>
    <w:link w:val="EndNoteBibliography"/>
    <w:rsid w:val="007D2A65"/>
    <w:rPr>
      <w:rFonts w:ascii="Times New Roman" w:hAnsi="Times New Roman" w:cs="Times New Roman"/>
      <w:noProof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A6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TML-kod">
    <w:name w:val="HTML Code"/>
    <w:basedOn w:val="Domylnaczcionkaakapitu"/>
    <w:uiPriority w:val="99"/>
    <w:semiHidden/>
    <w:unhideWhenUsed/>
    <w:rsid w:val="007D2A65"/>
    <w:rPr>
      <w:rFonts w:ascii="Courier New" w:eastAsia="Times New Roman" w:hAnsi="Courier New" w:cs="Courier New"/>
      <w:sz w:val="20"/>
      <w:szCs w:val="20"/>
    </w:rPr>
  </w:style>
  <w:style w:type="character" w:customStyle="1" w:styleId="co">
    <w:name w:val="co"/>
    <w:basedOn w:val="Domylnaczcionkaakapitu"/>
    <w:rsid w:val="007D2A6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2A6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D2A6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D2A65"/>
    <w:rPr>
      <w:color w:val="605E5C"/>
      <w:shd w:val="clear" w:color="auto" w:fill="E1DFDD"/>
    </w:rPr>
  </w:style>
  <w:style w:type="paragraph" w:customStyle="1" w:styleId="dx-doi">
    <w:name w:val="dx-doi"/>
    <w:basedOn w:val="Normalny"/>
    <w:rsid w:val="007D2A65"/>
    <w:pPr>
      <w:spacing w:before="100" w:beforeAutospacing="1" w:after="100" w:afterAutospacing="1"/>
    </w:pPr>
    <w:rPr>
      <w:rFonts w:eastAsia="Times New Roman" w:cs="Times New Roman"/>
      <w:szCs w:val="24"/>
      <w:lang w:val="pl-PL" w:eastAsia="pl-PL"/>
    </w:rPr>
  </w:style>
  <w:style w:type="paragraph" w:customStyle="1" w:styleId="Default">
    <w:name w:val="Default"/>
    <w:rsid w:val="007D2A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7D2A65"/>
    <w:rPr>
      <w:rFonts w:cs="Times New Roman"/>
      <w:color w:val="auto"/>
    </w:rPr>
  </w:style>
  <w:style w:type="character" w:customStyle="1" w:styleId="citation-url">
    <w:name w:val="citation-url"/>
    <w:basedOn w:val="Domylnaczcionkaakapitu"/>
    <w:rsid w:val="007D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i.org/10.1016/j.paid.2016.06.06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oi.org/10.1037//0033-2909.112.1.15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i.org/10.3389/fpsyg.2019.0081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updates\frontiers_template.dotx</Template>
  <TotalTime>12</TotalTime>
  <Pages>3</Pages>
  <Words>754</Words>
  <Characters>3903</Characters>
  <Application>Microsoft Office Word</Application>
  <DocSecurity>0</DocSecurity>
  <Lines>63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Tamara Walczak</cp:lastModifiedBy>
  <cp:revision>5</cp:revision>
  <cp:lastPrinted>2013-10-03T12:51:00Z</cp:lastPrinted>
  <dcterms:created xsi:type="dcterms:W3CDTF">2023-11-29T10:15:00Z</dcterms:created>
  <dcterms:modified xsi:type="dcterms:W3CDTF">2023-11-29T11:40:00Z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