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8342464" w14:textId="77777777" w:rsidR="001251CB" w:rsidRPr="001251CB" w:rsidRDefault="001251CB" w:rsidP="001251CB">
      <w:pPr>
        <w:pStyle w:val="ListParagraph"/>
        <w:numPr>
          <w:ilvl w:val="0"/>
          <w:numId w:val="20"/>
        </w:numPr>
        <w:spacing w:before="240"/>
        <w:contextualSpacing w:val="0"/>
        <w:outlineLvl w:val="0"/>
        <w:rPr>
          <w:b/>
          <w:vanish/>
          <w:lang w:val="en-CA"/>
        </w:rPr>
      </w:pPr>
    </w:p>
    <w:p w14:paraId="6F675D16" w14:textId="77777777" w:rsidR="001251CB" w:rsidRPr="001251CB" w:rsidRDefault="001251CB" w:rsidP="001251CB">
      <w:pPr>
        <w:pStyle w:val="ListParagraph"/>
        <w:numPr>
          <w:ilvl w:val="0"/>
          <w:numId w:val="20"/>
        </w:numPr>
        <w:spacing w:before="240"/>
        <w:contextualSpacing w:val="0"/>
        <w:outlineLvl w:val="0"/>
        <w:rPr>
          <w:b/>
          <w:vanish/>
          <w:lang w:val="en-CA"/>
        </w:rPr>
      </w:pPr>
    </w:p>
    <w:p w14:paraId="04AEC136" w14:textId="77777777" w:rsidR="001251CB" w:rsidRPr="001251CB" w:rsidRDefault="001251CB" w:rsidP="001251CB">
      <w:pPr>
        <w:pStyle w:val="ListParagraph"/>
        <w:numPr>
          <w:ilvl w:val="0"/>
          <w:numId w:val="20"/>
        </w:numPr>
        <w:spacing w:before="240"/>
        <w:contextualSpacing w:val="0"/>
        <w:outlineLvl w:val="0"/>
        <w:rPr>
          <w:b/>
          <w:vanish/>
          <w:lang w:val="en-CA"/>
        </w:rPr>
      </w:pPr>
    </w:p>
    <w:p w14:paraId="36C385CA" w14:textId="77777777" w:rsidR="001251CB" w:rsidRPr="001251CB" w:rsidRDefault="001251CB" w:rsidP="001251CB">
      <w:pPr>
        <w:pStyle w:val="ListParagraph"/>
        <w:numPr>
          <w:ilvl w:val="0"/>
          <w:numId w:val="20"/>
        </w:numPr>
        <w:spacing w:before="240"/>
        <w:contextualSpacing w:val="0"/>
        <w:outlineLvl w:val="0"/>
        <w:rPr>
          <w:b/>
          <w:vanish/>
          <w:lang w:val="en-CA"/>
        </w:rPr>
      </w:pPr>
    </w:p>
    <w:p w14:paraId="589CA60C" w14:textId="77777777" w:rsidR="001251CB" w:rsidRPr="001251CB" w:rsidRDefault="001251CB" w:rsidP="001251CB">
      <w:pPr>
        <w:pStyle w:val="ListParagraph"/>
        <w:numPr>
          <w:ilvl w:val="1"/>
          <w:numId w:val="20"/>
        </w:numPr>
        <w:spacing w:before="240" w:after="200"/>
        <w:contextualSpacing w:val="0"/>
        <w:outlineLvl w:val="1"/>
        <w:rPr>
          <w:b/>
          <w:vanish/>
          <w:lang w:val="en-CA"/>
        </w:rPr>
      </w:pPr>
    </w:p>
    <w:p w14:paraId="2F0760AB" w14:textId="77777777" w:rsidR="001251CB" w:rsidRPr="001251CB" w:rsidRDefault="001251CB" w:rsidP="001251CB">
      <w:pPr>
        <w:pStyle w:val="ListParagraph"/>
        <w:numPr>
          <w:ilvl w:val="1"/>
          <w:numId w:val="20"/>
        </w:numPr>
        <w:spacing w:before="240" w:after="200"/>
        <w:contextualSpacing w:val="0"/>
        <w:outlineLvl w:val="1"/>
        <w:rPr>
          <w:b/>
          <w:vanish/>
          <w:lang w:val="en-CA"/>
        </w:rPr>
      </w:pPr>
    </w:p>
    <w:p w14:paraId="291D2E76" w14:textId="77777777" w:rsidR="001251CB" w:rsidRPr="001251CB" w:rsidRDefault="001251CB" w:rsidP="001251CB">
      <w:pPr>
        <w:pStyle w:val="ListParagraph"/>
        <w:numPr>
          <w:ilvl w:val="1"/>
          <w:numId w:val="20"/>
        </w:numPr>
        <w:spacing w:before="240" w:after="200"/>
        <w:contextualSpacing w:val="0"/>
        <w:outlineLvl w:val="1"/>
        <w:rPr>
          <w:b/>
          <w:vanish/>
          <w:lang w:val="en-CA"/>
        </w:rPr>
      </w:pPr>
    </w:p>
    <w:p w14:paraId="66D04A0C" w14:textId="49144162" w:rsidR="001251CB" w:rsidRPr="001251CB" w:rsidRDefault="001251CB" w:rsidP="007F2E82">
      <w:pPr>
        <w:pStyle w:val="Heading4"/>
        <w:rPr>
          <w:lang w:val="en-CA"/>
        </w:rPr>
      </w:pPr>
      <w:r w:rsidRPr="001251CB">
        <w:rPr>
          <w:lang w:val="en-CA"/>
        </w:rPr>
        <w:t>Simulating CTP Data</w:t>
      </w:r>
    </w:p>
    <w:p w14:paraId="5FB59349" w14:textId="45AB0AB9" w:rsidR="001251CB" w:rsidRDefault="001251CB" w:rsidP="001251CB">
      <w:pPr>
        <w:rPr>
          <w:lang w:val="en-CA" w:eastAsia="ko-KR"/>
        </w:rPr>
      </w:pPr>
      <w:r>
        <w:rPr>
          <w:lang w:val="en-CA" w:eastAsia="ko-KR"/>
        </w:rPr>
        <w:t>Tissue TDCs were simulated by convolving a patient arterial TDC with various simulated flow-scaled IRFs as in Equation</w:t>
      </w:r>
      <w:r w:rsidR="007F2E82">
        <w:rPr>
          <w:lang w:val="en-CA" w:eastAsia="ko-KR"/>
        </w:rPr>
        <w:t xml:space="preserve"> (4.1)</w:t>
      </w:r>
      <w:r>
        <w:rPr>
          <w:lang w:val="en-CA" w:eastAsia="ko-KR"/>
        </w:rPr>
        <w:t>. The IRF was modeled by a gamma-variate function: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4" w:type="dxa"/>
          <w:bottom w:w="74" w:type="dxa"/>
        </w:tblCellMar>
        <w:tblLook w:val="04A0" w:firstRow="1" w:lastRow="0" w:firstColumn="1" w:lastColumn="0" w:noHBand="0" w:noVBand="1"/>
      </w:tblPr>
      <w:tblGrid>
        <w:gridCol w:w="1101"/>
        <w:gridCol w:w="6662"/>
        <w:gridCol w:w="1093"/>
      </w:tblGrid>
      <w:tr w:rsidR="001251CB" w:rsidRPr="009A6514" w14:paraId="0A3187F3" w14:textId="77777777" w:rsidTr="00C315F2">
        <w:trPr>
          <w:jc w:val="center"/>
        </w:trPr>
        <w:tc>
          <w:tcPr>
            <w:tcW w:w="1101" w:type="dxa"/>
            <w:vAlign w:val="center"/>
          </w:tcPr>
          <w:p w14:paraId="53E04B0F" w14:textId="77777777" w:rsidR="001251CB" w:rsidRPr="009A6514" w:rsidRDefault="001251CB" w:rsidP="00C315F2"/>
        </w:tc>
        <w:tc>
          <w:tcPr>
            <w:tcW w:w="6662" w:type="dxa"/>
            <w:vAlign w:val="center"/>
          </w:tcPr>
          <w:p w14:paraId="5EAC5BBC" w14:textId="77777777" w:rsidR="001251CB" w:rsidRPr="009A6514" w:rsidRDefault="001251CB" w:rsidP="00C315F2">
            <m:oMathPara>
              <m:oMath>
                <m:sSubSup>
                  <m:sSubSupPr>
                    <m:ctrlPr>
                      <w:rPr>
                        <w:rFonts w:ascii="Cambria Math" w:hAnsi="Cambria Math"/>
                        <w:i/>
                      </w:rPr>
                    </m:ctrlPr>
                  </m:sSubSupPr>
                  <m:e>
                    <m:r>
                      <w:rPr>
                        <w:rFonts w:ascii="Cambria Math" w:hAnsi="Cambria Math"/>
                      </w:rPr>
                      <m:t>R</m:t>
                    </m:r>
                  </m:e>
                  <m:sub>
                    <m:r>
                      <w:rPr>
                        <w:rFonts w:ascii="Cambria Math" w:hAnsi="Cambria Math"/>
                      </w:rPr>
                      <m:t>F</m:t>
                    </m:r>
                  </m:sub>
                  <m:sup>
                    <m:r>
                      <w:rPr>
                        <w:rFonts w:ascii="Cambria Math" w:hAnsi="Cambria Math"/>
                      </w:rPr>
                      <m:t>GV</m:t>
                    </m:r>
                  </m:sup>
                </m:sSubSup>
                <m:d>
                  <m:dPr>
                    <m:ctrlPr>
                      <w:rPr>
                        <w:rFonts w:ascii="Cambria Math" w:hAnsi="Cambria Math"/>
                        <w:i/>
                      </w:rPr>
                    </m:ctrlPr>
                  </m:dPr>
                  <m:e>
                    <m:r>
                      <w:rPr>
                        <w:rFonts w:ascii="Cambria Math" w:hAnsi="Cambria Math"/>
                      </w:rPr>
                      <m:t>t</m:t>
                    </m:r>
                  </m:e>
                </m:d>
                <m:r>
                  <w:rPr>
                    <w:rFonts w:ascii="Cambria Math" w:hAnsi="Cambria Math"/>
                  </w:rPr>
                  <m:t>=F</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num>
                          <m:den>
                            <m:sSub>
                              <m:sSubPr>
                                <m:ctrlPr>
                                  <w:rPr>
                                    <w:rFonts w:ascii="Cambria Math" w:hAnsi="Cambria Math"/>
                                    <w:i/>
                                  </w:rPr>
                                </m:ctrlPr>
                              </m:sSubPr>
                              <m:e>
                                <m:r>
                                  <w:rPr>
                                    <w:rFonts w:ascii="Cambria Math" w:hAnsi="Cambria Math"/>
                                  </w:rPr>
                                  <m:t>T</m:t>
                                </m:r>
                              </m:e>
                              <m:sub>
                                <m:r>
                                  <w:rPr>
                                    <w:rFonts w:ascii="Cambria Math" w:hAnsi="Cambria Math"/>
                                  </w:rPr>
                                  <m:t>max</m:t>
                                </m:r>
                              </m:sub>
                            </m:sSub>
                          </m:den>
                        </m:f>
                      </m:e>
                    </m:d>
                  </m:e>
                  <m:sup>
                    <m:r>
                      <w:rPr>
                        <w:rFonts w:ascii="Cambria Math" w:hAnsi="Cambria Math"/>
                      </w:rPr>
                      <m:t>α</m:t>
                    </m:r>
                  </m:sup>
                </m:sSup>
                <m:sSup>
                  <m:sSupPr>
                    <m:ctrlPr>
                      <w:rPr>
                        <w:rFonts w:ascii="Cambria Math" w:hAnsi="Cambria Math"/>
                        <w:i/>
                      </w:rPr>
                    </m:ctrlPr>
                  </m:sSupPr>
                  <m:e>
                    <m:r>
                      <w:rPr>
                        <w:rFonts w:ascii="Cambria Math" w:hAnsi="Cambria Math"/>
                      </w:rPr>
                      <m:t>e</m:t>
                    </m:r>
                  </m:e>
                  <m:sup>
                    <m:r>
                      <w:rPr>
                        <w:rFonts w:ascii="Cambria Math" w:hAnsi="Cambria Math"/>
                      </w:rPr>
                      <m:t>-α</m:t>
                    </m:r>
                    <m:d>
                      <m:dPr>
                        <m:ctrlPr>
                          <w:rPr>
                            <w:rFonts w:ascii="Cambria Math" w:hAnsi="Cambria Math"/>
                            <w:i/>
                          </w:rPr>
                        </m:ctrlPr>
                      </m:dPr>
                      <m:e>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num>
                          <m:den>
                            <m:sSub>
                              <m:sSubPr>
                                <m:ctrlPr>
                                  <w:rPr>
                                    <w:rFonts w:ascii="Cambria Math" w:hAnsi="Cambria Math"/>
                                    <w:i/>
                                  </w:rPr>
                                </m:ctrlPr>
                              </m:sSubPr>
                              <m:e>
                                <m:r>
                                  <w:rPr>
                                    <w:rFonts w:ascii="Cambria Math" w:hAnsi="Cambria Math"/>
                                  </w:rPr>
                                  <m:t>T</m:t>
                                </m:r>
                              </m:e>
                              <m:sub>
                                <m:r>
                                  <w:rPr>
                                    <w:rFonts w:ascii="Cambria Math" w:hAnsi="Cambria Math"/>
                                  </w:rPr>
                                  <m:t>max</m:t>
                                </m:r>
                              </m:sub>
                            </m:sSub>
                          </m:den>
                        </m:f>
                        <m:r>
                          <w:rPr>
                            <w:rFonts w:ascii="Cambria Math" w:hAnsi="Cambria Math"/>
                          </w:rPr>
                          <m:t>-1</m:t>
                        </m:r>
                      </m:e>
                    </m:d>
                  </m:sup>
                </m:sSup>
                <m:r>
                  <w:rPr>
                    <w:rFonts w:ascii="Cambria Math" w:hAnsi="Cambria Math"/>
                  </w:rPr>
                  <m:t>U</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 xml:space="preserve"> </m:t>
                </m:r>
              </m:oMath>
            </m:oMathPara>
          </w:p>
        </w:tc>
        <w:tc>
          <w:tcPr>
            <w:tcW w:w="1093" w:type="dxa"/>
            <w:vAlign w:val="center"/>
          </w:tcPr>
          <w:p w14:paraId="15481A9C" w14:textId="4DC73F50" w:rsidR="001251CB" w:rsidRPr="00920F9F" w:rsidRDefault="001251CB" w:rsidP="00C315F2">
            <w:pPr>
              <w:pStyle w:val="Caption"/>
              <w:rPr>
                <w:b w:val="0"/>
                <w:bCs w:val="0"/>
              </w:rPr>
            </w:pPr>
          </w:p>
        </w:tc>
      </w:tr>
    </w:tbl>
    <w:p w14:paraId="29392E60" w14:textId="77777777" w:rsidR="001251CB" w:rsidRDefault="001251CB" w:rsidP="001251CB">
      <w:pPr>
        <w:rPr>
          <w:rFonts w:eastAsiaTheme="minorEastAsia"/>
          <w:lang w:val="en-CA" w:eastAsia="ko-KR"/>
        </w:rPr>
      </w:pPr>
      <w:r>
        <w:rPr>
          <w:lang w:val="en-CA" w:eastAsia="ko-KR"/>
        </w:rPr>
        <w:t xml:space="preserve">where </w:t>
      </w:r>
      <m:oMath>
        <m:sSub>
          <m:sSubPr>
            <m:ctrlPr>
              <w:rPr>
                <w:rFonts w:ascii="Cambria Math" w:hAnsi="Cambria Math"/>
                <w:i/>
                <w:lang w:val="en-CA" w:eastAsia="ko-KR"/>
              </w:rPr>
            </m:ctrlPr>
          </m:sSubPr>
          <m:e>
            <m:r>
              <w:rPr>
                <w:rFonts w:ascii="Cambria Math" w:hAnsi="Cambria Math"/>
                <w:lang w:val="en-CA" w:eastAsia="ko-KR"/>
              </w:rPr>
              <m:t>T</m:t>
            </m:r>
          </m:e>
          <m:sub>
            <m:r>
              <w:rPr>
                <w:rFonts w:ascii="Cambria Math" w:hAnsi="Cambria Math"/>
                <w:lang w:val="en-CA" w:eastAsia="ko-KR"/>
              </w:rPr>
              <m:t>max</m:t>
            </m:r>
          </m:sub>
        </m:sSub>
      </m:oMath>
      <w:r>
        <w:rPr>
          <w:rFonts w:eastAsiaTheme="minorEastAsia"/>
          <w:lang w:val="en-CA" w:eastAsia="ko-KR"/>
        </w:rPr>
        <w:t xml:space="preserve"> is the time-to-maximum of the IRF and in this study was fixed to</w:t>
      </w:r>
      <w:r>
        <w:rPr>
          <w:lang w:val="en-CA" w:eastAsia="ko-KR"/>
        </w:rPr>
        <w:t xml:space="preserve"> </w:t>
      </w:r>
      <m:oMath>
        <m:sSub>
          <m:sSubPr>
            <m:ctrlPr>
              <w:rPr>
                <w:rFonts w:ascii="Cambria Math" w:hAnsi="Cambria Math"/>
                <w:i/>
                <w:lang w:val="en-CA" w:eastAsia="ko-KR"/>
              </w:rPr>
            </m:ctrlPr>
          </m:sSubPr>
          <m:e>
            <m:r>
              <w:rPr>
                <w:rFonts w:ascii="Cambria Math" w:hAnsi="Cambria Math"/>
                <w:lang w:val="en-CA" w:eastAsia="ko-KR"/>
              </w:rPr>
              <m:t>T</m:t>
            </m:r>
          </m:e>
          <m:sub>
            <m:r>
              <w:rPr>
                <w:rFonts w:ascii="Cambria Math" w:hAnsi="Cambria Math"/>
                <w:lang w:val="en-CA" w:eastAsia="ko-KR"/>
              </w:rPr>
              <m:t>max</m:t>
            </m:r>
          </m:sub>
        </m:sSub>
        <m:r>
          <w:rPr>
            <w:rFonts w:ascii="Cambria Math" w:hAnsi="Cambria Math"/>
            <w:lang w:val="en-CA" w:eastAsia="ko-KR"/>
          </w:rPr>
          <m:t>=</m:t>
        </m:r>
        <m:sSub>
          <m:sSubPr>
            <m:ctrlPr>
              <w:rPr>
                <w:rFonts w:ascii="Cambria Math" w:hAnsi="Cambria Math"/>
                <w:i/>
                <w:lang w:val="en-CA" w:eastAsia="ko-KR"/>
              </w:rPr>
            </m:ctrlPr>
          </m:sSubPr>
          <m:e>
            <m:r>
              <w:rPr>
                <w:rFonts w:ascii="Cambria Math" w:hAnsi="Cambria Math"/>
                <w:lang w:val="en-CA" w:eastAsia="ko-KR"/>
              </w:rPr>
              <m:t>T</m:t>
            </m:r>
          </m:e>
          <m:sub>
            <m:r>
              <w:rPr>
                <w:rFonts w:ascii="Cambria Math" w:hAnsi="Cambria Math"/>
                <w:lang w:val="en-CA" w:eastAsia="ko-KR"/>
              </w:rPr>
              <m:t>0</m:t>
            </m:r>
          </m:sub>
        </m:sSub>
        <m:r>
          <w:rPr>
            <w:rFonts w:ascii="Cambria Math" w:hAnsi="Cambria Math"/>
            <w:lang w:val="en-CA" w:eastAsia="ko-KR"/>
          </w:rPr>
          <m:t>+0.5MTT</m:t>
        </m:r>
      </m:oMath>
      <w:r>
        <w:rPr>
          <w:lang w:val="en-CA" w:eastAsia="ko-KR"/>
        </w:rPr>
        <w:t xml:space="preserve"> to reduce the number of free parameters, and </w:t>
      </w:r>
      <m:oMath>
        <m:r>
          <w:rPr>
            <w:rFonts w:ascii="Cambria Math" w:hAnsi="Cambria Math"/>
            <w:lang w:val="en-CA" w:eastAsia="ko-KR"/>
          </w:rPr>
          <m:t>α</m:t>
        </m:r>
      </m:oMath>
      <w:r>
        <w:rPr>
          <w:rFonts w:eastAsiaTheme="minorEastAsia"/>
          <w:lang w:val="en-CA" w:eastAsia="ko-KR"/>
        </w:rPr>
        <w:t xml:space="preserve"> is an exponential shape parameter that affects the MTT. </w:t>
      </w:r>
      <w:r>
        <w:rPr>
          <w:lang w:val="en-CA" w:eastAsia="ko-KR"/>
        </w:rPr>
        <w:t xml:space="preserve">A gamma-variate function was chosen to be different to the IRF shape of the model-dependent deconvolution methods and avoid providing an advantage to these methods. A total of 392 sets of perfusion parameters were tested: seven values of </w:t>
      </w:r>
      <m:oMath>
        <m:sSub>
          <m:sSubPr>
            <m:ctrlPr>
              <w:rPr>
                <w:rFonts w:ascii="Cambria Math" w:hAnsi="Cambria Math"/>
                <w:i/>
                <w:lang w:val="en-CA" w:eastAsia="ko-KR"/>
              </w:rPr>
            </m:ctrlPr>
          </m:sSubPr>
          <m:e>
            <m:r>
              <w:rPr>
                <w:rFonts w:ascii="Cambria Math" w:hAnsi="Cambria Math"/>
                <w:lang w:val="en-CA" w:eastAsia="ko-KR"/>
              </w:rPr>
              <m:t>T</m:t>
            </m:r>
          </m:e>
          <m:sub>
            <m:r>
              <w:rPr>
                <w:rFonts w:ascii="Cambria Math" w:hAnsi="Cambria Math"/>
                <w:lang w:val="en-CA" w:eastAsia="ko-KR"/>
              </w:rPr>
              <m:t>0</m:t>
            </m:r>
          </m:sub>
        </m:sSub>
      </m:oMath>
      <w:r>
        <w:rPr>
          <w:rFonts w:eastAsiaTheme="minorEastAsia"/>
          <w:lang w:val="en-CA" w:eastAsia="ko-KR"/>
        </w:rPr>
        <w:t xml:space="preserve"> (0.0, 0.5, 1.0, 2.0, 3.0, 4.0, 8.0 s), seven of MTT (16.0, 12.0, 10.0, 8.0, 6.0, 4.0, 3.4 s), and eight of CBV (0.5, 1.0, 1.5, 2.0, 2.5, 3.0, 4.0, 5.0 ml/100 g). CBF was then calculated by the Central Volume Principle as in Equation </w:t>
      </w:r>
      <w:r>
        <w:rPr>
          <w:rFonts w:eastAsiaTheme="minorEastAsia"/>
          <w:lang w:val="en-CA" w:eastAsia="ko-KR"/>
        </w:rPr>
        <w:fldChar w:fldCharType="begin"/>
      </w:r>
      <w:r>
        <w:rPr>
          <w:rFonts w:eastAsiaTheme="minorEastAsia"/>
          <w:lang w:val="en-CA" w:eastAsia="ko-KR"/>
        </w:rPr>
        <w:instrText xml:space="preserve"> REF _Ref118841127 \h </w:instrText>
      </w:r>
      <w:r>
        <w:rPr>
          <w:rFonts w:eastAsiaTheme="minorEastAsia"/>
          <w:lang w:val="en-CA" w:eastAsia="ko-KR"/>
        </w:rPr>
      </w:r>
      <w:r>
        <w:rPr>
          <w:rFonts w:eastAsiaTheme="minorEastAsia"/>
          <w:lang w:val="en-CA" w:eastAsia="ko-KR"/>
        </w:rPr>
        <w:fldChar w:fldCharType="separate"/>
      </w:r>
      <w:r w:rsidRPr="004B7EE2">
        <w:t>(</w:t>
      </w:r>
      <w:r>
        <w:rPr>
          <w:noProof/>
        </w:rPr>
        <w:t>3</w:t>
      </w:r>
      <w:r>
        <w:t>.</w:t>
      </w:r>
      <w:r>
        <w:rPr>
          <w:noProof/>
        </w:rPr>
        <w:t>7</w:t>
      </w:r>
      <w:r>
        <w:rPr>
          <w:rFonts w:eastAsiaTheme="minorEastAsia"/>
          <w:lang w:val="en-CA" w:eastAsia="ko-KR"/>
        </w:rPr>
        <w:fldChar w:fldCharType="end"/>
      </w:r>
      <w:r>
        <w:rPr>
          <w:rFonts w:eastAsiaTheme="minorEastAsia"/>
          <w:lang w:val="en-CA" w:eastAsia="ko-KR"/>
        </w:rPr>
        <w:t xml:space="preserve">) and ranged from 1.9 to 88.2 ml/min/100 g. To minimize discretization errors, convolution was computed at 0.001 s sampling interval by linearly interpolating the arterial TDC and natively simulating the flow-scaled IRF at this fine interval. </w:t>
      </w:r>
    </w:p>
    <w:p w14:paraId="11B4DC17" w14:textId="1930366D" w:rsidR="001251CB" w:rsidRPr="009C2F64" w:rsidRDefault="001251CB" w:rsidP="001251CB">
      <w:pPr>
        <w:rPr>
          <w:rFonts w:eastAsiaTheme="minorEastAsia"/>
          <w:lang w:val="en-CA" w:eastAsia="ko-KR"/>
        </w:rPr>
      </w:pPr>
      <w:r>
        <w:rPr>
          <w:rFonts w:eastAsiaTheme="minorEastAsia"/>
          <w:lang w:val="en-CA" w:eastAsia="ko-KR"/>
        </w:rPr>
        <w:t xml:space="preserve">Zero-mean Gaussian noise was added to the synthetic tissue TDCs to simulate noisy conditions expected in CTP. Two noise levels were investigated: </w:t>
      </w:r>
      <m:oMath>
        <m:r>
          <w:rPr>
            <w:rFonts w:ascii="Cambria Math" w:eastAsiaTheme="minorEastAsia" w:hAnsi="Cambria Math"/>
            <w:lang w:val="en-CA" w:eastAsia="ko-KR"/>
          </w:rPr>
          <m:t>σ=2.5</m:t>
        </m:r>
      </m:oMath>
      <w:r>
        <w:rPr>
          <w:rFonts w:eastAsiaTheme="minorEastAsia"/>
          <w:lang w:val="en-CA" w:eastAsia="ko-KR"/>
        </w:rPr>
        <w:t xml:space="preserve"> and </w:t>
      </w:r>
      <m:oMath>
        <m:r>
          <w:rPr>
            <w:rFonts w:ascii="Cambria Math" w:eastAsiaTheme="minorEastAsia" w:hAnsi="Cambria Math"/>
            <w:lang w:val="en-CA" w:eastAsia="ko-KR"/>
          </w:rPr>
          <m:t>5.0</m:t>
        </m:r>
      </m:oMath>
      <w:r>
        <w:rPr>
          <w:rFonts w:eastAsiaTheme="minorEastAsia"/>
          <w:lang w:val="en-CA" w:eastAsia="ko-KR"/>
        </w:rPr>
        <w:t xml:space="preserve"> HU. The former is the noise level expected after standard Gaussian smoothing of dynamic CTP images acquired at a standard brain protocol (80 kV, 100 </w:t>
      </w:r>
      <w:proofErr w:type="spellStart"/>
      <w:r>
        <w:rPr>
          <w:rFonts w:eastAsiaTheme="minorEastAsia"/>
          <w:lang w:val="en-CA" w:eastAsia="ko-KR"/>
        </w:rPr>
        <w:t>mAs</w:t>
      </w:r>
      <w:proofErr w:type="spellEnd"/>
      <w:r>
        <w:rPr>
          <w:rFonts w:eastAsiaTheme="minorEastAsia"/>
          <w:lang w:val="en-CA" w:eastAsia="ko-KR"/>
        </w:rPr>
        <w:t>),</w:t>
      </w:r>
      <w:r>
        <w:rPr>
          <w:rFonts w:eastAsiaTheme="minorEastAsia"/>
          <w:lang w:val="en-CA" w:eastAsia="ko-KR"/>
        </w:rPr>
        <w:fldChar w:fldCharType="begin"/>
      </w:r>
      <w:r>
        <w:rPr>
          <w:rFonts w:eastAsiaTheme="minorEastAsia"/>
          <w:lang w:val="en-CA" w:eastAsia="ko-KR"/>
        </w:rPr>
        <w:instrText xml:space="preserve"> ADDIN ZOTERO_ITEM CSL_CITATION {"citationID":"gVh339KK","properties":{"formattedCitation":"\\super 93\\nosupersub{}","plainCitation":"93","noteIndex":0},"citationItems":[{"id":2733,"uris":["http://zotero.org/users/5458253/items/F3NLD252"],"itemData":{"id":2733,"type":"article-journal","abstract":"Objective: CTP is an important diagnostic tool in managing patients with acute ischemic stroke, but challenges persist in the reliability of stroke lesion volumes determined with different software. We investigated a systematic method to calibrate CTP lesion thresholds between deconvolution algorithms using a digital perfusion phantom. Approach: The accuracy of one model-independent and two model-based deconvolution algorithms in estimating ground truth cerebral blood flow (CBF) and Tmax in the phantom was quantified. Reference thresholds for ischemic core and penumbra were model-independent CBF&lt;30% and Tmax&gt;6 s, respectively, which is the current clinical standard. The equivalent model-based CBF and Tmax thresholds were determined by comparing linear regressions of phantom ground truth and deconvolution-estimated perfusion between algorithms. Calibrated thresholds were then validated in 63 patients with large vessel stroke by comparing admission CTP ischemic co</w:instrText>
      </w:r>
      <w:r>
        <w:rPr>
          <w:rFonts w:eastAsiaTheme="minorEastAsia" w:hint="eastAsia"/>
          <w:lang w:val="en-CA" w:eastAsia="ko-KR"/>
        </w:rPr>
        <w:instrText xml:space="preserve">re and &lt;3-hour diffusion-weighted imaging (DWI) lesion volume by Bland-Altman analysis. Agreement in target mismatch (core &lt; 70 ml, penumbra ≥ 15 ml, mismatch ratio ≥ 1.8) determined by the three methods was assessed by Cohen's kappa (κ) and concordance. </w:instrText>
      </w:r>
      <w:r>
        <w:rPr>
          <w:rFonts w:eastAsiaTheme="minorEastAsia"/>
          <w:lang w:val="en-CA" w:eastAsia="ko-KR"/>
        </w:rPr>
        <w:instrText xml:space="preserve">Main Results: The calibrated thresholds were CBF&lt;15% and Tmax&gt;6 s for both model-based methods. DWI minus CTP lesion mean volume differences (95% limits of agreement) were +16.2 (-30.9 to 63.3) ml, +10.9 (-32.9 to 54.7) ml, and +13.8 (-48.1 to 75.7) ml for model-independent and the two calibrated model-based approaches, respectively. Agreement in mismatch profiles with the two model-based deconvolution methods versus model-independent assessment was κ = 0.87 (95% confidence interval [CI]: 0.72 to 1.00) and κ = 0.86 (95% CI: 0.70 to 1.00), and both achieved 95% concordance. Significance: We reported a systematic method of calibrating perfusion thresholds between deconvolution algorithms based on their quantitative accuracy. This may harmonize ischemic lesion volumes determined by different CTP software.","container-title":"medRxiv","DOI":"10.1101/2022.11.17.22282418","language":"en","note":"DOI: 10.1101/2022.11.17.22282418","source":"DOI.org (Crossref)","title":"CT perfusion stroke lesion threshold calibration between deconvolution algorithms","URL":"http://medrxiv.org/lookup/doi/10.1101/2022.11.17.22282418","author":[{"family":"Chung","given":"Kevin J"},{"family":"De Sarno","given":"Danny"},{"family":"Lee","given":"Ting-Yim"}],"accessed":{"date-parts":[["2022",11,18]]},"issued":{"date-parts":[["2022",11,18]]}}}],"schema":"https://github.com/citation-style-language/schema/raw/master/csl-citation.json"} </w:instrText>
      </w:r>
      <w:r>
        <w:rPr>
          <w:rFonts w:eastAsiaTheme="minorEastAsia"/>
          <w:lang w:val="en-CA" w:eastAsia="ko-KR"/>
        </w:rPr>
        <w:fldChar w:fldCharType="separate"/>
      </w:r>
      <w:r w:rsidRPr="006C09AA">
        <w:rPr>
          <w:rFonts w:cs="Times New Roman"/>
          <w:szCs w:val="24"/>
          <w:vertAlign w:val="superscript"/>
        </w:rPr>
        <w:t>93</w:t>
      </w:r>
      <w:r>
        <w:rPr>
          <w:rFonts w:eastAsiaTheme="minorEastAsia"/>
          <w:lang w:val="en-CA" w:eastAsia="ko-KR"/>
        </w:rPr>
        <w:fldChar w:fldCharType="end"/>
      </w:r>
      <w:r>
        <w:rPr>
          <w:rFonts w:eastAsiaTheme="minorEastAsia"/>
          <w:lang w:val="en-CA" w:eastAsia="ko-KR"/>
        </w:rPr>
        <w:t xml:space="preserve"> whereas the latter simulated a low-dose CTP protocol (</w:t>
      </w:r>
      <w:r w:rsidRPr="000D364A">
        <w:rPr>
          <w:rFonts w:eastAsiaTheme="minorEastAsia"/>
          <w:lang w:val="en-CA" w:eastAsia="ko-KR"/>
        </w:rPr>
        <w:t>≈</w:t>
      </w:r>
      <w:r>
        <w:rPr>
          <w:rFonts w:eastAsiaTheme="minorEastAsia"/>
          <w:lang w:val="en-CA" w:eastAsia="ko-KR"/>
        </w:rPr>
        <w:t>4</w:t>
      </w:r>
      <m:oMath>
        <m:r>
          <w:rPr>
            <w:rFonts w:ascii="Cambria Math" w:eastAsiaTheme="minorEastAsia" w:hAnsi="Cambria Math"/>
            <w:lang w:val="en-CA" w:eastAsia="ko-KR"/>
          </w:rPr>
          <m:t>×</m:t>
        </m:r>
      </m:oMath>
      <w:r>
        <w:rPr>
          <w:rFonts w:eastAsiaTheme="minorEastAsia"/>
          <w:lang w:val="en-CA" w:eastAsia="ko-KR"/>
        </w:rPr>
        <w:t xml:space="preserve"> dose reduction) to examine the effect of noise (as a surrogate to dose) on the accuracy of deconvolution-estimated perfusion parameters. Each deconvolution algorithm was used to deconvolve the arterial TDC from the tissue TDC to estimate CBF, CBV, and MTT. The model-dependent methods also estimated T0. To compute the mean, standard deviation, and the distribution of estimated parameters across different noise realizations, this experiment was repeated over 4,096 trials. The 4,096 estimated perfusion parameters were then arranged in a 64</w:t>
      </w:r>
      <m:oMath>
        <m:r>
          <w:rPr>
            <w:rFonts w:ascii="Cambria Math" w:eastAsiaTheme="minorEastAsia" w:hAnsi="Cambria Math"/>
            <w:lang w:val="en-CA" w:eastAsia="ko-KR"/>
          </w:rPr>
          <m:t>×</m:t>
        </m:r>
      </m:oMath>
      <w:r>
        <w:rPr>
          <w:rFonts w:eastAsiaTheme="minorEastAsia"/>
          <w:lang w:val="en-CA" w:eastAsia="ko-KR"/>
        </w:rPr>
        <w:t>64 square pattern such that post-deconvolution map filtering could be applied as is performed in many software packages. Only the central 32</w:t>
      </w:r>
      <m:oMath>
        <m:r>
          <w:rPr>
            <w:rFonts w:ascii="Cambria Math" w:eastAsiaTheme="minorEastAsia" w:hAnsi="Cambria Math"/>
            <w:lang w:val="en-CA" w:eastAsia="ko-KR"/>
          </w:rPr>
          <m:t>×</m:t>
        </m:r>
      </m:oMath>
      <w:r>
        <w:rPr>
          <w:rFonts w:eastAsiaTheme="minorEastAsia"/>
          <w:lang w:val="en-CA" w:eastAsia="ko-KR"/>
        </w:rPr>
        <w:t xml:space="preserve">32 (1024) values were used to compute statistics to avoid edge values where filtering is less effective. The 1024 estimated perfusion parameter values were compared against the known ground truth values. For brevity, only the results of CBF are reported. </w:t>
      </w: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1205" w14:textId="77777777" w:rsidR="002A2350" w:rsidRDefault="002A2350" w:rsidP="00117666">
      <w:pPr>
        <w:spacing w:after="0"/>
      </w:pPr>
      <w:r>
        <w:separator/>
      </w:r>
    </w:p>
  </w:endnote>
  <w:endnote w:type="continuationSeparator" w:id="0">
    <w:p w14:paraId="558FDE0D" w14:textId="77777777" w:rsidR="002A2350" w:rsidRDefault="002A235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7497" w14:textId="77777777" w:rsidR="002A2350" w:rsidRDefault="002A2350" w:rsidP="00117666">
      <w:pPr>
        <w:spacing w:after="0"/>
      </w:pPr>
      <w:r>
        <w:separator/>
      </w:r>
    </w:p>
  </w:footnote>
  <w:footnote w:type="continuationSeparator" w:id="0">
    <w:p w14:paraId="533048F9" w14:textId="77777777" w:rsidR="002A2350" w:rsidRDefault="002A235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51CB"/>
    <w:rsid w:val="001549D3"/>
    <w:rsid w:val="00160065"/>
    <w:rsid w:val="00177D84"/>
    <w:rsid w:val="00267D18"/>
    <w:rsid w:val="002868E2"/>
    <w:rsid w:val="002869C3"/>
    <w:rsid w:val="002936E4"/>
    <w:rsid w:val="002A2350"/>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F2E82"/>
    <w:rsid w:val="00803D24"/>
    <w:rsid w:val="00817DD6"/>
    <w:rsid w:val="00885156"/>
    <w:rsid w:val="009151AA"/>
    <w:rsid w:val="0093429D"/>
    <w:rsid w:val="00943573"/>
    <w:rsid w:val="00970F7D"/>
    <w:rsid w:val="0098722A"/>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30F7C"/>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99"/>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Pages>1</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Kevin Jaeyoung Chung</cp:lastModifiedBy>
  <cp:revision>7</cp:revision>
  <cp:lastPrinted>2013-10-03T12:51:00Z</cp:lastPrinted>
  <dcterms:created xsi:type="dcterms:W3CDTF">2022-11-17T16:58:00Z</dcterms:created>
  <dcterms:modified xsi:type="dcterms:W3CDTF">2023-01-08T19:03:00Z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