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34"/>
      </w:pPr>
      <w:bookmarkStart w:id="0" w:name="_Hlk138455458"/>
      <w:r>
        <w:t xml:space="preserve">Role of aggressive locoregional surgery in treatment strategies for ipsilateral supraclavicular lymph node metastasis of breast cancer: a real-world cohort study </w:t>
      </w:r>
    </w:p>
    <w:bookmarkEnd w:id="0"/>
    <w:p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Kexin Feng</w:t>
      </w:r>
      <w:r>
        <w:rPr>
          <w:rFonts w:cs="Times New Roman"/>
          <w:b/>
          <w:szCs w:val="24"/>
          <w:vertAlign w:val="superscript"/>
        </w:rPr>
        <w:t>1†</w:t>
      </w:r>
      <w:r>
        <w:rPr>
          <w:rFonts w:cs="Times New Roman"/>
          <w:b/>
          <w:szCs w:val="24"/>
        </w:rPr>
        <w:t>, Zeyu Xing</w:t>
      </w:r>
      <w:r>
        <w:rPr>
          <w:rFonts w:cs="Times New Roman"/>
          <w:b/>
          <w:szCs w:val="24"/>
          <w:vertAlign w:val="superscript"/>
        </w:rPr>
        <w:t>1†</w:t>
      </w:r>
      <w:r>
        <w:rPr>
          <w:rFonts w:cs="Times New Roman"/>
          <w:b/>
          <w:szCs w:val="24"/>
        </w:rPr>
        <w:t>, Qichen Dai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Han Cheng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  <w:szCs w:val="24"/>
        </w:rPr>
        <w:t>, Yu Tang</w:t>
      </w:r>
      <w:r>
        <w:rPr>
          <w:rFonts w:cs="Times New Roman"/>
          <w:b/>
          <w:szCs w:val="24"/>
          <w:vertAlign w:val="superscript"/>
        </w:rPr>
        <w:t>2</w:t>
      </w:r>
      <w:r>
        <w:rPr>
          <w:rFonts w:cs="Times New Roman"/>
          <w:b/>
        </w:rPr>
        <w:t>*</w:t>
      </w:r>
      <w:r>
        <w:rPr>
          <w:rFonts w:cs="Times New Roman"/>
          <w:b/>
          <w:szCs w:val="24"/>
        </w:rPr>
        <w:t>, Xiang Wang</w:t>
      </w:r>
      <w:r>
        <w:rPr>
          <w:rFonts w:cs="Times New Roman"/>
          <w:b/>
          <w:szCs w:val="24"/>
          <w:vertAlign w:val="superscript"/>
        </w:rPr>
        <w:t>1</w:t>
      </w:r>
      <w:r>
        <w:rPr>
          <w:rFonts w:cs="Times New Roman"/>
          <w:b/>
        </w:rPr>
        <w:t>*</w:t>
      </w:r>
      <w:r>
        <w:rPr>
          <w:rFonts w:cs="Times New Roman"/>
          <w:b/>
          <w:szCs w:val="24"/>
        </w:rPr>
        <w:t xml:space="preserve"> </w:t>
      </w:r>
    </w:p>
    <w:p>
      <w:pPr>
        <w:spacing w:line="480" w:lineRule="auto"/>
        <w:rPr>
          <w:rFonts w:cs="Times New Roman"/>
          <w:szCs w:val="24"/>
        </w:rPr>
      </w:pPr>
      <w:r>
        <w:rPr>
          <w:rFonts w:hint="eastAsia" w:cs="Times New Roman"/>
          <w:szCs w:val="24"/>
        </w:rPr>
        <w:t xml:space="preserve">† </w:t>
      </w:r>
      <w:r>
        <w:rPr>
          <w:rFonts w:cs="Times New Roman"/>
          <w:szCs w:val="24"/>
        </w:rPr>
        <w:t>These authors contributed equally to this work and share first authorship</w:t>
      </w:r>
    </w:p>
    <w:p>
      <w:pPr>
        <w:pStyle w:val="3"/>
        <w:widowControl w:val="0"/>
        <w:numPr>
          <w:ilvl w:val="0"/>
          <w:numId w:val="3"/>
        </w:numPr>
        <w:spacing w:before="0" w:after="0"/>
        <w:contextualSpacing w:val="0"/>
        <w:jc w:val="both"/>
      </w:pPr>
      <w:r>
        <w:t>Department of Breast Surgical Oncology, National Cancer Center/National Clinical Research Center for Cancer/Cancer Hospital, Chinese Academy of Medical Sciences and Peki</w:t>
      </w:r>
      <w:bookmarkStart w:id="3" w:name="_GoBack"/>
      <w:bookmarkEnd w:id="3"/>
      <w:r>
        <w:t>ng Union Medical College, Beijing, 100021, China</w:t>
      </w:r>
    </w:p>
    <w:p>
      <w:pPr>
        <w:pStyle w:val="3"/>
        <w:widowControl w:val="0"/>
        <w:numPr>
          <w:ilvl w:val="0"/>
          <w:numId w:val="3"/>
        </w:numPr>
        <w:spacing w:before="0" w:after="0"/>
        <w:contextualSpacing w:val="0"/>
        <w:jc w:val="both"/>
      </w:pPr>
      <w:r>
        <w:t>GCP center, National Cancer Center/National Clinical Research Center for Cancer/Cancer Hospital, Chinese Academy of Medical Sciences and Peking Union Medical College, Beijing 100021, China</w:t>
      </w:r>
    </w:p>
    <w:p>
      <w:pPr>
        <w:spacing w:after="0"/>
        <w:rPr>
          <w:rFonts w:cs="Times New Roman"/>
          <w:b/>
          <w:szCs w:val="24"/>
        </w:rPr>
      </w:pPr>
    </w:p>
    <w:p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* Correspondence: </w:t>
      </w:r>
    </w:p>
    <w:p>
      <w:pPr>
        <w:spacing w:before="240" w:after="0"/>
        <w:rPr>
          <w:rFonts w:eastAsia="宋体" w:cs="Times New Roman"/>
          <w:bCs/>
          <w:szCs w:val="24"/>
          <w:lang w:eastAsia="zh-CN"/>
        </w:rPr>
      </w:pPr>
      <w:r>
        <w:rPr>
          <w:rFonts w:hint="eastAsia" w:cs="Times New Roman"/>
          <w:bCs/>
          <w:szCs w:val="24"/>
        </w:rPr>
        <w:t>Yu Tang</w:t>
      </w:r>
      <w:r>
        <w:rPr>
          <w:rFonts w:hint="eastAsia" w:eastAsia="宋体" w:cs="Times New Roman"/>
          <w:bCs/>
          <w:szCs w:val="24"/>
          <w:lang w:eastAsia="zh-CN"/>
        </w:rPr>
        <w:t xml:space="preserve">, </w:t>
      </w:r>
      <w:r>
        <w:fldChar w:fldCharType="begin"/>
      </w:r>
      <w:r>
        <w:instrText xml:space="preserve"> HYPERLINK "mailto:tangyu@cicams.an.cn" </w:instrText>
      </w:r>
      <w:r>
        <w:fldChar w:fldCharType="separate"/>
      </w:r>
      <w:r>
        <w:rPr>
          <w:rStyle w:val="28"/>
          <w:rFonts w:hint="eastAsia" w:eastAsia="宋体" w:cs="Times New Roman"/>
          <w:bCs/>
          <w:color w:val="auto"/>
          <w:szCs w:val="24"/>
          <w:u w:val="none"/>
          <w:lang w:eastAsia="zh-CN"/>
        </w:rPr>
        <w:t>tangyu@cicams.an.cn</w:t>
      </w:r>
      <w:r>
        <w:rPr>
          <w:rStyle w:val="28"/>
          <w:rFonts w:hint="eastAsia" w:eastAsia="宋体" w:cs="Times New Roman"/>
          <w:bCs/>
          <w:color w:val="auto"/>
          <w:szCs w:val="24"/>
          <w:u w:val="none"/>
          <w:lang w:eastAsia="zh-CN"/>
        </w:rPr>
        <w:fldChar w:fldCharType="end"/>
      </w:r>
    </w:p>
    <w:p>
      <w:pPr>
        <w:spacing w:before="0" w:after="0"/>
        <w:rPr>
          <w:rFonts w:cs="Times New Roman"/>
          <w:szCs w:val="24"/>
          <w:lang w:eastAsia="zh-CN"/>
        </w:rPr>
      </w:pPr>
      <w:r>
        <w:rPr>
          <w:rFonts w:cs="Times New Roman"/>
          <w:szCs w:val="24"/>
        </w:rPr>
        <w:t>Xiang Wang, xiangw@vip.sina.com</w:t>
      </w:r>
    </w:p>
    <w:p>
      <w:pPr>
        <w:pStyle w:val="34"/>
      </w:pPr>
      <w:r>
        <w:t>Keywords: Breast cancer; supraclavicular lymph node; supraclavicular lymph node dissection (SLND); survival; prognostic factors</w:t>
      </w:r>
    </w:p>
    <w:p/>
    <w:p/>
    <w:p/>
    <w:p/>
    <w:p/>
    <w:p/>
    <w:p/>
    <w:p/>
    <w:p/>
    <w:p/>
    <w:p>
      <w:pPr>
        <w:pStyle w:val="2"/>
      </w:pPr>
      <w:r>
        <w:t>Supplementary Figures and Tables</w:t>
      </w:r>
    </w:p>
    <w:p>
      <w:pPr>
        <w:pStyle w:val="4"/>
      </w:pPr>
      <w:r>
        <w:t>Supplementary Figures</w:t>
      </w:r>
    </w:p>
    <w:p>
      <w:pPr>
        <w:keepNext/>
        <w:rPr>
          <w:rFonts w:cs="Times New Roman"/>
          <w:szCs w:val="24"/>
        </w:rPr>
      </w:pPr>
    </w:p>
    <w:p>
      <w:pPr>
        <w:keepNext/>
        <w:jc w:val="center"/>
        <w:rPr>
          <w:rFonts w:hint="eastAsia" w:eastAsia="宋体" w:cs="Times New Roman"/>
          <w:szCs w:val="24"/>
          <w:lang w:eastAsia="zh-CN"/>
        </w:rPr>
      </w:pPr>
      <w:r>
        <w:rPr>
          <w:rFonts w:hint="eastAsia" w:eastAsia="宋体" w:cs="Times New Roman"/>
          <w:szCs w:val="24"/>
          <w:lang w:eastAsia="zh-CN"/>
        </w:rPr>
        <w:drawing>
          <wp:inline distT="0" distB="0" distL="114300" distR="114300">
            <wp:extent cx="5558155" cy="2971800"/>
            <wp:effectExtent l="0" t="0" r="4445" b="0"/>
            <wp:docPr id="2" name="图片 2" descr="168779495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77949525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815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rPr>
          <w:rFonts w:hint="default" w:cs="Times New Roman"/>
          <w:szCs w:val="24"/>
          <w:lang w:val="en-US" w:eastAsia="zh-CN"/>
        </w:rPr>
      </w:pPr>
      <w:r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fldChar w:fldCharType="begin"/>
      </w:r>
      <w:r>
        <w:rPr>
          <w:rFonts w:cs="Times New Roman"/>
          <w:b/>
          <w:szCs w:val="24"/>
        </w:rPr>
        <w:instrText xml:space="preserve"> SEQ Figure \* ARABIC </w:instrText>
      </w:r>
      <w:r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>
        <w:rPr>
          <w:rFonts w:cs="Times New Roman"/>
          <w:b/>
          <w:szCs w:val="24"/>
        </w:rPr>
        <w:fldChar w:fldCharType="end"/>
      </w:r>
      <w:r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 w:eastAsia="zh-CN"/>
        </w:rPr>
        <w:t xml:space="preserve">Forest plot of hazard ratio (HR) of supraclavicular lymph node dissection (SLND) plus radiotherapy (RT) for </w:t>
      </w:r>
      <w:r>
        <w:rPr>
          <w:rFonts w:hint="eastAsia" w:cs="Times New Roman"/>
          <w:szCs w:val="24"/>
          <w:lang w:val="en-US" w:eastAsia="zh-CN"/>
        </w:rPr>
        <w:t xml:space="preserve"> </w:t>
      </w:r>
      <w:r>
        <w:rPr>
          <w:rFonts w:hint="default" w:cs="Times New Roman"/>
          <w:szCs w:val="24"/>
          <w:lang w:val="en-US" w:eastAsia="zh-CN"/>
        </w:rPr>
        <w:t>overall survival (OS) and disease-free survival (DFS). (A) Forest plot of HR of SLND + RT for OS. (B) Forest plot of HR of SLND + RT for DFS.</w:t>
      </w:r>
    </w:p>
    <w:p>
      <w:pPr>
        <w:spacing w:before="240"/>
        <w:rPr>
          <w:rFonts w:hint="default" w:cs="Times New Roman"/>
          <w:szCs w:val="24"/>
          <w:lang w:val="en-US" w:eastAsia="zh-CN"/>
        </w:rPr>
      </w:pPr>
    </w:p>
    <w:p>
      <w:pPr>
        <w:pStyle w:val="4"/>
        <w:numPr>
          <w:ilvl w:val="1"/>
          <w:numId w:val="0"/>
        </w:numPr>
        <w:ind w:left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1.2   </w:t>
      </w:r>
      <w:r>
        <w:t xml:space="preserve">Supplementary </w:t>
      </w:r>
      <w:r>
        <w:rPr>
          <w:rFonts w:hint="eastAsia" w:eastAsia="宋体"/>
          <w:lang w:val="en-US" w:eastAsia="zh-CN"/>
        </w:rPr>
        <w:t>Tables</w:t>
      </w:r>
    </w:p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T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a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b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 xml:space="preserve">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S1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 xml:space="preserve">. </w:t>
      </w:r>
      <w:bookmarkStart w:id="1" w:name="_Hlk102487237"/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Patient and treatment characteristics</w:t>
      </w:r>
      <w:bookmarkEnd w:id="1"/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of patients with level I/II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>axillary dissection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 and 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>level I/II/III±SLND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 surgery. 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4"/>
        <w:gridCol w:w="1909"/>
        <w:gridCol w:w="1903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Variable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I/II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n=185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kern w:val="2"/>
                <w:sz w:val="24"/>
                <w:szCs w:val="22"/>
                <w:lang w:val="en-US" w:eastAsia="zh-CN" w:bidi="ar"/>
              </w:rPr>
              <w:t>I/II/III±SLND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n=65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Age, median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52.00[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43.00;59.00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]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48.00[39.50,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54.50]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Pre-NAC largest 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LN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size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＜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77(41.6)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39(60.0)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108(58.4)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26(40.0)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Clinical T-stage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31(16.8)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16(24.6)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7"/>
              </w:tabs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86(46.5)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30(46.2)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40(21.6)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11(16.9)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T4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28(15.1)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8(12.3)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Histologic grade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Invasive ductal carcinoma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182(98.4)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3(1.6)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Histologic grade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Low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43(23.2)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17(26.2)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Median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105(56.8)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37(56.9)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High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37(20.0)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11(16.9)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Receptor Status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ER+/HER2-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67(36.2)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29(44.6)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ER+/HER2+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30(16.2)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15(23.1)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ER-/HER2+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41(22.2)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7(10.8)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ER-/HER2-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47(25.4)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14(21.5)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Type of primary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breast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surgery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bookmarkStart w:id="2" w:name="_Hlk10225985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181(97.8)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4(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Tumor chemotherapy response (ypT0)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42(23.2)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21(32.3)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139(76.8)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44(67.7)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Nodal pathologic complete response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(ypN0)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51(28.2)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17(26.2)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130(71.8)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48(73.8)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radiographic response to NAC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(59.5)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40(61.5)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75(40.5)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25(38.5)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Involvement of infraclavicular lymph nodes after NAC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53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26(40.0)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185(100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.0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39(60.0)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-NAC largest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＜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163(88.1)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61(93.8)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22(11.9)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4(6.2)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cumulative dose, Gy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＜ 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107(65.6)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65(100.0)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≥ 60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56(34.4)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Adjuvant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HER-2 targeted therapy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32(17.3)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9(13.8)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153(82.7)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56(86.2)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Adjuvant endocrine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therapy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131(70.8)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39(60.0)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54(29.2)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26(40.0)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vertAlign w:val="superscript"/>
          <w:lang w:bidi="ar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Confirmed by BUS</w:t>
      </w:r>
    </w:p>
    <w:p>
      <w:pPr>
        <w:widowControl/>
        <w:jc w:val="left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SLN, supraclavicular lymph nodes; NAC,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neoadjuvant chemotherapy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; SLND, supraclavicular lymph node dissection</w:t>
      </w:r>
    </w:p>
    <w:p>
      <w:pPr>
        <w:widowControl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T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a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b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 xml:space="preserve">le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S2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. Patient and treatment characteristics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of patients with level I/II/III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 dissection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 and 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level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bidi="ar"/>
        </w:rPr>
        <w:t>I/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bidi="ar"/>
        </w:rPr>
        <w:t>II/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III+SLND</w:t>
      </w:r>
      <w:r>
        <w:rPr>
          <w:rFonts w:hint="eastAsia" w:ascii="Times New Roman" w:hAnsi="Times New Roman" w:eastAsia="等线" w:cs="Times New Roman"/>
          <w:b/>
          <w:bCs/>
          <w:kern w:val="2"/>
          <w:sz w:val="24"/>
          <w:szCs w:val="22"/>
          <w:lang w:val="en-US" w:eastAsia="zh-CN" w:bidi="ar"/>
        </w:rPr>
        <w:t xml:space="preserve"> surgery. </w:t>
      </w:r>
    </w:p>
    <w:tbl>
      <w:tblPr>
        <w:tblStyle w:val="2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7"/>
        <w:gridCol w:w="1909"/>
        <w:gridCol w:w="1903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Variable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I/II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/III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n=37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I/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II/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III+SLND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n=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Age, median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[IQR]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52.00[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43.00;59.00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]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48.00[39.50,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54.50]</w:t>
            </w:r>
          </w:p>
        </w:tc>
        <w:tc>
          <w:tcPr>
            <w:tcW w:w="0" w:type="auto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Pre-NAC largest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＜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54.1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45.9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32.1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Clinical T-stage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T1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9(24.3)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97"/>
              </w:tabs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17(45.9)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13(46.4)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7(18.9)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4(14.3)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T4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4(10.8)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4(14.3)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Histologic grade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Invasive ductal carcinoma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Others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Histologic grade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Low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11(29.7)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6(21.4)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Median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20(54.1)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17(60.7)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High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6(16.2)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5(17.9)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Receptor Status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ER+/HER2-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18(48.6)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11(39.3)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ER+/HER2+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8(21.6)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ER-/HER2+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4(10.8)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3(10.7)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ER-/HER2-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7(18.9)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Type of primary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breast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surgery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Mastectomy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32(86.5)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27(96.4)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Lumpectomy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5(13.5)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1(3.6)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Tumor chemotherapy response (ypT0)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12(32.4)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9(32.1)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25(67.6)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19(67.9)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Nodal pathologic complete response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(ypN0)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11(29.7)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6(21.4)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26(70.3)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22(78.6)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radiographic response to NAC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Yes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16(43.2)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9(32.1)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No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21(56.8)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19(67.9)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Involvement of infraclavicular lymph nodes after NAC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53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Yes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11(29.7)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28(100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No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26(70.3)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0(0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-NAC largest 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LN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size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0.458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＜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9.2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(100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≥ 1cm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10.8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0(0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SLN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cumulative dose, Gy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＜ 60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(100.0)</w:t>
            </w: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(100.0)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≥ 60</w:t>
            </w:r>
          </w:p>
        </w:tc>
        <w:tc>
          <w:tcPr>
            <w:tcW w:w="190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0(0.0)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Adjuvant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HER-2 targeted therapy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.057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35(94.6)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21(75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No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2(5.4)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7(25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.0</w:t>
            </w: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Adjuvant endocrine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therapy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Yes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13(35.1)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13(46.4)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" w:firstLineChars="10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o</w:t>
            </w:r>
          </w:p>
        </w:tc>
        <w:tc>
          <w:tcPr>
            <w:tcW w:w="190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24(64.9)</w:t>
            </w:r>
          </w:p>
        </w:tc>
        <w:tc>
          <w:tcPr>
            <w:tcW w:w="190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00" w:beforeAutospacing="0" w:after="100" w:afterAutospacing="0" w:line="240" w:lineRule="auto"/>
              <w:ind w:left="100" w:leftChars="0" w:right="100" w:righ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DejaVu Sans" w:cs="Times New Roman"/>
                <w:color w:val="000000"/>
                <w:sz w:val="22"/>
                <w:szCs w:val="22"/>
              </w:rPr>
              <w:t>15(53.6)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vertAlign w:val="superscript"/>
          <w:lang w:bidi="ar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Confirmed by BUS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SLN, supraclavicular lymph nodes; NAC, neoadjuvant chemotherapy; SLND, supraclavicular lymph node dissection</w:t>
      </w:r>
    </w:p>
    <w:p>
      <w:pPr>
        <w:spacing w:before="240"/>
        <w:rPr>
          <w:rFonts w:hint="default" w:eastAsia="宋体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4B233A3E"/>
    <w:multiLevelType w:val="multilevel"/>
    <w:tmpl w:val="4B233A3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51132B86"/>
    <w:rsid w:val="70F4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2558679B-78FB-42CD-A1EA-A99096AF5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1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水</cp:lastModifiedBy>
  <cp:lastPrinted>2013-10-03T12:51:00Z</cp:lastPrinted>
  <dcterms:modified xsi:type="dcterms:W3CDTF">2023-09-27T15:14:52Z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2052-11.1.0.14309</vt:lpwstr>
  </property>
  <property fmtid="{D5CDD505-2E9C-101B-9397-08002B2CF9AE}" pid="11" name="ICV">
    <vt:lpwstr>4A61D58C57784623B7A432D517674B46_13</vt:lpwstr>
  </property>
</Properties>
</file>