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9E52" w14:textId="77777777" w:rsidR="00B16A49" w:rsidRDefault="00B16A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5F189218" w14:textId="77777777" w:rsidR="00B16A49" w:rsidRPr="00686181" w:rsidRDefault="00D94A62" w:rsidP="00125FC6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center"/>
        <w:rPr>
          <w:i/>
          <w:color w:val="000000"/>
          <w:sz w:val="32"/>
          <w:szCs w:val="32"/>
        </w:rPr>
      </w:pPr>
      <w:r w:rsidRPr="00686181">
        <w:rPr>
          <w:b/>
          <w:i/>
          <w:color w:val="000000"/>
          <w:sz w:val="32"/>
          <w:szCs w:val="32"/>
        </w:rPr>
        <w:t>Supplementary Material</w:t>
      </w:r>
    </w:p>
    <w:p w14:paraId="4CA9888C" w14:textId="0AF16898" w:rsidR="00B16A49" w:rsidRPr="00686181" w:rsidRDefault="00D94A62" w:rsidP="00125FC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color w:val="000000"/>
          <w:sz w:val="32"/>
          <w:szCs w:val="32"/>
        </w:rPr>
      </w:pPr>
      <w:r w:rsidRPr="00686181">
        <w:rPr>
          <w:b/>
          <w:sz w:val="32"/>
          <w:szCs w:val="32"/>
        </w:rPr>
        <w:t xml:space="preserve">SARS-CoV-2 pre-exposure prophylaxis with </w:t>
      </w:r>
      <w:proofErr w:type="spellStart"/>
      <w:r w:rsidRPr="00686181">
        <w:rPr>
          <w:b/>
          <w:sz w:val="32"/>
          <w:szCs w:val="32"/>
        </w:rPr>
        <w:t>tixagevimab</w:t>
      </w:r>
      <w:proofErr w:type="spellEnd"/>
      <w:r w:rsidRPr="00686181">
        <w:rPr>
          <w:b/>
          <w:sz w:val="32"/>
          <w:szCs w:val="32"/>
        </w:rPr>
        <w:t>/</w:t>
      </w:r>
      <w:proofErr w:type="spellStart"/>
      <w:r w:rsidRPr="00686181">
        <w:rPr>
          <w:b/>
          <w:sz w:val="32"/>
          <w:szCs w:val="32"/>
        </w:rPr>
        <w:t>cilgavimab</w:t>
      </w:r>
      <w:proofErr w:type="spellEnd"/>
      <w:r w:rsidRPr="00686181">
        <w:rPr>
          <w:b/>
          <w:sz w:val="32"/>
          <w:szCs w:val="32"/>
        </w:rPr>
        <w:t xml:space="preserve"> (AZD7442) provides protection in Inborn Errors of Immunity with Antibody Defects: a real-world </w:t>
      </w:r>
      <w:r w:rsidR="00125FC6" w:rsidRPr="00686181">
        <w:rPr>
          <w:b/>
          <w:sz w:val="32"/>
          <w:szCs w:val="32"/>
        </w:rPr>
        <w:t>experience.</w:t>
      </w:r>
    </w:p>
    <w:p w14:paraId="1EE836EE" w14:textId="77777777" w:rsidR="00B16A49" w:rsidRPr="00686181" w:rsidRDefault="00D94A62" w:rsidP="00125FC6">
      <w:pPr>
        <w:spacing w:before="240" w:after="0" w:line="276" w:lineRule="auto"/>
        <w:jc w:val="both"/>
        <w:rPr>
          <w:b/>
        </w:rPr>
      </w:pPr>
      <w:r w:rsidRPr="00686181">
        <w:rPr>
          <w:b/>
        </w:rPr>
        <w:t xml:space="preserve">Federica Pulvirenti, MD, PhD, Giulia </w:t>
      </w:r>
      <w:proofErr w:type="spellStart"/>
      <w:r w:rsidRPr="00686181">
        <w:rPr>
          <w:b/>
        </w:rPr>
        <w:t>Garzi</w:t>
      </w:r>
      <w:proofErr w:type="spellEnd"/>
      <w:r w:rsidRPr="00686181">
        <w:rPr>
          <w:b/>
        </w:rPr>
        <w:t xml:space="preserve">, MD, Eleonora </w:t>
      </w:r>
      <w:proofErr w:type="spellStart"/>
      <w:r w:rsidRPr="00686181">
        <w:rPr>
          <w:b/>
        </w:rPr>
        <w:t>Sculco</w:t>
      </w:r>
      <w:proofErr w:type="spellEnd"/>
      <w:r w:rsidRPr="00686181">
        <w:rPr>
          <w:b/>
        </w:rPr>
        <w:t xml:space="preserve">, MD, Maddalena </w:t>
      </w:r>
      <w:proofErr w:type="spellStart"/>
      <w:r w:rsidRPr="00686181">
        <w:rPr>
          <w:b/>
        </w:rPr>
        <w:t>Sciannamea</w:t>
      </w:r>
      <w:proofErr w:type="spellEnd"/>
      <w:r w:rsidRPr="00686181">
        <w:rPr>
          <w:b/>
        </w:rPr>
        <w:t xml:space="preserve">, MD, Cinzia Milito, MD, PhD, Anna Napoli, MD, Lilia Cinti, BD, Piergiorgio Roberto, BD, Alessandra </w:t>
      </w:r>
      <w:proofErr w:type="spellStart"/>
      <w:r w:rsidRPr="00686181">
        <w:rPr>
          <w:b/>
        </w:rPr>
        <w:t>Punziano</w:t>
      </w:r>
      <w:proofErr w:type="spellEnd"/>
      <w:r w:rsidRPr="00686181">
        <w:rPr>
          <w:b/>
        </w:rPr>
        <w:t xml:space="preserve">, MD, Maria Carrabba, MD, PhD, Eva Piano </w:t>
      </w:r>
      <w:proofErr w:type="spellStart"/>
      <w:r w:rsidRPr="00686181">
        <w:rPr>
          <w:b/>
        </w:rPr>
        <w:t>Mortari</w:t>
      </w:r>
      <w:proofErr w:type="spellEnd"/>
      <w:r w:rsidRPr="00686181">
        <w:rPr>
          <w:b/>
        </w:rPr>
        <w:t xml:space="preserve">, Rita </w:t>
      </w:r>
      <w:proofErr w:type="spellStart"/>
      <w:r w:rsidRPr="00686181">
        <w:rPr>
          <w:b/>
        </w:rPr>
        <w:t>Carsetti</w:t>
      </w:r>
      <w:proofErr w:type="spellEnd"/>
      <w:r w:rsidRPr="00686181">
        <w:rPr>
          <w:b/>
        </w:rPr>
        <w:t xml:space="preserve">, Guido Antonelli, MD, PhD, Isabella </w:t>
      </w:r>
      <w:proofErr w:type="spellStart"/>
      <w:r w:rsidRPr="00686181">
        <w:rPr>
          <w:b/>
        </w:rPr>
        <w:t>Quinti</w:t>
      </w:r>
      <w:proofErr w:type="spellEnd"/>
      <w:r w:rsidRPr="00686181">
        <w:rPr>
          <w:b/>
        </w:rPr>
        <w:t>, MD, PhD*.</w:t>
      </w:r>
    </w:p>
    <w:p w14:paraId="4D901AA8" w14:textId="44020F1A" w:rsidR="00B16A49" w:rsidRPr="00686181" w:rsidRDefault="00D94A62" w:rsidP="00125FC6">
      <w:pPr>
        <w:spacing w:before="240" w:after="0" w:line="276" w:lineRule="auto"/>
        <w:jc w:val="both"/>
      </w:pPr>
      <w:r w:rsidRPr="00686181">
        <w:rPr>
          <w:b/>
        </w:rPr>
        <w:t xml:space="preserve">Correspondence: </w:t>
      </w:r>
      <w:r w:rsidRPr="00686181">
        <w:t xml:space="preserve">Isabella </w:t>
      </w:r>
      <w:proofErr w:type="spellStart"/>
      <w:r w:rsidRPr="00686181">
        <w:t>Quinti</w:t>
      </w:r>
      <w:proofErr w:type="spellEnd"/>
      <w:r w:rsidRPr="00686181">
        <w:t>, Department of Molecular Medicine, Viale Regina Elena 291, 00161, Rome, Italy. Telephone number: +300649972007. Email address: isabella.quinti@uniroma1.it.</w:t>
      </w:r>
    </w:p>
    <w:p w14:paraId="4DB7237C" w14:textId="77777777" w:rsidR="00B16A49" w:rsidRPr="00686181" w:rsidRDefault="00D94A62">
      <w:pPr>
        <w:spacing w:after="280" w:line="276" w:lineRule="auto"/>
        <w:jc w:val="both"/>
      </w:pPr>
      <w:r w:rsidRPr="00686181">
        <w:br w:type="page"/>
      </w:r>
    </w:p>
    <w:p w14:paraId="05D91A6D" w14:textId="77777777" w:rsidR="00B16A49" w:rsidRPr="00686181" w:rsidRDefault="00D94A62">
      <w:pPr>
        <w:spacing w:after="280" w:line="276" w:lineRule="auto"/>
        <w:jc w:val="both"/>
        <w:rPr>
          <w:b/>
        </w:rPr>
      </w:pPr>
      <w:r w:rsidRPr="00686181">
        <w:rPr>
          <w:b/>
        </w:rPr>
        <w:lastRenderedPageBreak/>
        <w:t>Supplementary Tables</w:t>
      </w:r>
    </w:p>
    <w:p w14:paraId="74D77AEC" w14:textId="77777777" w:rsidR="00B16A49" w:rsidRPr="00686181" w:rsidRDefault="00D94A62">
      <w:pPr>
        <w:spacing w:before="0" w:after="0"/>
        <w:jc w:val="both"/>
      </w:pPr>
      <w:r w:rsidRPr="00686181">
        <w:rPr>
          <w:b/>
        </w:rPr>
        <w:t>Supplementary Table 1</w:t>
      </w:r>
      <w:r w:rsidRPr="00686181">
        <w:t xml:space="preserve">. Characteristics of patients recently infected by SARS-CoV-2 within three months before the enrollment. </w:t>
      </w:r>
    </w:p>
    <w:p w14:paraId="099399D6" w14:textId="77777777" w:rsidR="00B16A49" w:rsidRPr="00686181" w:rsidRDefault="00B16A49">
      <w:pPr>
        <w:spacing w:before="0" w:after="0"/>
        <w:jc w:val="both"/>
      </w:pPr>
    </w:p>
    <w:tbl>
      <w:tblPr>
        <w:tblStyle w:val="a"/>
        <w:tblW w:w="969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1928"/>
        <w:gridCol w:w="1436"/>
        <w:gridCol w:w="1518"/>
      </w:tblGrid>
      <w:tr w:rsidR="00B16A49" w:rsidRPr="00686181" w14:paraId="73916985" w14:textId="77777777">
        <w:trPr>
          <w:trHeight w:val="38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993366"/>
              <w:right w:val="single" w:sz="8" w:space="0" w:color="000000"/>
            </w:tcBorders>
          </w:tcPr>
          <w:p w14:paraId="7E816202" w14:textId="77777777" w:rsidR="00B16A49" w:rsidRPr="00686181" w:rsidRDefault="00B16A49">
            <w:pPr>
              <w:widowControl w:val="0"/>
              <w:spacing w:before="0" w:after="0"/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DA91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Recently infected</w:t>
            </w:r>
          </w:p>
          <w:p w14:paraId="5D62BF9F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 xml:space="preserve">n= 35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1386" w14:textId="77777777" w:rsidR="00B16A49" w:rsidRPr="00686181" w:rsidRDefault="00D94A62">
            <w:pPr>
              <w:widowControl w:val="0"/>
              <w:spacing w:before="0" w:after="0"/>
              <w:jc w:val="center"/>
              <w:rPr>
                <w:vertAlign w:val="superscript"/>
              </w:rPr>
            </w:pPr>
            <w:r w:rsidRPr="00686181">
              <w:t>p value</w:t>
            </w:r>
            <w:r w:rsidRPr="00686181">
              <w:rPr>
                <w:vertAlign w:val="superscript"/>
              </w:rPr>
              <w:t>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D093" w14:textId="77777777" w:rsidR="00B16A49" w:rsidRPr="00686181" w:rsidRDefault="00D94A62">
            <w:pPr>
              <w:widowControl w:val="0"/>
              <w:spacing w:before="0" w:after="0"/>
              <w:jc w:val="center"/>
              <w:rPr>
                <w:vertAlign w:val="superscript"/>
              </w:rPr>
            </w:pPr>
            <w:r w:rsidRPr="00686181">
              <w:t>p value</w:t>
            </w:r>
            <w:r w:rsidRPr="00686181">
              <w:rPr>
                <w:vertAlign w:val="superscript"/>
              </w:rPr>
              <w:t>2</w:t>
            </w:r>
          </w:p>
        </w:tc>
      </w:tr>
      <w:tr w:rsidR="00B16A49" w:rsidRPr="00686181" w14:paraId="4276B83E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1684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Age (years), median (IQR)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A1E4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54 (41-66)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7CCD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0.498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7733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0.865</w:t>
            </w:r>
          </w:p>
        </w:tc>
      </w:tr>
      <w:tr w:rsidR="00B16A49" w:rsidRPr="00686181" w14:paraId="334CAD6F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FEC2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Gender (female), n (%)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4951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21 (61.8)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976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0.199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D7E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0.397</w:t>
            </w:r>
          </w:p>
        </w:tc>
      </w:tr>
      <w:tr w:rsidR="00B16A49" w:rsidRPr="00686181" w14:paraId="4DB82CAB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4030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IgA (mg/dL), median (IQR)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2224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11 (2-59)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9B7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0.106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FCA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0.005</w:t>
            </w:r>
          </w:p>
        </w:tc>
      </w:tr>
      <w:tr w:rsidR="00B16A49" w:rsidRPr="00686181" w14:paraId="156E1AD4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7729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Residual IgG (mg/dL), median (IQR)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2DF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rPr>
                <w:sz w:val="22"/>
                <w:szCs w:val="22"/>
              </w:rPr>
              <w:t>621 (605-670)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674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0.503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BCA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0.801</w:t>
            </w:r>
          </w:p>
        </w:tc>
      </w:tr>
      <w:tr w:rsidR="00B16A49" w:rsidRPr="00686181" w14:paraId="2120F370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E76B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IEI Diagnosis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DAC0" w14:textId="77777777" w:rsidR="00B16A49" w:rsidRPr="00686181" w:rsidRDefault="00B16A49">
            <w:pPr>
              <w:widowControl w:val="0"/>
              <w:spacing w:before="0" w:after="0"/>
              <w:jc w:val="center"/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BA4A" w14:textId="77777777" w:rsidR="00B16A49" w:rsidRPr="00686181" w:rsidRDefault="00B16A49">
            <w:pPr>
              <w:widowControl w:val="0"/>
              <w:spacing w:before="0" w:after="0"/>
              <w:jc w:val="center"/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67BF" w14:textId="77777777" w:rsidR="00B16A49" w:rsidRPr="00686181" w:rsidRDefault="00B16A49">
            <w:pPr>
              <w:widowControl w:val="0"/>
              <w:spacing w:before="0" w:after="0"/>
              <w:jc w:val="center"/>
            </w:pPr>
          </w:p>
        </w:tc>
      </w:tr>
      <w:tr w:rsidR="00B16A49" w:rsidRPr="00686181" w14:paraId="72EFC493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DC7E" w14:textId="77777777" w:rsidR="00B16A49" w:rsidRPr="00686181" w:rsidRDefault="00D94A62">
            <w:pPr>
              <w:widowControl w:val="0"/>
              <w:spacing w:before="0" w:after="0"/>
              <w:ind w:left="283"/>
            </w:pPr>
            <w:r w:rsidRPr="00686181">
              <w:t>CVID, n (%)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883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22 (62.9)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099E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0.065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C008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0.082</w:t>
            </w:r>
          </w:p>
        </w:tc>
      </w:tr>
      <w:tr w:rsidR="00B16A49" w:rsidRPr="00686181" w14:paraId="2693031F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3B27" w14:textId="77777777" w:rsidR="00B16A49" w:rsidRPr="00686181" w:rsidRDefault="00D94A62">
            <w:pPr>
              <w:widowControl w:val="0"/>
              <w:spacing w:before="0" w:after="0"/>
              <w:ind w:left="283"/>
            </w:pPr>
            <w:r w:rsidRPr="00686181">
              <w:t>XLA, n (%)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3BD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 (5.7)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2D2D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 xml:space="preserve"> 0.801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E62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0.590</w:t>
            </w:r>
          </w:p>
        </w:tc>
      </w:tr>
      <w:tr w:rsidR="00B16A49" w:rsidRPr="00686181" w14:paraId="507CEA61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8DB5" w14:textId="77777777" w:rsidR="00B16A49" w:rsidRPr="00686181" w:rsidRDefault="00D94A62">
            <w:pPr>
              <w:widowControl w:val="0"/>
              <w:spacing w:before="0" w:after="0"/>
              <w:ind w:left="283"/>
            </w:pPr>
            <w:r w:rsidRPr="00686181">
              <w:t>Good syndrome, n (%)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439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 (2.9)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45AF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0.860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2324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0.966</w:t>
            </w:r>
          </w:p>
        </w:tc>
      </w:tr>
      <w:tr w:rsidR="00B16A49" w:rsidRPr="00686181" w14:paraId="68D9F3F8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5DF5" w14:textId="77777777" w:rsidR="00B16A49" w:rsidRPr="00686181" w:rsidRDefault="00D94A62">
            <w:pPr>
              <w:widowControl w:val="0"/>
              <w:spacing w:before="0" w:after="0"/>
              <w:ind w:left="283"/>
            </w:pPr>
            <w:r w:rsidRPr="00686181">
              <w:t>UAD, n (%)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6E3A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9 (25.7)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61F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11BA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0.072</w:t>
            </w:r>
          </w:p>
        </w:tc>
      </w:tr>
      <w:tr w:rsidR="00B16A49" w:rsidRPr="00686181" w14:paraId="68F98E25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6469" w14:textId="77777777" w:rsidR="00B16A49" w:rsidRPr="00686181" w:rsidRDefault="00D94A62">
            <w:pPr>
              <w:widowControl w:val="0"/>
              <w:spacing w:before="0" w:after="0"/>
              <w:ind w:left="283"/>
            </w:pPr>
            <w:r w:rsidRPr="00686181">
              <w:t>Others n (%)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D88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 (2.9)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785A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 xml:space="preserve"> 0.353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EF48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0.966</w:t>
            </w:r>
          </w:p>
        </w:tc>
      </w:tr>
      <w:tr w:rsidR="00B16A49" w:rsidRPr="00686181" w14:paraId="4373252B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1E59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Lymphocytes count, median (IQR)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0E4E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1620 (1160-2040)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953C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0.908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02E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0.171</w:t>
            </w:r>
          </w:p>
        </w:tc>
      </w:tr>
      <w:tr w:rsidR="00B16A49" w:rsidRPr="00686181" w14:paraId="7EEC6CB1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C6F3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 xml:space="preserve">CD3+CD4+ (cell/mm3), median (IQR)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3A6E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472 (402-784)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8C38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0.799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F64A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0.366</w:t>
            </w:r>
          </w:p>
        </w:tc>
      </w:tr>
      <w:tr w:rsidR="00B16A49" w:rsidRPr="00686181" w14:paraId="0C64646D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AD39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CD19+ (cell/mm3), median (IQR)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455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83.9 (8.2-250.6)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E81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0.641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406D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0.381</w:t>
            </w:r>
          </w:p>
        </w:tc>
      </w:tr>
      <w:tr w:rsidR="00B16A49" w:rsidRPr="00686181" w14:paraId="37076CBE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6060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MBC (CD19+CD27, cell/mm3), median (IQR)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EDE2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21.2 (2.4-39.9)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DAFC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0.774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C4E4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0.952</w:t>
            </w:r>
          </w:p>
        </w:tc>
      </w:tr>
      <w:tr w:rsidR="00B16A49" w:rsidRPr="00686181" w14:paraId="26C45208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9010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Complicated phenotype, n (%)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83E3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10 (30)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7FA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0.078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B12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0.016</w:t>
            </w:r>
          </w:p>
        </w:tc>
      </w:tr>
      <w:tr w:rsidR="00B16A49" w:rsidRPr="00686181" w14:paraId="66AAED8F" w14:textId="77777777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B22E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COPD, n (%)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6E2C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23 (46.7)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5132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&lt;0.0001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C261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0.068</w:t>
            </w:r>
          </w:p>
        </w:tc>
      </w:tr>
      <w:tr w:rsidR="00B16A49" w:rsidRPr="00686181" w14:paraId="735ECFEF" w14:textId="77777777">
        <w:tc>
          <w:tcPr>
            <w:tcW w:w="4810" w:type="dxa"/>
            <w:tcBorders>
              <w:top w:val="single" w:sz="8" w:space="0" w:color="9933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7D7C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SARS-COV-2 vaccine doses &gt;=3, n (%)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E58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35 (100)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199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0.018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ED34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0.068</w:t>
            </w:r>
          </w:p>
        </w:tc>
      </w:tr>
    </w:tbl>
    <w:p w14:paraId="175C0155" w14:textId="77777777" w:rsidR="00B16A49" w:rsidRPr="00686181" w:rsidRDefault="00D94A62" w:rsidP="00125FC6">
      <w:pPr>
        <w:spacing w:before="0"/>
        <w:jc w:val="both"/>
      </w:pPr>
      <w:r w:rsidRPr="00686181">
        <w:t>Abbreviation:</w:t>
      </w:r>
      <w:r w:rsidRPr="00686181">
        <w:rPr>
          <w:i/>
        </w:rPr>
        <w:t xml:space="preserve"> </w:t>
      </w:r>
      <w:r w:rsidRPr="00686181">
        <w:t xml:space="preserve">IEI inborn errors of immunity, CVID common variable immunodeficiency, XLA X linked agammaglobulinemia, UAD undefined antibody deficiency, COPD Chronic Pulmonary Disease, COVID-19 coronavirus disease 2019, IQR interquartile range, MBC memory B cells, SARS-CoV-2 severe acute respiratory syndrome coronavirus 2. </w:t>
      </w:r>
    </w:p>
    <w:p w14:paraId="3E61DD2D" w14:textId="77777777" w:rsidR="00B16A49" w:rsidRPr="00686181" w:rsidRDefault="00D94A62" w:rsidP="00125FC6">
      <w:pPr>
        <w:spacing w:before="0"/>
        <w:jc w:val="both"/>
      </w:pPr>
      <w:r w:rsidRPr="00686181">
        <w:rPr>
          <w:vertAlign w:val="superscript"/>
        </w:rPr>
        <w:t>1</w:t>
      </w:r>
      <w:r w:rsidRPr="00686181">
        <w:t xml:space="preserve">comparison with No-AZD7442 group; </w:t>
      </w:r>
      <w:r w:rsidRPr="00686181">
        <w:rPr>
          <w:vertAlign w:val="superscript"/>
        </w:rPr>
        <w:t>2</w:t>
      </w:r>
      <w:r w:rsidRPr="00686181">
        <w:t>comparison with AZD7442 group.</w:t>
      </w:r>
      <w:r w:rsidRPr="00686181">
        <w:br w:type="page"/>
      </w:r>
    </w:p>
    <w:p w14:paraId="4B6EEA54" w14:textId="77777777" w:rsidR="00B16A49" w:rsidRPr="00686181" w:rsidRDefault="00D94A62">
      <w:pPr>
        <w:spacing w:after="280" w:line="276" w:lineRule="auto"/>
        <w:jc w:val="both"/>
      </w:pPr>
      <w:r w:rsidRPr="00686181">
        <w:rPr>
          <w:b/>
        </w:rPr>
        <w:lastRenderedPageBreak/>
        <w:t>Supplementary Table 2.</w:t>
      </w:r>
      <w:r w:rsidRPr="00686181">
        <w:t xml:space="preserve"> Univariate analysis of patient’s characteristics associated with SARS-CoV-2 infection.</w:t>
      </w:r>
    </w:p>
    <w:tbl>
      <w:tblPr>
        <w:tblStyle w:val="a0"/>
        <w:tblW w:w="100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06"/>
        <w:gridCol w:w="2005"/>
        <w:gridCol w:w="2101"/>
        <w:gridCol w:w="1191"/>
      </w:tblGrid>
      <w:tr w:rsidR="00B16A49" w:rsidRPr="00686181" w14:paraId="58EC0688" w14:textId="77777777">
        <w:trPr>
          <w:trHeight w:val="380"/>
          <w:tblHeader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07054" w14:textId="77777777" w:rsidR="00B16A49" w:rsidRPr="00686181" w:rsidRDefault="00B16A49">
            <w:pPr>
              <w:widowControl w:val="0"/>
              <w:spacing w:before="0" w:after="0"/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4238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Not infected</w:t>
            </w:r>
          </w:p>
          <w:p w14:paraId="5C335A5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n= 156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F9D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SARS-Cov-2 infection</w:t>
            </w:r>
          </w:p>
          <w:p w14:paraId="4E06DACA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n=59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52DE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p value</w:t>
            </w:r>
          </w:p>
        </w:tc>
      </w:tr>
      <w:tr w:rsidR="00B16A49" w:rsidRPr="00686181" w14:paraId="75327DDC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8138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Age (years), median (IQR)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3E2C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49 (36-59)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0F81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54 (45-64)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828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0.047</w:t>
            </w:r>
          </w:p>
        </w:tc>
      </w:tr>
      <w:tr w:rsidR="00B16A49" w:rsidRPr="00686181" w14:paraId="243B22C6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54B0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Gender (female), n (%)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AFD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69 (44.2)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A50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32 (54.2)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897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0.439</w:t>
            </w:r>
          </w:p>
        </w:tc>
      </w:tr>
      <w:tr w:rsidR="00B16A49" w:rsidRPr="00686181" w14:paraId="2E76102F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D488" w14:textId="4B79D3F6" w:rsidR="00B16A49" w:rsidRPr="00686181" w:rsidRDefault="00125FC6">
            <w:pPr>
              <w:widowControl w:val="0"/>
              <w:spacing w:before="0" w:after="0"/>
            </w:pPr>
            <w:r>
              <w:t xml:space="preserve">Serum </w:t>
            </w:r>
            <w:r w:rsidR="00D94A62" w:rsidRPr="00686181">
              <w:t>IgA (mg/dL), median (IQR)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2DA3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 (1-22)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A3F4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 (2-13)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8408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0.439</w:t>
            </w:r>
          </w:p>
        </w:tc>
      </w:tr>
      <w:tr w:rsidR="00B16A49" w:rsidRPr="00686181" w14:paraId="4FB818B9" w14:textId="77777777">
        <w:trPr>
          <w:trHeight w:val="271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966C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Lymphocytes count, median (IQR)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5B50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1445 (1130-2020)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011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1460 (930-1890)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28B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0.146</w:t>
            </w:r>
          </w:p>
        </w:tc>
      </w:tr>
      <w:tr w:rsidR="00B16A49" w:rsidRPr="00686181" w14:paraId="086FB505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510A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 xml:space="preserve">CD3+CD4+ (cell/mm3), median (IQR)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D2AF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516 (400-728)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6C8D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578 (395-859)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230F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0.797</w:t>
            </w:r>
          </w:p>
        </w:tc>
      </w:tr>
      <w:tr w:rsidR="00B16A49" w:rsidRPr="00686181" w14:paraId="2F7B3C16" w14:textId="77777777">
        <w:trPr>
          <w:trHeight w:val="362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27A2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 xml:space="preserve">CD19+ (cell/mm3), median (IQR)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3FC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52.5 (21.9-161.1)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2F8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57.6 (11-134.5)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020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0.635</w:t>
            </w:r>
          </w:p>
        </w:tc>
      </w:tr>
      <w:tr w:rsidR="00B16A49" w:rsidRPr="00686181" w14:paraId="72597F50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D489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CD19+ CD27+ (% of CD19+), median (IQR)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5C9E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22.2 (5.9-45)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F2DD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22.6 (8-41)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DD7A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0.468</w:t>
            </w:r>
          </w:p>
        </w:tc>
      </w:tr>
      <w:tr w:rsidR="00B16A49" w:rsidRPr="00686181" w14:paraId="28BB4DE4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12C6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Complicated phenotype, n (%)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39B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59 (47.2)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81E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23 (47.9)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E231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0.804</w:t>
            </w:r>
          </w:p>
        </w:tc>
      </w:tr>
      <w:tr w:rsidR="00B16A49" w:rsidRPr="00686181" w14:paraId="27C14307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E05F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COPD, n (%)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6D5C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52 (33.6)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3BE2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24 (41.7)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48A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0.322</w:t>
            </w:r>
          </w:p>
        </w:tc>
      </w:tr>
      <w:tr w:rsidR="00B16A49" w:rsidRPr="00686181" w14:paraId="17A66B4A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2FE5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Prior episode of COVID-19, n (%)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418D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56 (36.1)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A481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3 (5.1)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9A03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&lt;0.0001</w:t>
            </w:r>
          </w:p>
        </w:tc>
      </w:tr>
      <w:tr w:rsidR="00B16A49" w:rsidRPr="00686181" w14:paraId="7F5A8F52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B5A5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Vaccinated (&gt;=3 doses), n (%)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6AE2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134 (86.3)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482D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52 (88.1)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CBA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0.668</w:t>
            </w:r>
          </w:p>
        </w:tc>
      </w:tr>
      <w:tr w:rsidR="00B16A49" w:rsidRPr="00686181" w14:paraId="2E1144F9" w14:textId="777777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2BD5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Last vaccine dose within 6 months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6BB6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79 (50.7)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FD1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25 (43.2)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F1E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0.279</w:t>
            </w:r>
          </w:p>
        </w:tc>
      </w:tr>
    </w:tbl>
    <w:p w14:paraId="678FC950" w14:textId="77777777" w:rsidR="00B16A49" w:rsidRPr="00686181" w:rsidRDefault="00B16A49">
      <w:pPr>
        <w:spacing w:before="0" w:after="0"/>
        <w:jc w:val="both"/>
      </w:pPr>
    </w:p>
    <w:p w14:paraId="122AFF7F" w14:textId="77777777" w:rsidR="00B16A49" w:rsidRPr="00686181" w:rsidRDefault="00D94A62">
      <w:pPr>
        <w:spacing w:before="0" w:after="0"/>
        <w:jc w:val="both"/>
        <w:rPr>
          <w:b/>
        </w:rPr>
      </w:pPr>
      <w:r w:rsidRPr="00686181">
        <w:t>Abbreviation: IEI inborn errors of immunity, CVID common variable immunodeficiency, XLA X linked agammaglobulinemia, UAD undefined antibody deficiency, COPD Chronic Pulmonary Disease, COVID-19 coronavirus disease 2019, IQR interquartile range, SARS-CoV-2 severe acute respiratory syndrome coronavirus 2.</w:t>
      </w:r>
      <w:r w:rsidRPr="00686181">
        <w:br w:type="page"/>
      </w:r>
    </w:p>
    <w:p w14:paraId="1698612A" w14:textId="10335AF7" w:rsidR="00B16A49" w:rsidRPr="00686181" w:rsidRDefault="00D94A62">
      <w:pPr>
        <w:spacing w:before="0" w:after="0"/>
        <w:jc w:val="both"/>
      </w:pPr>
      <w:r w:rsidRPr="00686181">
        <w:rPr>
          <w:b/>
        </w:rPr>
        <w:lastRenderedPageBreak/>
        <w:t>Supplementary Table 3.</w:t>
      </w:r>
      <w:r w:rsidRPr="00686181">
        <w:t xml:space="preserve"> Univariate analysis of patient’s characteristics associated with symptomatic SARS-CoV-2 </w:t>
      </w:r>
      <w:r w:rsidR="00125FC6" w:rsidRPr="00686181">
        <w:t>infection.</w:t>
      </w:r>
    </w:p>
    <w:p w14:paraId="6ED43A4F" w14:textId="77777777" w:rsidR="00B16A49" w:rsidRPr="00686181" w:rsidRDefault="00D94A62">
      <w:pPr>
        <w:spacing w:before="0" w:after="0"/>
        <w:jc w:val="both"/>
      </w:pPr>
      <w:r w:rsidRPr="00686181">
        <w:t xml:space="preserve"> </w:t>
      </w:r>
    </w:p>
    <w:tbl>
      <w:tblPr>
        <w:tblStyle w:val="a1"/>
        <w:tblW w:w="97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2040"/>
        <w:gridCol w:w="2072"/>
        <w:gridCol w:w="1984"/>
      </w:tblGrid>
      <w:tr w:rsidR="00B16A49" w:rsidRPr="00686181" w14:paraId="20048533" w14:textId="77777777">
        <w:trPr>
          <w:trHeight w:val="75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CF6D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63A3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 xml:space="preserve">Symptomatic infections </w:t>
            </w:r>
          </w:p>
          <w:p w14:paraId="1C4A324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n=42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250F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 xml:space="preserve">Asymptomatic infections </w:t>
            </w:r>
          </w:p>
          <w:p w14:paraId="4D32AB08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n=10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320A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p value</w:t>
            </w:r>
          </w:p>
        </w:tc>
      </w:tr>
      <w:tr w:rsidR="00B16A49" w:rsidRPr="00686181" w14:paraId="68848ADF" w14:textId="77777777">
        <w:trPr>
          <w:trHeight w:val="103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A7A7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Age (years), median (IQR)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9F5D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52 (43-58)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89A0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50 (25-55)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ACF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0.179</w:t>
            </w:r>
          </w:p>
        </w:tc>
      </w:tr>
      <w:tr w:rsidR="00B16A49" w:rsidRPr="00686181" w14:paraId="5BBE11AE" w14:textId="77777777">
        <w:trPr>
          <w:trHeight w:val="103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729D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Gender (female), n (%)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D690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21 (50)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30DF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3 (30)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BDB1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0.254</w:t>
            </w:r>
          </w:p>
        </w:tc>
      </w:tr>
      <w:tr w:rsidR="00B16A49" w:rsidRPr="00686181" w14:paraId="7302A6AA" w14:textId="77777777">
        <w:trPr>
          <w:trHeight w:val="103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2D02" w14:textId="1A774CD8" w:rsidR="00B16A49" w:rsidRPr="00686181" w:rsidRDefault="00125FC6">
            <w:pPr>
              <w:widowControl w:val="0"/>
              <w:spacing w:before="0" w:after="0"/>
            </w:pPr>
            <w:r>
              <w:t xml:space="preserve">Serum </w:t>
            </w:r>
            <w:r w:rsidR="00D94A62" w:rsidRPr="00686181">
              <w:t>IgA (mg/dL), median (IQR)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75AD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 xml:space="preserve"> 3 (2-20)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406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 xml:space="preserve"> 12 (2-43)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2928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0.520</w:t>
            </w:r>
          </w:p>
        </w:tc>
      </w:tr>
      <w:tr w:rsidR="00B16A49" w:rsidRPr="00686181" w14:paraId="01CC2982" w14:textId="77777777">
        <w:trPr>
          <w:trHeight w:val="103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BE5F" w14:textId="5F1F3C13" w:rsidR="00B16A49" w:rsidRPr="00686181" w:rsidRDefault="00D94A62">
            <w:pPr>
              <w:widowControl w:val="0"/>
              <w:spacing w:before="0" w:after="0"/>
            </w:pPr>
            <w:r w:rsidRPr="006A3D51">
              <w:t>Lymphocyte</w:t>
            </w:r>
            <w:r w:rsidR="00125FC6" w:rsidRPr="006A3D51">
              <w:t>s</w:t>
            </w:r>
            <w:r w:rsidRPr="006A3D51">
              <w:t xml:space="preserve"> </w:t>
            </w:r>
            <w:r w:rsidRPr="00686181">
              <w:t>count, median (IQR)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0AA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 xml:space="preserve"> 1745 (1280-2280)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18E3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 xml:space="preserve"> 1070 (990-1380)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A35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0.034</w:t>
            </w:r>
          </w:p>
        </w:tc>
      </w:tr>
      <w:tr w:rsidR="00B16A49" w:rsidRPr="00686181" w14:paraId="6CF3AD2B" w14:textId="77777777">
        <w:trPr>
          <w:trHeight w:val="103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1F18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Complicated phenotype, n (%)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9E6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19 (45.2)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DF97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 (20)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553C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0.144</w:t>
            </w:r>
          </w:p>
        </w:tc>
      </w:tr>
      <w:tr w:rsidR="00B16A49" w:rsidRPr="00686181" w14:paraId="568DEB6C" w14:textId="77777777">
        <w:trPr>
          <w:trHeight w:val="103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4AAC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COPD, n (%)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92A8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10 (23.8)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1FA2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4 (40)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533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0.299</w:t>
            </w:r>
          </w:p>
        </w:tc>
      </w:tr>
      <w:tr w:rsidR="00B16A49" w:rsidRPr="00686181" w14:paraId="355172B3" w14:textId="77777777">
        <w:trPr>
          <w:trHeight w:val="103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7FE7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Prior episode of COVID-19, n (%)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8973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14 (33.3)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D405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 (20)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BC74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0.412</w:t>
            </w:r>
          </w:p>
        </w:tc>
      </w:tr>
      <w:tr w:rsidR="00B16A49" w:rsidRPr="00686181" w14:paraId="6FDAF2F2" w14:textId="77777777">
        <w:trPr>
          <w:trHeight w:val="103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1E96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Vaccinated (&gt;=3 doses), n (%)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26FF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34 (80.1)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01E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8 (80)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62D3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0.945</w:t>
            </w:r>
          </w:p>
        </w:tc>
      </w:tr>
      <w:tr w:rsidR="00B16A49" w:rsidRPr="00686181" w14:paraId="4F84E43E" w14:textId="77777777">
        <w:trPr>
          <w:trHeight w:val="103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13E4" w14:textId="77777777" w:rsidR="00B16A49" w:rsidRPr="00686181" w:rsidRDefault="00D94A62">
            <w:pPr>
              <w:widowControl w:val="0"/>
              <w:spacing w:before="0" w:after="0"/>
            </w:pPr>
            <w:r w:rsidRPr="00686181">
              <w:t>Last vaccine dose within 6 months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F3E9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26 (61.9)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0291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5 (50)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551B" w14:textId="77777777" w:rsidR="00B16A49" w:rsidRPr="00686181" w:rsidRDefault="00D94A62">
            <w:pPr>
              <w:widowControl w:val="0"/>
              <w:spacing w:before="0" w:after="0"/>
              <w:jc w:val="center"/>
            </w:pPr>
            <w:r w:rsidRPr="00686181">
              <w:t>0.490</w:t>
            </w:r>
          </w:p>
        </w:tc>
      </w:tr>
    </w:tbl>
    <w:p w14:paraId="38350D0B" w14:textId="77777777" w:rsidR="00B16A49" w:rsidRPr="00686181" w:rsidRDefault="00B16A49">
      <w:pPr>
        <w:spacing w:before="0" w:after="0"/>
        <w:jc w:val="both"/>
      </w:pPr>
    </w:p>
    <w:p w14:paraId="664235C3" w14:textId="77777777" w:rsidR="00B16A49" w:rsidRPr="00686181" w:rsidRDefault="00D94A62">
      <w:pPr>
        <w:spacing w:before="0" w:after="0"/>
        <w:jc w:val="both"/>
      </w:pPr>
      <w:r w:rsidRPr="00686181">
        <w:t>Abbreviation: COPD Chronic Pulmonary Disease, COVID-19 coronavirus disease 2019, IQR interquartile range, SARS-CoV-2 severe acute respiratory syndrome coronavirus 2.</w:t>
      </w:r>
    </w:p>
    <w:p w14:paraId="151560B8" w14:textId="77777777" w:rsidR="00B16A49" w:rsidRPr="00686181" w:rsidRDefault="00B16A49">
      <w:pPr>
        <w:keepNext/>
        <w:rPr>
          <w:b/>
        </w:rPr>
      </w:pPr>
    </w:p>
    <w:p w14:paraId="702C3561" w14:textId="2BB1CD57" w:rsidR="00B16A49" w:rsidRDefault="00D94A62">
      <w:pPr>
        <w:spacing w:before="0" w:after="200" w:line="276" w:lineRule="auto"/>
        <w:jc w:val="both"/>
      </w:pPr>
      <w:r w:rsidRPr="00686181">
        <w:br w:type="page"/>
      </w:r>
      <w:r w:rsidRPr="00686181">
        <w:rPr>
          <w:b/>
        </w:rPr>
        <w:lastRenderedPageBreak/>
        <w:t>Supplementary Figure 1.</w:t>
      </w:r>
      <w:r w:rsidRPr="00686181">
        <w:t xml:space="preserve"> Gating strategy. (A) FACS plots depict the gating strategy for the identification of total (CD19+CD24+CD27+), IgM+ and IgM- MBCs, in a representative HCW. Low (S+) and high (S++) affinity spike-specific MBCs are shown. (B) IgM+, IgM- and RBD+ MBCs among S+ and S++. IgM expression on </w:t>
      </w:r>
      <w:r w:rsidR="00B73E97" w:rsidRPr="00686181">
        <w:t>receptor binding domain (</w:t>
      </w:r>
      <w:r w:rsidRPr="00686181">
        <w:t>RBD+</w:t>
      </w:r>
      <w:r w:rsidR="00125FC6">
        <w:t>)</w:t>
      </w:r>
      <w:r w:rsidRPr="00686181">
        <w:t xml:space="preserve"> MBCs is shown.</w:t>
      </w:r>
      <w:r w:rsidR="00B73E97" w:rsidRPr="00686181">
        <w:t xml:space="preserve"> </w:t>
      </w:r>
    </w:p>
    <w:p w14:paraId="41085D85" w14:textId="70C635A5" w:rsidR="00125FC6" w:rsidRPr="00686181" w:rsidRDefault="00125FC6">
      <w:pPr>
        <w:spacing w:before="0" w:after="200" w:line="276" w:lineRule="auto"/>
        <w:jc w:val="both"/>
      </w:pPr>
      <w:r>
        <w:rPr>
          <w:noProof/>
        </w:rPr>
        <w:drawing>
          <wp:inline distT="0" distB="0" distL="0" distR="0" wp14:anchorId="7F04E004" wp14:editId="1E0A2686">
            <wp:extent cx="6176357" cy="4569880"/>
            <wp:effectExtent l="0" t="0" r="0" b="2540"/>
            <wp:docPr id="2119029900" name="Immagine 1" descr="Immagine che contiene testo, schermata, diagramm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29900" name="Immagine 1" descr="Immagine che contiene testo, schermata, diagramma, design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59" b="52223"/>
                    <a:stretch/>
                  </pic:blipFill>
                  <pic:spPr bwMode="auto">
                    <a:xfrm>
                      <a:off x="0" y="0"/>
                      <a:ext cx="6192635" cy="4581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0515B" w14:textId="77777777" w:rsidR="00B16A49" w:rsidRPr="00686181" w:rsidRDefault="00D94A62">
      <w:pPr>
        <w:spacing w:before="0" w:after="200" w:line="276" w:lineRule="auto"/>
        <w:rPr>
          <w:b/>
        </w:rPr>
      </w:pPr>
      <w:r w:rsidRPr="00686181">
        <w:br w:type="page"/>
      </w:r>
    </w:p>
    <w:p w14:paraId="097DE3E8" w14:textId="77777777" w:rsidR="00B16A49" w:rsidRPr="00686181" w:rsidRDefault="00D94A62">
      <w:pPr>
        <w:spacing w:before="0" w:after="200" w:line="276" w:lineRule="auto"/>
        <w:jc w:val="both"/>
        <w:rPr>
          <w:b/>
        </w:rPr>
      </w:pPr>
      <w:r w:rsidRPr="00686181">
        <w:rPr>
          <w:b/>
        </w:rPr>
        <w:lastRenderedPageBreak/>
        <w:t>Supplementary Figure 2.</w:t>
      </w:r>
      <w:r w:rsidRPr="00686181">
        <w:t xml:space="preserve"> Patients infected by SARS-CoV-2 in the AZD7442 group (red line) and in the no-AZD7442 (blue line) stratified for the entry condition of being COVID-19 naive. The difference between the two groups is expressed as Log-rank (the last significant comparison was reported). Red dots and blue squares represent participants infected in the AZD7442 and in the no-AZD744 group, respectively. </w:t>
      </w:r>
    </w:p>
    <w:p w14:paraId="3D9CF893" w14:textId="77777777" w:rsidR="00B16A49" w:rsidRPr="00686181" w:rsidRDefault="00D94A62">
      <w:pPr>
        <w:jc w:val="center"/>
      </w:pPr>
      <w:r w:rsidRPr="00686181">
        <w:rPr>
          <w:b/>
          <w:noProof/>
        </w:rPr>
        <w:drawing>
          <wp:inline distT="0" distB="0" distL="0" distR="0" wp14:anchorId="34CF6E73" wp14:editId="14CD0B52">
            <wp:extent cx="4530867" cy="2751867"/>
            <wp:effectExtent l="0" t="0" r="0" b="0"/>
            <wp:docPr id="328387502" name="image2.jpg" descr="Immagine che contiene grafic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grafic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0867" cy="2751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F8E935" w14:textId="79A78BF9" w:rsidR="00B16A49" w:rsidRPr="00686181" w:rsidRDefault="00D94A62">
      <w:pPr>
        <w:spacing w:before="0" w:after="200" w:line="276" w:lineRule="auto"/>
        <w:jc w:val="both"/>
        <w:rPr>
          <w:b/>
        </w:rPr>
      </w:pPr>
      <w:r w:rsidRPr="00686181">
        <w:rPr>
          <w:b/>
        </w:rPr>
        <w:t xml:space="preserve">Supplementary Figure 3. </w:t>
      </w:r>
      <w:r w:rsidRPr="00686181">
        <w:t>The proportion of MBC (CD19+CD27+) recorded in patients infected or not by SARS-CoV-2 in the AZD7442 (red histograms) and in the no-AZD7442 group (blue histograms). Histograms indicate</w:t>
      </w:r>
      <w:r w:rsidR="00125FC6">
        <w:t>d</w:t>
      </w:r>
      <w:r w:rsidRPr="00686181">
        <w:t xml:space="preserve"> median. Non-parametric Mann–Whitney t-test was used to evaluate statistical significance. Two-tailed P value significances are shown as *p&lt; 0.05.</w:t>
      </w:r>
      <w:r w:rsidR="00B73E97" w:rsidRPr="00686181">
        <w:t xml:space="preserve"> Abbreviations: MBC memory B cells, COVID-19 coronavirus 19 disease</w:t>
      </w:r>
      <w:r w:rsidR="00125FC6">
        <w:t>.</w:t>
      </w:r>
    </w:p>
    <w:p w14:paraId="6D176CDE" w14:textId="77777777" w:rsidR="00B16A49" w:rsidRDefault="00D94A62">
      <w:pPr>
        <w:keepNext/>
        <w:jc w:val="center"/>
        <w:rPr>
          <w:b/>
        </w:rPr>
      </w:pPr>
      <w:r w:rsidRPr="00686181">
        <w:object w:dxaOrig="5942" w:dyaOrig="3942" w14:anchorId="1937F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97.25pt" o:ole="">
            <v:imagedata r:id="rId10" o:title=""/>
          </v:shape>
          <o:OLEObject Type="Embed" ProgID="Prism8.Document" ShapeID="_x0000_i1025" DrawAspect="Content" ObjectID="_1758527976" r:id="rId11"/>
        </w:object>
      </w:r>
    </w:p>
    <w:p w14:paraId="36B87FF4" w14:textId="77777777" w:rsidR="00B16A49" w:rsidRDefault="00B16A49">
      <w:pPr>
        <w:spacing w:line="360" w:lineRule="auto"/>
        <w:jc w:val="both"/>
        <w:rPr>
          <w:b/>
        </w:rPr>
      </w:pPr>
    </w:p>
    <w:p w14:paraId="5F117E7E" w14:textId="77777777" w:rsidR="00B16A49" w:rsidRDefault="00B16A49">
      <w:pPr>
        <w:spacing w:before="240"/>
      </w:pPr>
    </w:p>
    <w:sectPr w:rsidR="00B16A49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F499" w14:textId="77777777" w:rsidR="00833EEE" w:rsidRDefault="00833EEE">
      <w:pPr>
        <w:spacing w:before="0" w:after="0"/>
      </w:pPr>
      <w:r>
        <w:separator/>
      </w:r>
    </w:p>
  </w:endnote>
  <w:endnote w:type="continuationSeparator" w:id="0">
    <w:p w14:paraId="19561D1F" w14:textId="77777777" w:rsidR="00833EEE" w:rsidRDefault="00833E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AE05" w14:textId="77777777" w:rsidR="00B16A49" w:rsidRDefault="00D94A62">
    <w:pPr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14FB294" wp14:editId="398287DF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328387499" name="Rettangolo 328387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C55F4" w14:textId="77777777" w:rsidR="00B16A49" w:rsidRDefault="00D94A6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* Arabic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4FB294" id="Rettangolo 328387499" o:spid="_x0000_s1026" style="position:absolute;margin-left:369pt;margin-top:0;width:119.5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" filled="f" stroked="f">
              <v:textbox inset="2.53958mm,1.2694mm,2.53958mm,1.2694mm">
                <w:txbxContent>
                  <w:p w14:paraId="35DC55F4" w14:textId="77777777" w:rsidR="00B16A49" w:rsidRDefault="00D94A62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 \* Arabic  \* MERGEFORMAT 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D43" w14:textId="77777777" w:rsidR="00B16A49" w:rsidRDefault="00D94A62">
    <w:pPr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FA34103" wp14:editId="1502097A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328387500" name="Rettangolo 3283875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2A29E" w14:textId="77777777" w:rsidR="00B16A49" w:rsidRDefault="00D94A6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* Arabic  \* MERGEFORMAT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A34103" id="Rettangolo 328387500" o:spid="_x0000_s1027" style="position:absolute;margin-left:369pt;margin-top:0;width:119.55pt;height:3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" filled="f" stroked="f">
              <v:textbox inset="2.53958mm,1.2694mm,2.53958mm,1.2694mm">
                <w:txbxContent>
                  <w:p w14:paraId="21A2A29E" w14:textId="77777777" w:rsidR="00B16A49" w:rsidRDefault="00D94A62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 \* Arabic  \* MERGEFORMAT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7804" w14:textId="77777777" w:rsidR="00833EEE" w:rsidRDefault="00833EEE">
      <w:pPr>
        <w:spacing w:before="0" w:after="0"/>
      </w:pPr>
      <w:r>
        <w:separator/>
      </w:r>
    </w:p>
  </w:footnote>
  <w:footnote w:type="continuationSeparator" w:id="0">
    <w:p w14:paraId="665EDE44" w14:textId="77777777" w:rsidR="00833EEE" w:rsidRDefault="00833E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A49E" w14:textId="77777777" w:rsidR="00B16A49" w:rsidRDefault="00D94A62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BA66" w14:textId="77777777" w:rsidR="00B16A49" w:rsidRDefault="00D94A62">
    <w:r>
      <w:rPr>
        <w:b/>
        <w:noProof/>
        <w:color w:val="A6A6A6"/>
      </w:rPr>
      <w:drawing>
        <wp:inline distT="0" distB="0" distL="0" distR="0" wp14:anchorId="0A324AB1" wp14:editId="466812B6">
          <wp:extent cx="1534909" cy="551877"/>
          <wp:effectExtent l="0" t="0" r="0" b="0"/>
          <wp:docPr id="328387503" name="image4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97E38"/>
    <w:multiLevelType w:val="multilevel"/>
    <w:tmpl w:val="F3B4C3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8179958">
    <w:abstractNumId w:val="0"/>
  </w:num>
  <w:num w:numId="2" w16cid:durableId="979577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918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49"/>
    <w:rsid w:val="00125FC6"/>
    <w:rsid w:val="00686181"/>
    <w:rsid w:val="006A3D51"/>
    <w:rsid w:val="007176D7"/>
    <w:rsid w:val="00833EEE"/>
    <w:rsid w:val="00B16A49"/>
    <w:rsid w:val="00B73E97"/>
    <w:rsid w:val="00D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723E"/>
  <w15:docId w15:val="{32F19EAF-EA78-4DFE-80CA-058AA5F3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2C"/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/>
    </w:p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YVikRNbqgR6Gps9tCmp4zF1Pg==">CgMxLjA4AHIhMWJGelpmUW9yUXNrNlV2MG80c01DT3U2ZHRRMWgwUVRQ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Gillian Attard</cp:lastModifiedBy>
  <cp:revision>4</cp:revision>
  <dcterms:created xsi:type="dcterms:W3CDTF">2023-09-20T18:47:00Z</dcterms:created>
  <dcterms:modified xsi:type="dcterms:W3CDTF">2023-10-11T09:13:00Z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