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30ABEF55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ED21BE">
        <w:rPr>
          <w:rFonts w:hint="eastAsia"/>
          <w:lang w:eastAsia="zh-CN"/>
        </w:rPr>
        <w:t>Tabl</w:t>
      </w:r>
      <w:r w:rsidR="00ED21BE">
        <w:t>e S</w:t>
      </w:r>
      <w:r w:rsidR="00BB79C5">
        <w:t>3</w:t>
      </w:r>
    </w:p>
    <w:p w14:paraId="50984A05" w14:textId="6E81483E" w:rsidR="00BB79C5" w:rsidRDefault="00BB79C5" w:rsidP="00BB79C5">
      <w:r w:rsidRPr="004C05BB">
        <w:t>GO and KEGG pathway functional enrichment f</w:t>
      </w:r>
      <w:r>
        <w:t>or ERVFRD-1 related DEGs</w:t>
      </w:r>
      <w:r w:rsidRPr="004C05BB">
        <w:t>.</w:t>
      </w:r>
    </w:p>
    <w:tbl>
      <w:tblPr>
        <w:tblW w:w="8670" w:type="dxa"/>
        <w:tblInd w:w="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77"/>
        <w:gridCol w:w="5474"/>
      </w:tblGrid>
      <w:tr w:rsidR="00BB79C5" w:rsidRPr="004C05BB" w14:paraId="275A6229" w14:textId="77777777" w:rsidTr="004C1EC8">
        <w:trPr>
          <w:trHeight w:val="29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8C10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ONTOLOGY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3161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ID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1E8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Description</w:t>
            </w:r>
          </w:p>
        </w:tc>
      </w:tr>
      <w:tr w:rsidR="00BB79C5" w:rsidRPr="004C05BB" w14:paraId="677E5B53" w14:textId="77777777" w:rsidTr="004C1EC8">
        <w:trPr>
          <w:trHeight w:val="290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28E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BP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5C3F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GO:0006959</w:t>
            </w:r>
          </w:p>
        </w:tc>
        <w:tc>
          <w:tcPr>
            <w:tcW w:w="54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4D8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humoral immune response</w:t>
            </w:r>
          </w:p>
        </w:tc>
      </w:tr>
      <w:tr w:rsidR="00BB79C5" w:rsidRPr="004C05BB" w14:paraId="3D6FEF29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5827EE7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BP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2A4B5882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GO:0006910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278F3EFB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phagocytosis, recognition</w:t>
            </w:r>
          </w:p>
        </w:tc>
      </w:tr>
      <w:tr w:rsidR="00BB79C5" w:rsidRPr="004C05BB" w14:paraId="4113A768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A36D8C8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BP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75271ECF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GO:0006958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78D5E734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complement activation, classical pathway</w:t>
            </w:r>
          </w:p>
        </w:tc>
      </w:tr>
      <w:tr w:rsidR="00BB79C5" w:rsidRPr="004C05BB" w14:paraId="2ED70C2C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A0A21D1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BP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61C00B04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GO:0002455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1F738C38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humoral immune response mediated by circulating immunoglobulin</w:t>
            </w:r>
          </w:p>
        </w:tc>
      </w:tr>
      <w:tr w:rsidR="00BB79C5" w:rsidRPr="004C05BB" w14:paraId="575C4611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AFAC6EF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CC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51AE7539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GO:0019814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2CD3E09A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immunoglobulin complex</w:t>
            </w:r>
          </w:p>
        </w:tc>
      </w:tr>
      <w:tr w:rsidR="00BB79C5" w:rsidRPr="004C05BB" w14:paraId="60E507CA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9F8D704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CC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2A5D69F4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GO:0042571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5CB683A4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immunoglobulin complex, circulating</w:t>
            </w:r>
          </w:p>
        </w:tc>
      </w:tr>
      <w:tr w:rsidR="00BB79C5" w:rsidRPr="004C05BB" w14:paraId="5539D2A8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D68A8B9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CC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431DA0F7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GO:0072562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62B502D0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blood microparticle</w:t>
            </w:r>
          </w:p>
        </w:tc>
      </w:tr>
      <w:tr w:rsidR="00BB79C5" w:rsidRPr="004C05BB" w14:paraId="6054389E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65362DB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CC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68042DA5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GO:0009897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0357F4BA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external side of plasma membrane</w:t>
            </w:r>
          </w:p>
        </w:tc>
      </w:tr>
      <w:tr w:rsidR="00BB79C5" w:rsidRPr="004C05BB" w14:paraId="39ECBE52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A0CF651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MF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7E5250FF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GO:0003823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36FA4318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antigen binding</w:t>
            </w:r>
          </w:p>
        </w:tc>
      </w:tr>
      <w:tr w:rsidR="00BB79C5" w:rsidRPr="004C05BB" w14:paraId="2EDF3419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A4E1805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MF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30FC558E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GO:0034987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5B6AE4FA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immunoglobulin receptor binding</w:t>
            </w:r>
          </w:p>
        </w:tc>
      </w:tr>
      <w:tr w:rsidR="00BB79C5" w:rsidRPr="004C05BB" w14:paraId="434E89AF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3DE5E6D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MF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44D9500B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GO:0030280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5FE084AB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structural constituent of skin epidermis</w:t>
            </w:r>
          </w:p>
        </w:tc>
      </w:tr>
      <w:tr w:rsidR="00BB79C5" w:rsidRPr="004C05BB" w14:paraId="7FD1550F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704D830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MF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4FE68C91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GO:0004866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5AAB7C6D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endopeptidase inhibitor activity</w:t>
            </w:r>
          </w:p>
        </w:tc>
      </w:tr>
      <w:tr w:rsidR="00BB79C5" w:rsidRPr="004C05BB" w14:paraId="29EF9D55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CB91D22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KEGG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049F5E6C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hsa04080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70F60A22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Neuroactive ligand-receptor interaction</w:t>
            </w:r>
          </w:p>
        </w:tc>
      </w:tr>
      <w:tr w:rsidR="00BB79C5" w:rsidRPr="004C05BB" w14:paraId="241EF4ED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8739DC5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KEGG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36786AE1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hsa04610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44A90B2F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Complement and coagulation cascades</w:t>
            </w:r>
          </w:p>
        </w:tc>
      </w:tr>
      <w:tr w:rsidR="00BB79C5" w:rsidRPr="004C05BB" w14:paraId="4E1E7F80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2A6DC52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KEGG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665F26C7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hsa04950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6B5F9D32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Maturity onset diabetes of the young</w:t>
            </w:r>
          </w:p>
        </w:tc>
      </w:tr>
      <w:tr w:rsidR="00BB79C5" w:rsidRPr="004C05BB" w14:paraId="6918061A" w14:textId="77777777" w:rsidTr="004C1EC8">
        <w:trPr>
          <w:trHeight w:val="29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30E208E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KEGG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50038CE6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hsa04975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33413EEE" w14:textId="77777777" w:rsidR="00BB79C5" w:rsidRPr="00BB79C5" w:rsidRDefault="00BB79C5" w:rsidP="00BB79C5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BB79C5">
              <w:rPr>
                <w:rFonts w:eastAsia="宋体" w:cs="Times New Roman"/>
                <w:color w:val="000000"/>
                <w:szCs w:val="24"/>
                <w:lang w:eastAsia="zh-CN"/>
              </w:rPr>
              <w:t>Fat digestion and absorption</w:t>
            </w:r>
          </w:p>
        </w:tc>
      </w:tr>
    </w:tbl>
    <w:p w14:paraId="59AF04E3" w14:textId="77777777" w:rsidR="00BB79C5" w:rsidRDefault="00BB79C5" w:rsidP="00BB79C5">
      <w:pPr>
        <w:spacing w:before="240"/>
      </w:pPr>
      <w:bookmarkStart w:id="0" w:name="OLE_LINK68"/>
      <w:bookmarkStart w:id="1" w:name="OLE_LINK69"/>
      <w:r>
        <w:rPr>
          <w:rFonts w:cs="Times New Roman"/>
        </w:rPr>
        <w:t>A</w:t>
      </w:r>
      <w:r>
        <w:t xml:space="preserve">bbreviations: </w:t>
      </w:r>
      <w:r>
        <w:rPr>
          <w:rFonts w:hint="eastAsia"/>
        </w:rPr>
        <w:t xml:space="preserve">GO, </w:t>
      </w:r>
      <w:r>
        <w:t>Gene Ontology</w:t>
      </w:r>
      <w:r>
        <w:rPr>
          <w:rFonts w:hint="eastAsia"/>
        </w:rPr>
        <w:t xml:space="preserve">; </w:t>
      </w:r>
      <w:r>
        <w:t>KEGG,</w:t>
      </w:r>
      <w:r>
        <w:rPr>
          <w:rFonts w:cs="Times New Roman"/>
        </w:rPr>
        <w:t xml:space="preserve"> </w:t>
      </w:r>
      <w:r>
        <w:rPr>
          <w:rFonts w:cs="Times New Roman"/>
          <w:szCs w:val="24"/>
        </w:rPr>
        <w:t>Kyoto Encyclopedia of Genes and Genomes</w:t>
      </w:r>
      <w:r>
        <w:rPr>
          <w:rFonts w:hint="eastAsia"/>
        </w:rPr>
        <w:t>;</w:t>
      </w:r>
      <w:r>
        <w:t xml:space="preserve"> DEG</w:t>
      </w:r>
      <w:r>
        <w:rPr>
          <w:rFonts w:hint="eastAsia"/>
        </w:rPr>
        <w:t>s</w:t>
      </w:r>
      <w:r>
        <w:t>, differentially expressed genes</w:t>
      </w:r>
      <w:r>
        <w:rPr>
          <w:rFonts w:hint="eastAsia"/>
        </w:rPr>
        <w:t xml:space="preserve">; </w:t>
      </w:r>
      <w:r>
        <w:t>BP, biological processes</w:t>
      </w:r>
      <w:r>
        <w:rPr>
          <w:rFonts w:hint="eastAsia"/>
        </w:rPr>
        <w:t>;</w:t>
      </w:r>
      <w:r>
        <w:t xml:space="preserve"> CC, subcellular localizations; MF, molecular functions</w:t>
      </w:r>
      <w:bookmarkEnd w:id="0"/>
      <w:bookmarkEnd w:id="1"/>
      <w:r>
        <w:rPr>
          <w:rFonts w:hint="eastAsia"/>
        </w:rPr>
        <w:t>.</w:t>
      </w:r>
    </w:p>
    <w:p w14:paraId="2A5B5275" w14:textId="77777777" w:rsidR="00BB79C5" w:rsidRPr="00F45508" w:rsidRDefault="00BB79C5" w:rsidP="00BB79C5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BB79C5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1819" w14:textId="77777777" w:rsidR="00BE494B" w:rsidRDefault="00BE494B" w:rsidP="00117666">
      <w:pPr>
        <w:spacing w:after="0"/>
      </w:pPr>
      <w:r>
        <w:separator/>
      </w:r>
    </w:p>
  </w:endnote>
  <w:endnote w:type="continuationSeparator" w:id="0">
    <w:p w14:paraId="12B97120" w14:textId="77777777" w:rsidR="00BE494B" w:rsidRDefault="00BE494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CF00" w14:textId="77777777" w:rsidR="00BE494B" w:rsidRDefault="00BE494B" w:rsidP="00117666">
      <w:pPr>
        <w:spacing w:after="0"/>
      </w:pPr>
      <w:r>
        <w:separator/>
      </w:r>
    </w:p>
  </w:footnote>
  <w:footnote w:type="continuationSeparator" w:id="0">
    <w:p w14:paraId="7F6E5B51" w14:textId="77777777" w:rsidR="00BE494B" w:rsidRDefault="00BE494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0C89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B79C5"/>
    <w:rsid w:val="00BE494B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D21B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沈家欣</cp:lastModifiedBy>
  <cp:revision>2</cp:revision>
  <cp:lastPrinted>2013-10-03T12:51:00Z</cp:lastPrinted>
  <dcterms:created xsi:type="dcterms:W3CDTF">2023-07-04T10:35:00Z</dcterms:created>
  <dcterms:modified xsi:type="dcterms:W3CDTF">2023-07-04T10:35:00Z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