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  <w:rPr>
          <w:rFonts w:cs="Times New Roman"/>
          <w:szCs w:val="24"/>
        </w:rPr>
      </w:pPr>
      <w:r>
        <w:t>Supplementary Figures</w:t>
      </w:r>
    </w:p>
    <w:p/>
    <w:p>
      <w:pPr>
        <w:pStyle w:val="2"/>
        <w:numPr>
          <w:ilvl w:val="0"/>
          <w:numId w:val="0"/>
        </w:numPr>
        <w:ind w:leftChars="0"/>
        <w:jc w:val="center"/>
        <w:rPr>
          <w:b/>
          <w:lang w:val="en-GB" w:eastAsia="en-GB"/>
        </w:rPr>
      </w:pPr>
      <w:r>
        <w:rPr>
          <w:b/>
          <w:lang w:val="en-GB" w:eastAsia="en-GB"/>
        </w:rPr>
        <w:drawing>
          <wp:inline distT="0" distB="0" distL="0" distR="0">
            <wp:extent cx="4835525" cy="5627370"/>
            <wp:effectExtent l="0" t="0" r="15875" b="11430"/>
            <wp:docPr id="6" name="Picture 6" descr="/Users/yangxiaoliu38438/Desktop/文章写作/原始数据/Figure/Supplementary-1.tifSupplementar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Users/yangxiaoliu38438/Desktop/文章写作/原始数据/Figure/Supplementary-1.tifSupplementary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56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rPr>
          <w:rFonts w:hint="default" w:cs="Times New Roman"/>
          <w:color w:val="auto"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 xml:space="preserve">The </w:t>
      </w:r>
      <w:r>
        <w:rPr>
          <w:rFonts w:hint="eastAsia"/>
        </w:rPr>
        <w:t>number</w:t>
      </w:r>
      <w:r>
        <w:t xml:space="preserve"> of macrophages in the ischemic muscle tissue of HLI mice was not altered by DAPA treatment</w:t>
      </w:r>
      <w:r>
        <w:rPr>
          <w:rFonts w:ascii="宋体" w:hAnsi="宋体" w:eastAsia="宋体" w:cs="宋体"/>
        </w:rPr>
        <w:t>.</w:t>
      </w:r>
      <w:r>
        <w:t xml:space="preserve"> (A) Representative images of CD68 and DAPI staining in the ischemic gastrocnemius muscle. (B) Quantitative analysis of the total</w:t>
      </w:r>
      <w:r>
        <w:rPr>
          <w:rFonts w:hint="eastAsia"/>
        </w:rPr>
        <w:t xml:space="preserve"> </w:t>
      </w:r>
      <w:r>
        <w:t>macrophages was calculated as the ratio of</w:t>
      </w:r>
      <w:r>
        <w:rPr>
          <w:color w:val="auto"/>
        </w:rPr>
        <w:t xml:space="preserve"> CD68+ cells and DAPI+ cells. Scale bar =100μm. NS indicates no significance</w:t>
      </w:r>
      <w:r>
        <w:rPr>
          <w:rFonts w:ascii="宋体" w:hAnsi="宋体" w:eastAsia="宋体" w:cs="宋体"/>
          <w:color w:val="auto"/>
        </w:rPr>
        <w:t>.</w:t>
      </w:r>
      <w:r>
        <w:rPr>
          <w:rFonts w:hint="default"/>
          <w:color w:val="auto"/>
        </w:rPr>
        <w:t xml:space="preserve"> </w:t>
      </w:r>
      <w:r>
        <w:rPr>
          <w:rFonts w:hint="default"/>
          <w:color w:val="auto"/>
          <w:szCs w:val="24"/>
        </w:rPr>
        <w:t xml:space="preserve">n=5-7, </w:t>
      </w:r>
      <w:r>
        <w:rPr>
          <w:color w:val="auto"/>
          <w:szCs w:val="24"/>
        </w:rPr>
        <w:t>Multiple group comparisons were made using one-way ANOVA, followed by Bonferroni post hoc test</w:t>
      </w:r>
      <w:r>
        <w:rPr>
          <w:rFonts w:hint="default"/>
          <w:color w:val="auto"/>
        </w:rPr>
        <w:t>.</w:t>
      </w:r>
    </w:p>
    <w:p/>
    <w:p>
      <w:pPr>
        <w:keepNext/>
        <w:jc w:val="center"/>
        <w:rPr>
          <w:b/>
          <w:lang w:val="en-GB" w:eastAsia="en-GB"/>
        </w:rPr>
      </w:pPr>
      <w:r>
        <w:rPr>
          <w:b/>
          <w:lang w:val="en-GB" w:eastAsia="en-GB"/>
        </w:rPr>
        <w:drawing>
          <wp:inline distT="0" distB="0" distL="0" distR="0">
            <wp:extent cx="5817235" cy="3400425"/>
            <wp:effectExtent l="0" t="0" r="24765" b="3175"/>
            <wp:docPr id="2" name="Picture 6" descr="/Users/yangxiaoliu38438/Desktop/文章写作/原始数据/Figure/Supplementary-2.tifSupplementar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/Users/yangxiaoliu38438/Desktop/文章写作/原始数据/Figure/Supplementary-2.tifSupplementary-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tabs>
          <w:tab w:val="left" w:pos="4957"/>
        </w:tabs>
        <w:spacing w:line="360" w:lineRule="auto"/>
        <w:ind w:left="0" w:firstLine="0"/>
        <w:rPr>
          <w:b/>
          <w:lang w:val="en-GB" w:eastAsia="en-GB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default" w:cs="Times New Roman"/>
          <w:b/>
          <w:szCs w:val="24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 xml:space="preserve">The effect of dapagliflozin on the polarization of BMDMs under different treatment times and concentrations </w:t>
      </w:r>
      <w:r>
        <w:rPr>
          <w:i/>
          <w:iCs/>
        </w:rPr>
        <w:t>in vitro</w:t>
      </w:r>
      <w:r>
        <w:t xml:space="preserve">. (A and B) Representative western blotting images (A) and summary densitometry graph (B) illustrating expression of Arg-1 and iNOS in LPS-stimulated mouse BMDMs treated with </w:t>
      </w:r>
      <w:r>
        <w:rPr>
          <w:rFonts w:hint="eastAsia"/>
        </w:rPr>
        <w:t>d</w:t>
      </w:r>
      <w:r>
        <w:t xml:space="preserve">apagliflozin at different times </w:t>
      </w:r>
      <w:r>
        <w:rPr>
          <w:i/>
          <w:iCs/>
        </w:rPr>
        <w:t>in vitro</w:t>
      </w:r>
      <w:r>
        <w:t>. (C and D) Representative western blotting images (C) and summary densitometry graph (D) illustrating expression of Arg-1 and iNOS in mouse BMDMs treated with different concentrations of dapagliflozin. NS indicates no significan</w:t>
      </w:r>
      <w:r>
        <w:rPr>
          <w:color w:val="auto"/>
        </w:rPr>
        <w:t xml:space="preserve">ce, </w:t>
      </w:r>
      <w:r>
        <w:rPr>
          <w:rFonts w:hint="default"/>
          <w:color w:val="auto"/>
          <w:szCs w:val="24"/>
        </w:rPr>
        <w:t xml:space="preserve">n=4, </w:t>
      </w:r>
      <w:r>
        <w:rPr>
          <w:color w:val="auto"/>
          <w:szCs w:val="24"/>
        </w:rPr>
        <w:t>Multiple group comparisons were made using one-way ANOVA, followed by Bonferroni post hoc test,</w:t>
      </w:r>
      <w:r>
        <w:rPr>
          <w:rFonts w:hint="default"/>
          <w:color w:val="auto"/>
          <w:szCs w:val="24"/>
        </w:rPr>
        <w:t xml:space="preserve"> </w:t>
      </w:r>
      <w:r>
        <w:rPr>
          <w:color w:val="auto"/>
        </w:rPr>
        <w:t>*P&lt;0</w:t>
      </w:r>
      <w:r>
        <w:t>.05, **P&lt;0.01.</w:t>
      </w:r>
    </w:p>
    <w:p>
      <w:pPr>
        <w:keepNext/>
        <w:jc w:val="center"/>
        <w:rPr>
          <w:b/>
          <w:lang w:val="en-GB" w:eastAsia="en-GB"/>
        </w:rPr>
      </w:pPr>
      <w:r>
        <w:rPr>
          <w:b/>
          <w:lang w:val="en-GB" w:eastAsia="en-GB"/>
        </w:rPr>
        <w:drawing>
          <wp:inline distT="0" distB="0" distL="0" distR="0">
            <wp:extent cx="5956935" cy="6114415"/>
            <wp:effectExtent l="0" t="0" r="12065" b="6985"/>
            <wp:docPr id="3" name="Picture 6" descr="/Users/yangxiaoliu38438/Desktop/文章写作/原始数据/Figure/Supplementary-3.tifSupplementary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/Users/yangxiaoliu38438/Desktop/文章写作/原始数据/Figure/Supplementary-3.tifSupplementary-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  <w:tabs>
          <w:tab w:val="left" w:pos="4957"/>
        </w:tabs>
        <w:spacing w:line="360" w:lineRule="auto"/>
        <w:ind w:left="0" w:firstLine="0"/>
        <w:rPr>
          <w:rFonts w:hint="default"/>
          <w:color w:val="auto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default" w:cs="Times New Roman"/>
          <w:b/>
          <w:szCs w:val="24"/>
        </w:rPr>
        <w:t>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t>Direct treatment of dapagliflozin does not change the ability of migration, proliferation, and tube formation of HUVEC</w:t>
      </w:r>
      <w:r>
        <w:rPr>
          <w:rFonts w:ascii="宋体" w:hAnsi="宋体" w:eastAsia="宋体" w:cs="宋体"/>
        </w:rPr>
        <w:t xml:space="preserve">. </w:t>
      </w:r>
      <w:r>
        <w:t xml:space="preserve">Representative images (A) of the scratch assay </w:t>
      </w:r>
      <w:r>
        <w:rPr>
          <w:i/>
          <w:iCs/>
        </w:rPr>
        <w:t>in vitro</w:t>
      </w:r>
      <w:r>
        <w:t xml:space="preserve"> and quantitative analysis (B) of the migration area were presented. Scale bar =500µm. (C) Representative images of EdU staining showing the effects of the macrophage-conditioned medium on the proliferation of HUVECs. Quantification results (D) of EdU staining were calculated as the ratio of EdU+ cells and DAPI+ cells. Scale bar =200µm. Representative images (E) of the HUVECs tube formation test. </w:t>
      </w:r>
      <w:r>
        <w:rPr>
          <w:rFonts w:hint="eastAsia"/>
        </w:rPr>
        <w:t>Th</w:t>
      </w:r>
      <w:r>
        <w:t>e number of branches (F) and total length (G) of the tubule structure were quantified. Scale bar =500</w:t>
      </w:r>
      <w:r>
        <w:rPr>
          <w:color w:val="auto"/>
        </w:rPr>
        <w:t>µm. NS indicates no significance.</w:t>
      </w:r>
      <w:r>
        <w:rPr>
          <w:rFonts w:hint="default"/>
          <w:color w:val="auto"/>
          <w:szCs w:val="24"/>
        </w:rPr>
        <w:t xml:space="preserve"> n=4, </w:t>
      </w:r>
      <w:r>
        <w:rPr>
          <w:rFonts w:hint="eastAsia"/>
          <w:color w:val="auto"/>
          <w:szCs w:val="24"/>
        </w:rPr>
        <w:t>Statistical comparisons were made using</w:t>
      </w:r>
      <w:r>
        <w:rPr>
          <w:color w:val="auto"/>
          <w:szCs w:val="24"/>
        </w:rPr>
        <w:t xml:space="preserve"> Mann–Whitney test</w:t>
      </w:r>
      <w:r>
        <w:rPr>
          <w:rFonts w:hint="default"/>
          <w:color w:val="auto"/>
        </w:rPr>
        <w:t>.</w:t>
      </w:r>
      <w:bookmarkStart w:id="0" w:name="_GoBack"/>
      <w:bookmarkEnd w:id="0"/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TFdEItIAAAAEAQAADwAAAAAAAAABACAAAAA4&#10;AAAAZHJzL2Rvd25yZXYueG1sUEsBAhQAFAAAAAgAh07iQEQHADgzAgAAdQQAAA4AAAAAAAAAAQAg&#10;AAAANwEAAGRycy9lMm9Eb2MueG1sUEsFBgAAAAAGAAYAWQEAANw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ExXRCLSAAAABAEAAA8AAAAAAAAAAQAgAAAAOAAA&#10;AGRycy9kb3ducmV2LnhtbFBLAQIUABQAAAAIAIdO4kBbEdXxMQIAAHMEAAAOAAAAAAAAAAEAIAAA&#10;ADcBAABkcnMvZTJvRG9jLnhtbFBLBQYAAAAABgAGAFkBAADa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35FBD1BA"/>
    <w:rsid w:val="3A37FE9D"/>
    <w:rsid w:val="3EFF1A47"/>
    <w:rsid w:val="7AA9F567"/>
    <w:rsid w:val="7F9A0264"/>
    <w:rsid w:val="BBBEBE1A"/>
    <w:rsid w:val="C3BF8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customStyle="1" w:styleId="54">
    <w:name w:val="List Paragraph1"/>
    <w:basedOn w:val="1"/>
    <w:qFormat/>
    <w:uiPriority w:val="0"/>
    <w:pPr>
      <w:widowControl/>
      <w:spacing w:before="120" w:after="240"/>
      <w:ind w:left="1440" w:hanging="360"/>
      <w:contextualSpacing/>
      <w:jc w:val="left"/>
    </w:pPr>
    <w:rPr>
      <w:rFonts w:ascii="Times New Roman" w:hAnsi="Times New Roman" w:eastAsia="Cambria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yangxiaoliu38438/Library/Containers/com.kingsoft.wpsoffice.mac/Data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142</Words>
  <Characters>810</Characters>
  <Lines>6</Lines>
  <Paragraphs>1</Paragraphs>
  <TotalTime>0</TotalTime>
  <ScaleCrop>false</ScaleCrop>
  <LinksUpToDate>false</LinksUpToDate>
  <CharactersWithSpaces>951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2022-11-19T00:58:00Z</dcterms:created>
  <dc:creator>Frontiers</dc:creator>
  <cp:lastModifiedBy>一介俗人</cp:lastModifiedBy>
  <cp:lastPrinted>2013-10-04T20:51:00Z</cp:lastPrinted>
  <dcterms:modified xsi:type="dcterms:W3CDTF">2023-09-15T14:33:25Z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2052-5.5.0.7954</vt:lpwstr>
  </property>
  <property fmtid="{D5CDD505-2E9C-101B-9397-08002B2CF9AE}" pid="11" name="ICV">
    <vt:lpwstr>EE017FE69981DD7CB5FA0365D63EF260_43</vt:lpwstr>
  </property>
</Properties>
</file>