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2FA248E9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D0B3E41" w14:textId="042A1573" w:rsidR="00FA00CE" w:rsidRPr="00A1697C" w:rsidRDefault="00FA00CE" w:rsidP="00FA00CE">
      <w:pPr>
        <w:pStyle w:val="Heading1"/>
        <w:rPr>
          <w:lang w:eastAsia="ko-KR"/>
        </w:rPr>
      </w:pPr>
      <w:r>
        <w:rPr>
          <w:lang w:eastAsia="ko-KR"/>
        </w:rPr>
        <w:t>Description of v</w:t>
      </w:r>
      <w:r w:rsidRPr="00A1697C">
        <w:rPr>
          <w:lang w:eastAsia="ko-KR"/>
        </w:rPr>
        <w:t xml:space="preserve">iscous energy loss rate </w:t>
      </w:r>
    </w:p>
    <w:p w14:paraId="63602BC3" w14:textId="77777777" w:rsidR="00FA00CE" w:rsidRPr="007A34E0" w:rsidRDefault="00FA00CE" w:rsidP="00FA00CE">
      <w:pPr>
        <w:spacing w:after="0" w:line="360" w:lineRule="auto"/>
        <w:contextualSpacing/>
        <w:jc w:val="both"/>
        <w:rPr>
          <w:rFonts w:eastAsia="Malgun Gothic" w:cs="Times New Roman"/>
          <w:szCs w:val="24"/>
          <w:lang w:eastAsia="ko-KR"/>
        </w:rPr>
      </w:pPr>
      <w:r w:rsidRPr="007A34E0">
        <w:rPr>
          <w:rFonts w:eastAsia="Malgun Gothic" w:cs="Times New Roman"/>
          <w:szCs w:val="24"/>
          <w:lang w:eastAsia="ko-KR"/>
        </w:rPr>
        <w:t>Viscous energy loss rate (VELR) represents the rate of flow mechanical energy loss due to friction between two adjacent fluid layers moving at a different velocity (i.e., fluid shear).</w:t>
      </w:r>
      <w:r w:rsidRPr="007A34E0">
        <w:rPr>
          <w:rFonts w:eastAsia="Malgun Gothic" w:cs="Times New Roman"/>
          <w:szCs w:val="24"/>
          <w:lang w:eastAsia="ko-KR"/>
        </w:rPr>
        <w:fldChar w:fldCharType="begin"/>
      </w:r>
      <w:r w:rsidRPr="007A34E0">
        <w:rPr>
          <w:rFonts w:eastAsia="Malgun Gothic" w:cs="Times New Roman"/>
          <w:szCs w:val="24"/>
          <w:lang w:eastAsia="ko-KR"/>
        </w:rPr>
        <w:instrText xml:space="preserve"> ADDIN EN.CITE &lt;EndNote&gt;&lt;Cite&gt;&lt;Author&gt;Kundu&lt;/Author&gt;&lt;Year&gt;2008&lt;/Year&gt;&lt;RecNum&gt;17&lt;/RecNum&gt;&lt;DisplayText&gt;[1]&lt;/DisplayText&gt;&lt;record&gt;&lt;rec-number&gt;17&lt;/rec-number&gt;&lt;foreign-keys&gt;&lt;key app="EN" db-id="pdwxfp02qrxad6erx0l5fdawzexsptzp5pfz" timestamp="1638917647"&gt;17&lt;/key&gt;&lt;/foreign-keys&gt;&lt;ref-type name="Generic"&gt;13&lt;/ref-type&gt;&lt;contributors&gt;&lt;authors&gt;&lt;author&gt;Kundu, Pijush K&lt;/author&gt;&lt;author&gt;Cohen, Ira M&lt;/author&gt;&lt;/authors&gt;&lt;/contributors&gt;&lt;titles&gt;&lt;title&gt;Fluid Mechanics, fourth edition&lt;/title&gt;&lt;/titles&gt;&lt;pages&gt;112-113&lt;/pages&gt;&lt;dates&gt;&lt;year&gt;2008&lt;/year&gt;&lt;/dates&gt;&lt;publisher&gt;Elsevier&lt;/publisher&gt;&lt;urls&gt;&lt;/urls&gt;&lt;/record&gt;&lt;/Cite&gt;&lt;Cite&gt;&lt;Author&gt;Kundu&lt;/Author&gt;&lt;Year&gt;2008&lt;/Year&gt;&lt;RecNum&gt;17&lt;/RecNum&gt;&lt;record&gt;&lt;rec-number&gt;17&lt;/rec-number&gt;&lt;foreign-keys&gt;&lt;key app="EN" db-id="pdwxfp02qrxad6erx0l5fdawzexsptzp5pfz" timestamp="1638917647"&gt;17&lt;/key&gt;&lt;/foreign-keys&gt;&lt;ref-type name="Generic"&gt;13&lt;/ref-type&gt;&lt;contributors&gt;&lt;authors&gt;&lt;author&gt;Kundu, Pijush K&lt;/author&gt;&lt;author&gt;Cohen, Ira M&lt;/author&gt;&lt;/authors&gt;&lt;/contributors&gt;&lt;titles&gt;&lt;title&gt;Fluid Mechanics, fourth edition&lt;/title&gt;&lt;/titles&gt;&lt;pages&gt;112-113&lt;/pages&gt;&lt;dates&gt;&lt;year&gt;2008&lt;/year&gt;&lt;/dates&gt;&lt;publisher&gt;Elsevier&lt;/publisher&gt;&lt;urls&gt;&lt;/urls&gt;&lt;/record&gt;&lt;/Cite&gt;&lt;/EndNote&gt;</w:instrText>
      </w:r>
      <w:r w:rsidRPr="007A34E0">
        <w:rPr>
          <w:rFonts w:eastAsia="Malgun Gothic" w:cs="Times New Roman"/>
          <w:szCs w:val="24"/>
          <w:lang w:eastAsia="ko-KR"/>
        </w:rPr>
        <w:fldChar w:fldCharType="separate"/>
      </w:r>
      <w:r w:rsidRPr="007A34E0">
        <w:rPr>
          <w:rFonts w:eastAsia="Malgun Gothic" w:cs="Times New Roman"/>
          <w:noProof/>
          <w:szCs w:val="24"/>
          <w:lang w:eastAsia="ko-KR"/>
        </w:rPr>
        <w:t>[1]</w:t>
      </w:r>
      <w:r w:rsidRPr="007A34E0">
        <w:rPr>
          <w:rFonts w:eastAsia="Malgun Gothic" w:cs="Times New Roman"/>
          <w:szCs w:val="24"/>
          <w:lang w:eastAsia="ko-KR"/>
        </w:rPr>
        <w:fldChar w:fldCharType="end"/>
      </w:r>
      <w:r w:rsidRPr="007A34E0">
        <w:rPr>
          <w:rFonts w:eastAsia="Malgun Gothic" w:cs="Times New Roman"/>
          <w:szCs w:val="24"/>
          <w:lang w:eastAsia="ko-KR"/>
        </w:rPr>
        <w:t xml:space="preserve"> Assuming blood as an incompressible and Newtonian fluid, VELR per unit volume can be calculated as,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76"/>
        <w:gridCol w:w="6946"/>
        <w:gridCol w:w="1128"/>
      </w:tblGrid>
      <w:tr w:rsidR="00FA00CE" w:rsidRPr="007A34E0" w14:paraId="2EC51607" w14:textId="77777777" w:rsidTr="00743A0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BC442" w14:textId="77777777" w:rsidR="00FA00CE" w:rsidRPr="007A34E0" w:rsidRDefault="00FA00CE" w:rsidP="00743A01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511CF" w14:textId="77777777" w:rsidR="00FA00CE" w:rsidRPr="007A34E0" w:rsidRDefault="00FA00CE" w:rsidP="00743A01">
            <w:pPr>
              <w:spacing w:line="360" w:lineRule="auto"/>
              <w:ind w:firstLine="720"/>
              <w:contextualSpacing/>
              <w:jc w:val="both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VELR=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4"/>
                  </w:rPr>
                  <m:t>μ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3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∂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Cs w:val="24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∂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Cs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∂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Cs w:val="24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Cs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∂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nary>
                  </m:e>
                </m:nary>
                <m:r>
                  <w:rPr>
                    <w:rFonts w:ascii="Cambria Math" w:hAnsi="Cambria Math" w:cs="Times New Roman"/>
                    <w:szCs w:val="24"/>
                  </w:rPr>
                  <m:t xml:space="preserve"> μ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∂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∂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1986" w14:textId="77777777" w:rsidR="00FA00CE" w:rsidRPr="007A34E0" w:rsidRDefault="00FA00CE" w:rsidP="00743A01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</w:tbl>
    <w:p w14:paraId="59EAD70B" w14:textId="77777777" w:rsidR="00FA00CE" w:rsidRPr="007A34E0" w:rsidRDefault="00FA00CE" w:rsidP="00FA00CE">
      <w:pPr>
        <w:spacing w:after="0" w:line="360" w:lineRule="auto"/>
        <w:contextualSpacing/>
        <w:jc w:val="both"/>
        <w:rPr>
          <w:rFonts w:eastAsia="Malgun Gothic" w:cs="Times New Roman"/>
          <w:szCs w:val="24"/>
          <w:lang w:eastAsia="ko-KR"/>
        </w:rPr>
      </w:pPr>
      <w:r w:rsidRPr="007A34E0">
        <w:rPr>
          <w:rFonts w:eastAsia="Malgun Gothic" w:cs="Times New Roman"/>
          <w:szCs w:val="24"/>
          <w:lang w:eastAsia="ko-KR"/>
        </w:rPr>
        <w:t xml:space="preserve">where </w:t>
      </w:r>
      <m:oMath>
        <m:r>
          <w:rPr>
            <w:rFonts w:ascii="Cambria Math" w:eastAsia="Malgun Gothic" w:hAnsi="Cambria Math" w:cs="Times New Roman"/>
            <w:szCs w:val="24"/>
            <w:lang w:eastAsia="ko-KR"/>
          </w:rPr>
          <m:t>μ</m:t>
        </m:r>
      </m:oMath>
      <w:r w:rsidRPr="007A34E0">
        <w:rPr>
          <w:rFonts w:eastAsia="Malgun Gothic" w:cs="Times New Roman"/>
          <w:szCs w:val="24"/>
          <w:lang w:eastAsia="ko-KR"/>
        </w:rPr>
        <w:t xml:space="preserve"> indicates the dynamic viscosity and </w:t>
      </w:r>
      <m:oMath>
        <m:sSub>
          <m:sSubPr>
            <m:ctrlPr>
              <w:rPr>
                <w:rFonts w:ascii="Cambria Math" w:eastAsia="Malgun Gothic" w:hAnsi="Cambria Math" w:cs="Times New Roman"/>
                <w:i/>
                <w:szCs w:val="24"/>
                <w:lang w:eastAsia="ko-KR"/>
              </w:rPr>
            </m:ctrlPr>
          </m:sSubPr>
          <m:e>
            <m:r>
              <w:rPr>
                <w:rFonts w:ascii="Cambria Math" w:eastAsia="Malgun Gothic" w:hAnsi="Cambria Math" w:cs="Times New Roman"/>
                <w:szCs w:val="24"/>
                <w:lang w:eastAsia="ko-KR"/>
              </w:rPr>
              <m:t>u</m:t>
            </m:r>
          </m:e>
          <m:sub>
            <m:r>
              <w:rPr>
                <w:rFonts w:ascii="Cambria Math" w:eastAsia="Malgun Gothic" w:hAnsi="Cambria Math" w:cs="Times New Roman"/>
                <w:szCs w:val="24"/>
                <w:lang w:eastAsia="ko-KR"/>
              </w:rPr>
              <m:t>i</m:t>
            </m:r>
          </m:sub>
        </m:sSub>
      </m:oMath>
      <w:r w:rsidRPr="007A34E0">
        <w:rPr>
          <w:rFonts w:eastAsia="Malgun Gothic" w:cs="Times New Roman"/>
          <w:szCs w:val="24"/>
          <w:lang w:eastAsia="ko-KR"/>
        </w:rPr>
        <w:t xml:space="preserve"> indicates the velocity component along </w:t>
      </w:r>
      <m:oMath>
        <m:sSub>
          <m:sSubPr>
            <m:ctrlPr>
              <w:rPr>
                <w:rFonts w:ascii="Cambria Math" w:eastAsia="Malgun Gothic" w:hAnsi="Cambria Math" w:cs="Times New Roman"/>
                <w:i/>
                <w:szCs w:val="24"/>
                <w:lang w:eastAsia="ko-KR"/>
              </w:rPr>
            </m:ctrlPr>
          </m:sSubPr>
          <m:e>
            <m:r>
              <w:rPr>
                <w:rFonts w:ascii="Cambria Math" w:eastAsia="Malgun Gothic" w:hAnsi="Cambria Math" w:cs="Times New Roman"/>
                <w:szCs w:val="24"/>
                <w:lang w:eastAsia="ko-KR"/>
              </w:rPr>
              <m:t>x</m:t>
            </m:r>
          </m:e>
          <m:sub>
            <m:r>
              <w:rPr>
                <w:rFonts w:ascii="Cambria Math" w:eastAsia="Malgun Gothic" w:hAnsi="Cambria Math" w:cs="Times New Roman"/>
                <w:szCs w:val="24"/>
                <w:lang w:eastAsia="ko-KR"/>
              </w:rPr>
              <m:t>i</m:t>
            </m:r>
          </m:sub>
        </m:sSub>
      </m:oMath>
      <w:r w:rsidRPr="007A34E0">
        <w:rPr>
          <w:rFonts w:eastAsia="Malgun Gothic" w:cs="Times New Roman"/>
          <w:szCs w:val="24"/>
          <w:lang w:eastAsia="ko-KR"/>
        </w:rPr>
        <w:t xml:space="preserve"> direction where </w:t>
      </w:r>
      <m:oMath>
        <m:sSub>
          <m:sSubPr>
            <m:ctrlPr>
              <w:rPr>
                <w:rFonts w:ascii="Cambria Math" w:eastAsia="Malgun Gothic" w:hAnsi="Cambria Math" w:cs="Times New Roman"/>
                <w:i/>
                <w:szCs w:val="24"/>
                <w:lang w:eastAsia="ko-KR"/>
              </w:rPr>
            </m:ctrlPr>
          </m:sSubPr>
          <m:e>
            <m:r>
              <w:rPr>
                <w:rFonts w:ascii="Cambria Math" w:eastAsia="Malgun Gothic" w:hAnsi="Cambria Math" w:cs="Times New Roman"/>
                <w:szCs w:val="24"/>
                <w:lang w:eastAsia="ko-KR"/>
              </w:rPr>
              <m:t>x</m:t>
            </m:r>
          </m:e>
          <m:sub>
            <m:r>
              <w:rPr>
                <w:rFonts w:ascii="Cambria Math" w:eastAsia="Malgun Gothic" w:hAnsi="Cambria Math" w:cs="Times New Roman"/>
                <w:szCs w:val="24"/>
                <w:lang w:eastAsia="ko-KR"/>
              </w:rPr>
              <m:t>1</m:t>
            </m:r>
          </m:sub>
        </m:sSub>
      </m:oMath>
      <w:r w:rsidRPr="007A34E0">
        <w:rPr>
          <w:rFonts w:eastAsia="Malgun Gothic" w:cs="Times New Roman"/>
          <w:szCs w:val="24"/>
          <w:lang w:eastAsia="ko-KR"/>
        </w:rPr>
        <w:t xml:space="preserve">, </w:t>
      </w:r>
      <m:oMath>
        <m:sSub>
          <m:sSubPr>
            <m:ctrlPr>
              <w:rPr>
                <w:rFonts w:ascii="Cambria Math" w:eastAsia="Malgun Gothic" w:hAnsi="Cambria Math" w:cs="Times New Roman"/>
                <w:i/>
                <w:szCs w:val="24"/>
                <w:lang w:eastAsia="ko-KR"/>
              </w:rPr>
            </m:ctrlPr>
          </m:sSubPr>
          <m:e>
            <m:r>
              <w:rPr>
                <w:rFonts w:ascii="Cambria Math" w:eastAsia="Malgun Gothic" w:hAnsi="Cambria Math" w:cs="Times New Roman"/>
                <w:szCs w:val="24"/>
                <w:lang w:eastAsia="ko-KR"/>
              </w:rPr>
              <m:t>x</m:t>
            </m:r>
          </m:e>
          <m:sub>
            <m:r>
              <w:rPr>
                <w:rFonts w:ascii="Cambria Math" w:eastAsia="Malgun Gothic" w:hAnsi="Cambria Math" w:cs="Times New Roman"/>
                <w:szCs w:val="24"/>
                <w:lang w:eastAsia="ko-KR"/>
              </w:rPr>
              <m:t>2</m:t>
            </m:r>
          </m:sub>
        </m:sSub>
      </m:oMath>
      <w:r w:rsidRPr="007A34E0">
        <w:rPr>
          <w:rFonts w:eastAsia="Malgun Gothic" w:cs="Times New Roman"/>
          <w:szCs w:val="24"/>
          <w:lang w:eastAsia="ko-KR"/>
        </w:rPr>
        <w:t xml:space="preserve"> and </w:t>
      </w:r>
      <m:oMath>
        <m:sSub>
          <m:sSubPr>
            <m:ctrlPr>
              <w:rPr>
                <w:rFonts w:ascii="Cambria Math" w:eastAsia="Malgun Gothic" w:hAnsi="Cambria Math" w:cs="Times New Roman"/>
                <w:i/>
                <w:szCs w:val="24"/>
                <w:lang w:eastAsia="ko-KR"/>
              </w:rPr>
            </m:ctrlPr>
          </m:sSubPr>
          <m:e>
            <m:r>
              <w:rPr>
                <w:rFonts w:ascii="Cambria Math" w:eastAsia="Malgun Gothic" w:hAnsi="Cambria Math" w:cs="Times New Roman"/>
                <w:szCs w:val="24"/>
                <w:lang w:eastAsia="ko-KR"/>
              </w:rPr>
              <m:t>x</m:t>
            </m:r>
          </m:e>
          <m:sub>
            <m:r>
              <w:rPr>
                <w:rFonts w:ascii="Cambria Math" w:eastAsia="Malgun Gothic" w:hAnsi="Cambria Math" w:cs="Times New Roman"/>
                <w:szCs w:val="24"/>
                <w:lang w:eastAsia="ko-KR"/>
              </w:rPr>
              <m:t>3</m:t>
            </m:r>
          </m:sub>
        </m:sSub>
      </m:oMath>
      <w:r w:rsidRPr="007A34E0">
        <w:rPr>
          <w:rFonts w:eastAsia="Malgun Gothic" w:cs="Times New Roman"/>
          <w:szCs w:val="24"/>
          <w:lang w:eastAsia="ko-KR"/>
        </w:rPr>
        <w:t xml:space="preserve"> correspond to the Cartesian axes </w:t>
      </w:r>
      <m:oMath>
        <m:r>
          <w:rPr>
            <w:rFonts w:ascii="Cambria Math" w:eastAsia="Malgun Gothic" w:hAnsi="Cambria Math" w:cs="Times New Roman"/>
            <w:szCs w:val="24"/>
            <w:lang w:eastAsia="ko-KR"/>
          </w:rPr>
          <m:t>x</m:t>
        </m:r>
      </m:oMath>
      <w:r w:rsidRPr="007A34E0">
        <w:rPr>
          <w:rFonts w:eastAsia="Malgun Gothic" w:cs="Times New Roman"/>
          <w:szCs w:val="24"/>
          <w:lang w:eastAsia="ko-KR"/>
        </w:rPr>
        <w:t xml:space="preserve">, </w:t>
      </w:r>
      <m:oMath>
        <m:r>
          <w:rPr>
            <w:rFonts w:ascii="Cambria Math" w:eastAsia="Malgun Gothic" w:hAnsi="Cambria Math" w:cs="Times New Roman"/>
            <w:szCs w:val="24"/>
            <w:lang w:eastAsia="ko-KR"/>
          </w:rPr>
          <m:t>y</m:t>
        </m:r>
      </m:oMath>
      <w:r w:rsidRPr="007A34E0">
        <w:rPr>
          <w:rFonts w:eastAsia="Malgun Gothic" w:cs="Times New Roman"/>
          <w:szCs w:val="24"/>
          <w:lang w:eastAsia="ko-KR"/>
        </w:rPr>
        <w:t xml:space="preserve"> and </w:t>
      </w:r>
      <m:oMath>
        <m:r>
          <w:rPr>
            <w:rFonts w:ascii="Cambria Math" w:eastAsia="Malgun Gothic" w:hAnsi="Cambria Math" w:cs="Times New Roman"/>
            <w:szCs w:val="24"/>
            <w:lang w:eastAsia="ko-KR"/>
          </w:rPr>
          <m:t>z</m:t>
        </m:r>
      </m:oMath>
      <w:r w:rsidRPr="007A34E0">
        <w:rPr>
          <w:rFonts w:eastAsia="Malgun Gothic" w:cs="Times New Roman"/>
          <w:szCs w:val="24"/>
          <w:lang w:eastAsia="ko-KR"/>
        </w:rPr>
        <w:t>, respectively. A dynamic viscosity of 3.2 cP was assumed for blood in the aorta.</w:t>
      </w:r>
      <w:r w:rsidRPr="007A34E0">
        <w:rPr>
          <w:rFonts w:eastAsia="Malgun Gothic" w:cs="Times New Roman"/>
          <w:szCs w:val="24"/>
          <w:lang w:eastAsia="ko-KR"/>
        </w:rPr>
        <w:fldChar w:fldCharType="begin"/>
      </w:r>
      <w:r w:rsidRPr="007A34E0">
        <w:rPr>
          <w:rFonts w:eastAsia="Malgun Gothic" w:cs="Times New Roman"/>
          <w:szCs w:val="24"/>
          <w:lang w:eastAsia="ko-KR"/>
        </w:rPr>
        <w:instrText xml:space="preserve"> ADDIN EN.CITE &lt;EndNote&gt;&lt;Cite&gt;&lt;Author&gt;Westerhof&lt;/Author&gt;&lt;Year&gt;2018&lt;/Year&gt;&lt;RecNum&gt;18&lt;/RecNum&gt;&lt;DisplayText&gt;[2]&lt;/DisplayText&gt;&lt;record&gt;&lt;rec-number&gt;18&lt;/rec-number&gt;&lt;foreign-keys&gt;&lt;key app="EN" db-id="pdwxfp02qrxad6erx0l5fdawzexsptzp5pfz" timestamp="1638917648"&gt;18&lt;/key&gt;&lt;/foreign-keys&gt;&lt;ref-type name="Book"&gt;6&lt;/ref-type&gt;&lt;contributors&gt;&lt;authors&gt;&lt;author&gt;Westerhof, Nicolaas&lt;/author&gt;&lt;author&gt;Stergiopulos, Nikolaos&lt;/author&gt;&lt;author&gt;Noble, Mark IM&lt;/author&gt;&lt;author&gt;Westerhof, Berend E&lt;/author&gt;&lt;/authors&gt;&lt;/contributors&gt;&lt;titles&gt;&lt;title&gt;Snapshots of hemodynamics: an aid for clinical research and graduate education&lt;/title&gt;&lt;/titles&gt;&lt;dates&gt;&lt;year&gt;2018&lt;/year&gt;&lt;/dates&gt;&lt;publisher&gt;Springer&lt;/publisher&gt;&lt;isbn&gt;3319919326&lt;/isbn&gt;&lt;urls&gt;&lt;/urls&gt;&lt;/record&gt;&lt;/Cite&gt;&lt;/EndNote&gt;</w:instrText>
      </w:r>
      <w:r w:rsidRPr="007A34E0">
        <w:rPr>
          <w:rFonts w:eastAsia="Malgun Gothic" w:cs="Times New Roman"/>
          <w:szCs w:val="24"/>
          <w:lang w:eastAsia="ko-KR"/>
        </w:rPr>
        <w:fldChar w:fldCharType="separate"/>
      </w:r>
      <w:r w:rsidRPr="007A34E0">
        <w:rPr>
          <w:rFonts w:eastAsia="Malgun Gothic" w:cs="Times New Roman"/>
          <w:noProof/>
          <w:szCs w:val="24"/>
          <w:lang w:eastAsia="ko-KR"/>
        </w:rPr>
        <w:t>[2]</w:t>
      </w:r>
      <w:r w:rsidRPr="007A34E0">
        <w:rPr>
          <w:rFonts w:eastAsia="Malgun Gothic" w:cs="Times New Roman"/>
          <w:szCs w:val="24"/>
          <w:lang w:eastAsia="ko-KR"/>
        </w:rPr>
        <w:fldChar w:fldCharType="end"/>
      </w:r>
    </w:p>
    <w:p w14:paraId="2148AC4C" w14:textId="77777777" w:rsidR="00FA00CE" w:rsidRPr="007A34E0" w:rsidRDefault="00FA00CE" w:rsidP="00FA00CE">
      <w:pPr>
        <w:spacing w:after="0" w:line="360" w:lineRule="auto"/>
        <w:contextualSpacing/>
        <w:jc w:val="both"/>
        <w:rPr>
          <w:rFonts w:eastAsia="Malgun Gothic" w:cs="Times New Roman"/>
          <w:szCs w:val="24"/>
          <w:lang w:eastAsia="ko-KR"/>
        </w:rPr>
      </w:pPr>
    </w:p>
    <w:p w14:paraId="7C069747" w14:textId="77777777" w:rsidR="00FA00CE" w:rsidRPr="007A34E0" w:rsidRDefault="00FA00CE" w:rsidP="00FA00CE">
      <w:pPr>
        <w:spacing w:after="0" w:line="360" w:lineRule="auto"/>
        <w:contextualSpacing/>
        <w:jc w:val="both"/>
        <w:rPr>
          <w:rFonts w:eastAsia="Malgun Gothic" w:cs="Times New Roman"/>
          <w:szCs w:val="24"/>
          <w:lang w:eastAsia="ko-KR"/>
        </w:rPr>
      </w:pPr>
    </w:p>
    <w:p w14:paraId="23E67D6D" w14:textId="7C1391B5" w:rsidR="00FA00CE" w:rsidRPr="007A34E0" w:rsidRDefault="00FA00CE" w:rsidP="00FA00CE">
      <w:pPr>
        <w:pStyle w:val="Heading1"/>
        <w:rPr>
          <w:lang w:eastAsia="ko-KR"/>
        </w:rPr>
      </w:pPr>
      <w:r w:rsidRPr="007A34E0">
        <w:rPr>
          <w:lang w:eastAsia="ko-KR"/>
        </w:rPr>
        <w:t>Description of v</w:t>
      </w:r>
      <w:r w:rsidRPr="007A34E0">
        <w:rPr>
          <w:lang w:eastAsia="ko-KR"/>
        </w:rPr>
        <w:t>orticity</w:t>
      </w:r>
    </w:p>
    <w:p w14:paraId="5C66712C" w14:textId="77777777" w:rsidR="00FA00CE" w:rsidRPr="007A34E0" w:rsidRDefault="00FA00CE" w:rsidP="00FA00CE">
      <w:pPr>
        <w:spacing w:after="0" w:line="360" w:lineRule="auto"/>
        <w:contextualSpacing/>
        <w:jc w:val="both"/>
        <w:rPr>
          <w:rFonts w:eastAsia="Malgun Gothic" w:cs="Times New Roman"/>
          <w:szCs w:val="24"/>
          <w:lang w:eastAsia="ko-KR"/>
        </w:rPr>
      </w:pPr>
      <w:r w:rsidRPr="007A34E0">
        <w:rPr>
          <w:rFonts w:eastAsia="Malgun Gothic" w:cs="Times New Roman"/>
          <w:szCs w:val="24"/>
          <w:lang w:eastAsia="ko-KR"/>
        </w:rPr>
        <w:t>Vorticity represents the angular velocity vector of a fluid element under rotation present when flow becomes spatially nonuniform and increases as flow exhibits stronger turbulent or faster vortical flow motion. Vorticity (</w:t>
      </w:r>
      <m:oMath>
        <m:r>
          <m:rPr>
            <m:sty m:val="bi"/>
          </m:rPr>
          <w:rPr>
            <w:rFonts w:ascii="Cambria Math" w:eastAsia="Malgun Gothic" w:hAnsi="Cambria Math" w:cs="Times New Roman"/>
            <w:szCs w:val="24"/>
            <w:lang w:eastAsia="ko-KR"/>
          </w:rPr>
          <m:t>ω</m:t>
        </m:r>
        <m:r>
          <w:rPr>
            <w:rFonts w:ascii="Cambria Math" w:eastAsia="Malgun Gothic" w:hAnsi="Cambria Math" w:cs="Times New Roman"/>
            <w:szCs w:val="24"/>
            <w:lang w:eastAsia="ko-KR"/>
          </w:rPr>
          <m:t>)</m:t>
        </m:r>
      </m:oMath>
      <w:r w:rsidRPr="007A34E0">
        <w:rPr>
          <w:rFonts w:eastAsia="Malgun Gothic" w:cs="Times New Roman"/>
          <w:szCs w:val="24"/>
          <w:lang w:eastAsia="ko-KR"/>
        </w:rPr>
        <w:t xml:space="preserve"> is a vector quantity calculated by taking the curl to the velocity vectors,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4"/>
        <w:gridCol w:w="6399"/>
        <w:gridCol w:w="989"/>
        <w:gridCol w:w="928"/>
      </w:tblGrid>
      <w:tr w:rsidR="00FA00CE" w:rsidRPr="007A34E0" w14:paraId="1B1861CB" w14:textId="77777777" w:rsidTr="00743A01"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09620" w14:textId="77777777" w:rsidR="00FA00CE" w:rsidRPr="007A34E0" w:rsidRDefault="00FA00CE" w:rsidP="00743A01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C2E1A" w14:textId="77777777" w:rsidR="00FA00CE" w:rsidRPr="007A34E0" w:rsidRDefault="00FA00CE" w:rsidP="00743A01">
            <w:pPr>
              <w:spacing w:line="360" w:lineRule="auto"/>
              <w:ind w:firstLine="720"/>
              <w:contextualSpacing/>
              <w:jc w:val="both"/>
              <w:rPr>
                <w:rFonts w:cs="Times New Roman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4"/>
                  </w:rPr>
                  <m:t>ω</m:t>
                </m:r>
                <m:r>
                  <w:rPr>
                    <w:rFonts w:ascii="Cambria Math" w:hAnsi="Cambria Math" w:cs="Times New Roman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∂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∂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∂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∂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,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∂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∂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∂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∂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,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∂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∂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∂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∂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18B89" w14:textId="77777777" w:rsidR="00FA00CE" w:rsidRPr="007A34E0" w:rsidRDefault="00FA00CE" w:rsidP="00743A01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C32FCC9" w14:textId="77777777" w:rsidR="00FA00CE" w:rsidRPr="007A34E0" w:rsidRDefault="00FA00CE" w:rsidP="00743A01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</w:tbl>
    <w:p w14:paraId="116C7A1F" w14:textId="77777777" w:rsidR="00FA00CE" w:rsidRPr="007A34E0" w:rsidRDefault="00FA00CE" w:rsidP="00FA00CE">
      <w:pPr>
        <w:spacing w:after="0" w:line="360" w:lineRule="auto"/>
        <w:contextualSpacing/>
        <w:jc w:val="both"/>
        <w:rPr>
          <w:rFonts w:eastAsia="Malgun Gothic" w:cs="Times New Roman"/>
          <w:color w:val="FF0000"/>
          <w:szCs w:val="24"/>
          <w:lang w:eastAsia="ko-KR"/>
        </w:rPr>
      </w:pPr>
      <w:r w:rsidRPr="007A34E0">
        <w:rPr>
          <w:rFonts w:eastAsia="Malgun Gothic" w:cs="Times New Roman"/>
          <w:szCs w:val="24"/>
          <w:lang w:eastAsia="ko-KR"/>
        </w:rPr>
        <w:t xml:space="preserve">where first, second and third element corresponds to the vorticity components along </w:t>
      </w:r>
      <m:oMath>
        <m:sSub>
          <m:sSubPr>
            <m:ctrlPr>
              <w:rPr>
                <w:rFonts w:ascii="Cambria Math" w:eastAsia="Malgun Gothic" w:hAnsi="Cambria Math" w:cs="Times New Roman"/>
                <w:i/>
                <w:szCs w:val="24"/>
                <w:lang w:eastAsia="ko-KR"/>
              </w:rPr>
            </m:ctrlPr>
          </m:sSubPr>
          <m:e>
            <m:r>
              <w:rPr>
                <w:rFonts w:ascii="Cambria Math" w:eastAsia="Malgun Gothic" w:hAnsi="Cambria Math" w:cs="Times New Roman"/>
                <w:szCs w:val="24"/>
                <w:lang w:eastAsia="ko-KR"/>
              </w:rPr>
              <m:t>x</m:t>
            </m:r>
          </m:e>
          <m:sub>
            <m:r>
              <w:rPr>
                <w:rFonts w:ascii="Cambria Math" w:eastAsia="Malgun Gothic" w:hAnsi="Cambria Math" w:cs="Times New Roman"/>
                <w:szCs w:val="24"/>
                <w:lang w:eastAsia="ko-KR"/>
              </w:rPr>
              <m:t>1</m:t>
            </m:r>
          </m:sub>
        </m:sSub>
      </m:oMath>
      <w:r w:rsidRPr="007A34E0">
        <w:rPr>
          <w:rFonts w:eastAsia="Malgun Gothic" w:cs="Times New Roman"/>
          <w:szCs w:val="24"/>
          <w:lang w:eastAsia="ko-KR"/>
        </w:rPr>
        <w:t xml:space="preserve">, </w:t>
      </w:r>
      <m:oMath>
        <m:sSub>
          <m:sSubPr>
            <m:ctrlPr>
              <w:rPr>
                <w:rFonts w:ascii="Cambria Math" w:eastAsia="Malgun Gothic" w:hAnsi="Cambria Math" w:cs="Times New Roman"/>
                <w:i/>
                <w:szCs w:val="24"/>
                <w:lang w:eastAsia="ko-KR"/>
              </w:rPr>
            </m:ctrlPr>
          </m:sSubPr>
          <m:e>
            <m:r>
              <w:rPr>
                <w:rFonts w:ascii="Cambria Math" w:eastAsia="Malgun Gothic" w:hAnsi="Cambria Math" w:cs="Times New Roman"/>
                <w:szCs w:val="24"/>
                <w:lang w:eastAsia="ko-KR"/>
              </w:rPr>
              <m:t>x</m:t>
            </m:r>
          </m:e>
          <m:sub>
            <m:r>
              <w:rPr>
                <w:rFonts w:ascii="Cambria Math" w:eastAsia="Malgun Gothic" w:hAnsi="Cambria Math" w:cs="Times New Roman"/>
                <w:szCs w:val="24"/>
                <w:lang w:eastAsia="ko-KR"/>
              </w:rPr>
              <m:t>2</m:t>
            </m:r>
          </m:sub>
        </m:sSub>
      </m:oMath>
      <w:r w:rsidRPr="007A34E0">
        <w:rPr>
          <w:rFonts w:eastAsia="Malgun Gothic" w:cs="Times New Roman"/>
          <w:szCs w:val="24"/>
          <w:lang w:eastAsia="ko-KR"/>
        </w:rPr>
        <w:t xml:space="preserve"> and </w:t>
      </w:r>
      <m:oMath>
        <m:sSub>
          <m:sSubPr>
            <m:ctrlPr>
              <w:rPr>
                <w:rFonts w:ascii="Cambria Math" w:eastAsia="Malgun Gothic" w:hAnsi="Cambria Math" w:cs="Times New Roman"/>
                <w:i/>
                <w:szCs w:val="24"/>
                <w:lang w:eastAsia="ko-KR"/>
              </w:rPr>
            </m:ctrlPr>
          </m:sSubPr>
          <m:e>
            <m:r>
              <w:rPr>
                <w:rFonts w:ascii="Cambria Math" w:eastAsia="Malgun Gothic" w:hAnsi="Cambria Math" w:cs="Times New Roman"/>
                <w:szCs w:val="24"/>
                <w:lang w:eastAsia="ko-KR"/>
              </w:rPr>
              <m:t>x</m:t>
            </m:r>
          </m:e>
          <m:sub>
            <m:r>
              <w:rPr>
                <w:rFonts w:ascii="Cambria Math" w:eastAsia="Malgun Gothic" w:hAnsi="Cambria Math" w:cs="Times New Roman"/>
                <w:szCs w:val="24"/>
                <w:lang w:eastAsia="ko-KR"/>
              </w:rPr>
              <m:t>3</m:t>
            </m:r>
          </m:sub>
        </m:sSub>
      </m:oMath>
      <w:r w:rsidRPr="007A34E0">
        <w:rPr>
          <w:rFonts w:eastAsia="Malgun Gothic" w:cs="Times New Roman"/>
          <w:szCs w:val="24"/>
          <w:lang w:eastAsia="ko-KR"/>
        </w:rPr>
        <w:t xml:space="preserve"> axis, respectively. </w:t>
      </w:r>
    </w:p>
    <w:p w14:paraId="0995B4C8" w14:textId="77777777" w:rsidR="00FA00CE" w:rsidRPr="007A34E0" w:rsidRDefault="00FA00CE" w:rsidP="00FA00CE">
      <w:pPr>
        <w:spacing w:line="360" w:lineRule="auto"/>
        <w:rPr>
          <w:rFonts w:cs="Times New Roman"/>
          <w:szCs w:val="24"/>
        </w:rPr>
      </w:pPr>
    </w:p>
    <w:p w14:paraId="4F451500" w14:textId="77777777" w:rsidR="00FA00CE" w:rsidRPr="007A34E0" w:rsidRDefault="00FA00CE" w:rsidP="00FA00CE">
      <w:pPr>
        <w:spacing w:line="360" w:lineRule="auto"/>
        <w:rPr>
          <w:rFonts w:cs="Times New Roman"/>
          <w:szCs w:val="24"/>
        </w:rPr>
      </w:pPr>
    </w:p>
    <w:p w14:paraId="2843919E" w14:textId="77777777" w:rsidR="00FA00CE" w:rsidRPr="007A34E0" w:rsidRDefault="00FA00CE" w:rsidP="00FA00CE">
      <w:pPr>
        <w:pStyle w:val="EndNoteBibliograph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4E0">
        <w:rPr>
          <w:rFonts w:ascii="Times New Roman" w:hAnsi="Times New Roman" w:cs="Times New Roman"/>
          <w:sz w:val="24"/>
          <w:szCs w:val="24"/>
        </w:rPr>
        <w:fldChar w:fldCharType="begin"/>
      </w:r>
      <w:r w:rsidRPr="007A34E0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7A34E0">
        <w:rPr>
          <w:rFonts w:ascii="Times New Roman" w:hAnsi="Times New Roman" w:cs="Times New Roman"/>
          <w:sz w:val="24"/>
          <w:szCs w:val="24"/>
        </w:rPr>
        <w:fldChar w:fldCharType="separate"/>
      </w:r>
      <w:r w:rsidRPr="007A34E0">
        <w:rPr>
          <w:rFonts w:ascii="Times New Roman" w:hAnsi="Times New Roman" w:cs="Times New Roman"/>
          <w:sz w:val="24"/>
          <w:szCs w:val="24"/>
        </w:rPr>
        <w:t>1.</w:t>
      </w:r>
      <w:r w:rsidRPr="007A34E0">
        <w:rPr>
          <w:rFonts w:ascii="Times New Roman" w:hAnsi="Times New Roman" w:cs="Times New Roman"/>
          <w:sz w:val="24"/>
          <w:szCs w:val="24"/>
        </w:rPr>
        <w:tab/>
        <w:t>P. K. Kundu and I. M. Cohen. Fluid Mechanics, fourth edition. Elsevier; 2008. p. 112-113.</w:t>
      </w:r>
    </w:p>
    <w:p w14:paraId="43363476" w14:textId="77777777" w:rsidR="00FA00CE" w:rsidRPr="007A34E0" w:rsidRDefault="00FA00CE" w:rsidP="00FA00CE">
      <w:pPr>
        <w:pStyle w:val="EndNoteBibliograph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4E0">
        <w:rPr>
          <w:rFonts w:ascii="Times New Roman" w:hAnsi="Times New Roman" w:cs="Times New Roman"/>
          <w:sz w:val="24"/>
          <w:szCs w:val="24"/>
        </w:rPr>
        <w:t>2.</w:t>
      </w:r>
      <w:r w:rsidRPr="007A34E0">
        <w:rPr>
          <w:rFonts w:ascii="Times New Roman" w:hAnsi="Times New Roman" w:cs="Times New Roman"/>
          <w:sz w:val="24"/>
          <w:szCs w:val="24"/>
        </w:rPr>
        <w:tab/>
        <w:t>N. Westerhof, N. Stergiopulos, M. I. Noble, et al. Snapshots of hemodynamics: an aid for clinical research and graduate education: Springer; 2018.</w:t>
      </w:r>
    </w:p>
    <w:p w14:paraId="58F1AED1" w14:textId="49E3B50E" w:rsidR="00DE23E8" w:rsidRPr="001549D3" w:rsidRDefault="00FA00CE" w:rsidP="00417311">
      <w:pPr>
        <w:spacing w:line="360" w:lineRule="auto"/>
      </w:pPr>
      <w:r w:rsidRPr="007A34E0">
        <w:rPr>
          <w:rFonts w:cs="Times New Roman"/>
          <w:szCs w:val="24"/>
        </w:rPr>
        <w:fldChar w:fldCharType="end"/>
      </w: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E3MzEzNTI0NLM1NzSyUdpeDU4uLM/DyQAsNaAO1O5VEsAAAA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17311"/>
    <w:rsid w:val="00447801"/>
    <w:rsid w:val="00452E9C"/>
    <w:rsid w:val="004735C8"/>
    <w:rsid w:val="004961FF"/>
    <w:rsid w:val="004C5424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A34E0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A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FA00CE"/>
    <w:pPr>
      <w:spacing w:after="0" w:line="240" w:lineRule="auto"/>
    </w:pPr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FA00CE"/>
    <w:pPr>
      <w:spacing w:before="0" w:after="160"/>
    </w:pPr>
    <w:rPr>
      <w:rFonts w:ascii="Calibri" w:eastAsia="Batang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FA00CE"/>
    <w:rPr>
      <w:rFonts w:ascii="Calibri" w:eastAsia="Batang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1</Pages>
  <Words>543</Words>
  <Characters>2966</Characters>
  <Application>Microsoft Office Word</Application>
  <DocSecurity>0</DocSecurity>
  <Lines>68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Jeesoo Lee</cp:lastModifiedBy>
  <cp:revision>8</cp:revision>
  <cp:lastPrinted>2013-10-03T12:51:00Z</cp:lastPrinted>
  <dcterms:created xsi:type="dcterms:W3CDTF">2022-11-17T16:58:00Z</dcterms:created>
  <dcterms:modified xsi:type="dcterms:W3CDTF">2023-07-10T15:31:00Z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4f7f412cf889dfca7cd82120914edf2a6818d1918f54cde05a6ed328f380e0af</vt:lpwstr>
  </property>
</Properties>
</file>