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28D0B4EC" w14:textId="77777777" w:rsidR="008B2277" w:rsidRDefault="008B2277" w:rsidP="008B2277">
      <w:pPr>
        <w:pStyle w:val="AuthorList"/>
        <w:rPr>
          <w:sz w:val="32"/>
          <w:szCs w:val="32"/>
        </w:rPr>
      </w:pPr>
      <w:r w:rsidRPr="00ED7593">
        <w:rPr>
          <w:sz w:val="32"/>
          <w:szCs w:val="32"/>
        </w:rPr>
        <w:t>Good behavior game – study protocol for a randomized controlled trial of a preventive behavior management program in a Swedish school context</w:t>
      </w:r>
    </w:p>
    <w:p w14:paraId="69B98804" w14:textId="77777777" w:rsidR="008B2277" w:rsidRPr="00ED7593" w:rsidRDefault="008B2277" w:rsidP="008B2277">
      <w:pPr>
        <w:pStyle w:val="AuthorList"/>
        <w:rPr>
          <w:lang w:val="sv-SE"/>
        </w:rPr>
      </w:pPr>
      <w:r w:rsidRPr="00ED7593">
        <w:rPr>
          <w:lang w:val="sv-SE"/>
        </w:rPr>
        <w:t>Dariush Djamnezhad*, Martin Bergström, Pe</w:t>
      </w:r>
      <w:r>
        <w:rPr>
          <w:lang w:val="sv-SE"/>
        </w:rPr>
        <w:t>r Andrén and Björn Hofvander</w:t>
      </w:r>
    </w:p>
    <w:p w14:paraId="0DA3E9D5" w14:textId="77777777" w:rsidR="008B2277" w:rsidRPr="00994A3D" w:rsidRDefault="008B2277" w:rsidP="008B2277">
      <w:pPr>
        <w:spacing w:before="240" w:after="0"/>
        <w:rPr>
          <w:rFonts w:cs="Times New Roman"/>
        </w:rPr>
      </w:pPr>
      <w:r w:rsidRPr="00994A3D">
        <w:rPr>
          <w:rFonts w:cs="Times New Roman"/>
          <w:b/>
        </w:rPr>
        <w:t xml:space="preserve">* Correspondence: </w:t>
      </w:r>
      <w:r w:rsidRPr="00994A3D">
        <w:rPr>
          <w:rFonts w:cs="Times New Roman"/>
        </w:rPr>
        <w:t xml:space="preserve">Corresponding Author: </w:t>
      </w:r>
      <w:r>
        <w:rPr>
          <w:rFonts w:cs="Times New Roman"/>
        </w:rPr>
        <w:t>dariush.djamnezhad@med.lu.se</w:t>
      </w:r>
    </w:p>
    <w:p w14:paraId="29026311" w14:textId="2D0CC875" w:rsidR="00EA3D3C" w:rsidRDefault="00654E8F" w:rsidP="0001436A">
      <w:pPr>
        <w:pStyle w:val="Rubrik1"/>
      </w:pPr>
      <w:r w:rsidRPr="00994A3D">
        <w:t xml:space="preserve">Supplementary </w:t>
      </w:r>
      <w:r w:rsidR="00E36238">
        <w:t>T</w:t>
      </w:r>
      <w:r w:rsidR="00676CBF">
        <w:t>able 1</w:t>
      </w:r>
      <w:r w:rsidR="00770E7A">
        <w:t xml:space="preserve">: PRECIS-2 </w:t>
      </w:r>
      <w:proofErr w:type="gramStart"/>
      <w:r w:rsidR="00770E7A">
        <w:t>table</w:t>
      </w:r>
      <w:proofErr w:type="gramEnd"/>
    </w:p>
    <w:p w14:paraId="16795572" w14:textId="5B8A5823" w:rsidR="00173FC8" w:rsidRPr="00173FC8" w:rsidRDefault="004D122B" w:rsidP="00173FC8">
      <w:r>
        <w:t>This supplementary table</w:t>
      </w:r>
      <w:r w:rsidR="00994ED0">
        <w:t xml:space="preserve"> further specifies the study’s direction as a pragmatic trial</w:t>
      </w:r>
      <w:r>
        <w:t xml:space="preserve"> </w:t>
      </w:r>
      <w:r w:rsidR="00B01183">
        <w:t>us</w:t>
      </w:r>
      <w:r w:rsidR="00994ED0">
        <w:t>ing</w:t>
      </w:r>
      <w:r w:rsidR="00B01183">
        <w:t xml:space="preserve"> the PRECIS-2 </w:t>
      </w:r>
      <w:r w:rsidR="00714971">
        <w:t>tool</w:t>
      </w:r>
      <w:r w:rsidR="001271EE">
        <w:t xml:space="preserve"> </w:t>
      </w:r>
      <w:r w:rsidR="001271EE">
        <w:fldChar w:fldCharType="begin">
          <w:fldData xml:space="preserve">PEVuZE5vdGU+PENpdGU+PEF1dGhvcj5Mb3Vkb248L0F1dGhvcj48WWVhcj4yMDE1PC9ZZWFyPjxS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</w:fldData>
        </w:fldChar>
      </w:r>
      <w:r w:rsidR="001271EE">
        <w:instrText xml:space="preserve"> ADDIN EN.CITE </w:instrText>
      </w:r>
      <w:r w:rsidR="001271EE">
        <w:fldChar w:fldCharType="begin">
          <w:fldData xml:space="preserve">PEVuZE5vdGU+PENpdGU+PEF1dGhvcj5Mb3Vkb248L0F1dGhvcj48WWVhcj4yMDE1PC9ZZWFyPjxS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</w:fldData>
        </w:fldChar>
      </w:r>
      <w:r w:rsidR="001271EE">
        <w:instrText xml:space="preserve"> ADDIN EN.CITE.DATA </w:instrText>
      </w:r>
      <w:r w:rsidR="001271EE">
        <w:fldChar w:fldCharType="end"/>
      </w:r>
      <w:r w:rsidR="001271EE">
        <w:fldChar w:fldCharType="separate"/>
      </w:r>
      <w:r w:rsidR="001271EE">
        <w:rPr>
          <w:noProof/>
        </w:rPr>
        <w:t>(1)</w:t>
      </w:r>
      <w:r w:rsidR="001271EE">
        <w:fldChar w:fldCharType="end"/>
      </w:r>
      <w:r w:rsidR="005F7274">
        <w:t>.</w:t>
      </w:r>
    </w:p>
    <w:tbl>
      <w:tblPr>
        <w:tblStyle w:val="Tabellrutnt"/>
        <w:tblW w:w="9130" w:type="dxa"/>
        <w:tblLook w:val="04A0" w:firstRow="1" w:lastRow="0" w:firstColumn="1" w:lastColumn="0" w:noHBand="0" w:noVBand="1"/>
      </w:tblPr>
      <w:tblGrid>
        <w:gridCol w:w="538"/>
        <w:gridCol w:w="3319"/>
        <w:gridCol w:w="790"/>
        <w:gridCol w:w="4483"/>
      </w:tblGrid>
      <w:tr w:rsidR="00173FC8" w:rsidRPr="00173FC8" w14:paraId="0DD87609" w14:textId="77777777" w:rsidTr="00D51143">
        <w:tc>
          <w:tcPr>
            <w:tcW w:w="562" w:type="dxa"/>
          </w:tcPr>
          <w:p w14:paraId="46450877" w14:textId="77777777" w:rsidR="00173FC8" w:rsidRPr="00173FC8" w:rsidRDefault="00173FC8" w:rsidP="00173FC8">
            <w:pPr>
              <w:rPr>
                <w:b/>
                <w:bCs/>
              </w:rPr>
            </w:pPr>
          </w:p>
        </w:tc>
        <w:tc>
          <w:tcPr>
            <w:tcW w:w="3518" w:type="dxa"/>
          </w:tcPr>
          <w:p w14:paraId="616293C5" w14:textId="77777777" w:rsidR="00173FC8" w:rsidRPr="00173FC8" w:rsidRDefault="00173FC8" w:rsidP="00173FC8">
            <w:pPr>
              <w:rPr>
                <w:b/>
                <w:bCs/>
                <w:lang w:val="sv-SE"/>
              </w:rPr>
            </w:pPr>
            <w:proofErr w:type="spellStart"/>
            <w:r w:rsidRPr="00173FC8">
              <w:rPr>
                <w:b/>
                <w:bCs/>
                <w:lang w:val="sv-SE"/>
              </w:rPr>
              <w:t>Domain</w:t>
            </w:r>
            <w:proofErr w:type="spellEnd"/>
          </w:p>
        </w:tc>
        <w:tc>
          <w:tcPr>
            <w:tcW w:w="236" w:type="dxa"/>
          </w:tcPr>
          <w:p w14:paraId="1DCBE4E7" w14:textId="77777777" w:rsidR="00173FC8" w:rsidRPr="00173FC8" w:rsidRDefault="00173FC8" w:rsidP="00173FC8">
            <w:pPr>
              <w:rPr>
                <w:b/>
                <w:bCs/>
                <w:lang w:val="sv-SE"/>
              </w:rPr>
            </w:pPr>
            <w:r w:rsidRPr="00173FC8">
              <w:rPr>
                <w:b/>
                <w:bCs/>
                <w:lang w:val="sv-SE"/>
              </w:rPr>
              <w:t>Score</w:t>
            </w:r>
          </w:p>
        </w:tc>
        <w:tc>
          <w:tcPr>
            <w:tcW w:w="4814" w:type="dxa"/>
          </w:tcPr>
          <w:p w14:paraId="321940D2" w14:textId="77777777" w:rsidR="00173FC8" w:rsidRPr="00173FC8" w:rsidRDefault="00173FC8" w:rsidP="00173FC8">
            <w:pPr>
              <w:rPr>
                <w:b/>
                <w:bCs/>
                <w:lang w:val="sv-SE"/>
              </w:rPr>
            </w:pPr>
            <w:proofErr w:type="spellStart"/>
            <w:r w:rsidRPr="00173FC8">
              <w:rPr>
                <w:b/>
                <w:bCs/>
                <w:lang w:val="sv-SE"/>
              </w:rPr>
              <w:t>Rationale</w:t>
            </w:r>
            <w:proofErr w:type="spellEnd"/>
          </w:p>
        </w:tc>
      </w:tr>
      <w:tr w:rsidR="00173FC8" w:rsidRPr="00173FC8" w14:paraId="5FCD77A3" w14:textId="77777777" w:rsidTr="00D51143">
        <w:tc>
          <w:tcPr>
            <w:tcW w:w="562" w:type="dxa"/>
          </w:tcPr>
          <w:p w14:paraId="4434DE28" w14:textId="77777777" w:rsidR="00173FC8" w:rsidRPr="00173FC8" w:rsidRDefault="00173FC8" w:rsidP="00173FC8">
            <w:pPr>
              <w:rPr>
                <w:b/>
                <w:bCs/>
                <w:lang w:val="sv-SE"/>
              </w:rPr>
            </w:pPr>
            <w:r w:rsidRPr="00173FC8">
              <w:rPr>
                <w:b/>
                <w:bCs/>
                <w:lang w:val="sv-SE"/>
              </w:rPr>
              <w:t>1</w:t>
            </w:r>
          </w:p>
        </w:tc>
        <w:tc>
          <w:tcPr>
            <w:tcW w:w="3518" w:type="dxa"/>
          </w:tcPr>
          <w:p w14:paraId="3B3B88C9" w14:textId="77777777" w:rsidR="00173FC8" w:rsidRPr="00173FC8" w:rsidRDefault="00173FC8" w:rsidP="00173FC8">
            <w:pPr>
              <w:rPr>
                <w:lang w:val="sv-SE"/>
              </w:rPr>
            </w:pPr>
            <w:proofErr w:type="spellStart"/>
            <w:r w:rsidRPr="00173FC8">
              <w:rPr>
                <w:b/>
                <w:bCs/>
                <w:lang w:val="sv-SE"/>
              </w:rPr>
              <w:t>Eligibility</w:t>
            </w:r>
            <w:proofErr w:type="spellEnd"/>
            <w:r w:rsidRPr="00173FC8">
              <w:rPr>
                <w:b/>
                <w:bCs/>
                <w:lang w:val="sv-SE"/>
              </w:rPr>
              <w:t xml:space="preserve"> </w:t>
            </w:r>
            <w:proofErr w:type="spellStart"/>
            <w:r w:rsidRPr="00173FC8">
              <w:rPr>
                <w:b/>
                <w:bCs/>
                <w:lang w:val="sv-SE"/>
              </w:rPr>
              <w:t>Criteria</w:t>
            </w:r>
            <w:proofErr w:type="spellEnd"/>
          </w:p>
        </w:tc>
        <w:tc>
          <w:tcPr>
            <w:tcW w:w="236" w:type="dxa"/>
          </w:tcPr>
          <w:p w14:paraId="75FB6234" w14:textId="77777777" w:rsidR="00173FC8" w:rsidRPr="00173FC8" w:rsidRDefault="00173FC8" w:rsidP="00173FC8">
            <w:pPr>
              <w:rPr>
                <w:lang w:val="sv-SE"/>
              </w:rPr>
            </w:pPr>
            <w:r w:rsidRPr="00173FC8">
              <w:rPr>
                <w:lang w:val="sv-SE"/>
              </w:rPr>
              <w:t>4</w:t>
            </w:r>
          </w:p>
        </w:tc>
        <w:tc>
          <w:tcPr>
            <w:tcW w:w="4814" w:type="dxa"/>
          </w:tcPr>
          <w:p w14:paraId="47F36744" w14:textId="0CD09C3B" w:rsidR="00173FC8" w:rsidRPr="00173FC8" w:rsidRDefault="00173FC8" w:rsidP="00173FC8">
            <w:r w:rsidRPr="00173FC8">
              <w:t>There are no additional restrictions in eligibility in the trial compared to usual conditions. However, in accordance with recommended procedures</w:t>
            </w:r>
            <w:r w:rsidR="00A42812">
              <w:t xml:space="preserve"> from the preventive framework Communities that Care (CTC)</w:t>
            </w:r>
            <w:r w:rsidRPr="00173FC8">
              <w:t>, usual practice may require schools to be in areas with measured risk and protective factors that match intended targets for G</w:t>
            </w:r>
            <w:r w:rsidR="00A42812">
              <w:t xml:space="preserve">ood </w:t>
            </w:r>
            <w:r w:rsidRPr="00173FC8">
              <w:t>B</w:t>
            </w:r>
            <w:r w:rsidR="00A42812">
              <w:t xml:space="preserve">ehavior </w:t>
            </w:r>
            <w:r w:rsidRPr="00173FC8">
              <w:t>G</w:t>
            </w:r>
            <w:r w:rsidR="00A42812">
              <w:t>ame (GBG)</w:t>
            </w:r>
            <w:r w:rsidRPr="00173FC8">
              <w:t>. The trial does not impose this restriction.</w:t>
            </w:r>
          </w:p>
        </w:tc>
      </w:tr>
      <w:tr w:rsidR="00173FC8" w:rsidRPr="00173FC8" w14:paraId="0B8D2C26" w14:textId="77777777" w:rsidTr="00D51143">
        <w:tc>
          <w:tcPr>
            <w:tcW w:w="562" w:type="dxa"/>
          </w:tcPr>
          <w:p w14:paraId="6873A38B" w14:textId="77777777" w:rsidR="00173FC8" w:rsidRPr="00173FC8" w:rsidRDefault="00173FC8" w:rsidP="00173FC8">
            <w:pPr>
              <w:rPr>
                <w:b/>
                <w:bCs/>
                <w:lang w:val="sv-SE"/>
              </w:rPr>
            </w:pPr>
            <w:r w:rsidRPr="00173FC8">
              <w:rPr>
                <w:b/>
                <w:bCs/>
                <w:lang w:val="sv-SE"/>
              </w:rPr>
              <w:t>2</w:t>
            </w:r>
          </w:p>
        </w:tc>
        <w:tc>
          <w:tcPr>
            <w:tcW w:w="3518" w:type="dxa"/>
          </w:tcPr>
          <w:p w14:paraId="37560AF3" w14:textId="77777777" w:rsidR="00173FC8" w:rsidRPr="00173FC8" w:rsidRDefault="00173FC8" w:rsidP="00173FC8">
            <w:pPr>
              <w:rPr>
                <w:lang w:val="sv-SE"/>
              </w:rPr>
            </w:pPr>
            <w:proofErr w:type="spellStart"/>
            <w:r w:rsidRPr="00173FC8">
              <w:rPr>
                <w:b/>
                <w:bCs/>
                <w:lang w:val="sv-SE"/>
              </w:rPr>
              <w:t>Recruitment</w:t>
            </w:r>
            <w:proofErr w:type="spellEnd"/>
            <w:r w:rsidRPr="00173FC8">
              <w:rPr>
                <w:b/>
                <w:bCs/>
                <w:lang w:val="sv-SE"/>
              </w:rPr>
              <w:t xml:space="preserve"> </w:t>
            </w:r>
            <w:proofErr w:type="spellStart"/>
            <w:r w:rsidRPr="00173FC8">
              <w:rPr>
                <w:b/>
                <w:bCs/>
                <w:lang w:val="sv-SE"/>
              </w:rPr>
              <w:t>Path</w:t>
            </w:r>
            <w:proofErr w:type="spellEnd"/>
          </w:p>
        </w:tc>
        <w:tc>
          <w:tcPr>
            <w:tcW w:w="236" w:type="dxa"/>
          </w:tcPr>
          <w:p w14:paraId="7AEEE4FD" w14:textId="77777777" w:rsidR="00173FC8" w:rsidRPr="00173FC8" w:rsidRDefault="00173FC8" w:rsidP="00173FC8">
            <w:pPr>
              <w:rPr>
                <w:lang w:val="sv-SE"/>
              </w:rPr>
            </w:pPr>
            <w:r w:rsidRPr="00173FC8">
              <w:rPr>
                <w:lang w:val="sv-SE"/>
              </w:rPr>
              <w:t>4</w:t>
            </w:r>
          </w:p>
        </w:tc>
        <w:tc>
          <w:tcPr>
            <w:tcW w:w="4814" w:type="dxa"/>
          </w:tcPr>
          <w:p w14:paraId="39D3C083" w14:textId="77777777" w:rsidR="00173FC8" w:rsidRPr="00173FC8" w:rsidRDefault="00173FC8" w:rsidP="00173FC8">
            <w:r w:rsidRPr="00173FC8">
              <w:t xml:space="preserve">Recruitment follows usual procedures at first when recruiting within CTC pilot areas. The trial has additional recruitment after this phase were the trial and corresponding intervention is open to schools outside CTC pilot areas to a greater extent compared to usual procedures. </w:t>
            </w:r>
          </w:p>
        </w:tc>
      </w:tr>
      <w:tr w:rsidR="00173FC8" w:rsidRPr="00173FC8" w14:paraId="680770ED" w14:textId="77777777" w:rsidTr="00D51143">
        <w:tc>
          <w:tcPr>
            <w:tcW w:w="562" w:type="dxa"/>
          </w:tcPr>
          <w:p w14:paraId="41E35704" w14:textId="77777777" w:rsidR="00173FC8" w:rsidRPr="00173FC8" w:rsidRDefault="00173FC8" w:rsidP="00173FC8">
            <w:pPr>
              <w:rPr>
                <w:b/>
                <w:bCs/>
                <w:lang w:val="sv-SE"/>
              </w:rPr>
            </w:pPr>
            <w:r w:rsidRPr="00173FC8">
              <w:rPr>
                <w:b/>
                <w:bCs/>
                <w:lang w:val="sv-SE"/>
              </w:rPr>
              <w:t>3</w:t>
            </w:r>
          </w:p>
        </w:tc>
        <w:tc>
          <w:tcPr>
            <w:tcW w:w="3518" w:type="dxa"/>
          </w:tcPr>
          <w:p w14:paraId="498E0A8C" w14:textId="77777777" w:rsidR="00173FC8" w:rsidRPr="00173FC8" w:rsidRDefault="00173FC8" w:rsidP="00173FC8">
            <w:pPr>
              <w:rPr>
                <w:lang w:val="sv-SE"/>
              </w:rPr>
            </w:pPr>
            <w:proofErr w:type="spellStart"/>
            <w:r w:rsidRPr="00173FC8">
              <w:rPr>
                <w:b/>
                <w:bCs/>
                <w:lang w:val="sv-SE"/>
              </w:rPr>
              <w:t>Setting</w:t>
            </w:r>
            <w:proofErr w:type="spellEnd"/>
          </w:p>
        </w:tc>
        <w:tc>
          <w:tcPr>
            <w:tcW w:w="236" w:type="dxa"/>
          </w:tcPr>
          <w:p w14:paraId="69376B62" w14:textId="77777777" w:rsidR="00173FC8" w:rsidRPr="00173FC8" w:rsidRDefault="00173FC8" w:rsidP="00173FC8">
            <w:pPr>
              <w:rPr>
                <w:lang w:val="sv-SE"/>
              </w:rPr>
            </w:pPr>
            <w:r w:rsidRPr="00173FC8">
              <w:rPr>
                <w:lang w:val="sv-SE"/>
              </w:rPr>
              <w:t>5</w:t>
            </w:r>
          </w:p>
        </w:tc>
        <w:tc>
          <w:tcPr>
            <w:tcW w:w="4814" w:type="dxa"/>
          </w:tcPr>
          <w:p w14:paraId="0E1F763B" w14:textId="77777777" w:rsidR="00173FC8" w:rsidRPr="00173FC8" w:rsidRDefault="00173FC8" w:rsidP="00173FC8">
            <w:r w:rsidRPr="00173FC8">
              <w:t>The intervention is designed for regular Swedish primary schools which is also the target population for the trial. The trial is also conducted in the same municipality for which the intervention is developed in and primarily intended for.</w:t>
            </w:r>
          </w:p>
        </w:tc>
      </w:tr>
      <w:tr w:rsidR="00173FC8" w:rsidRPr="00173FC8" w14:paraId="5916F3FD" w14:textId="77777777" w:rsidTr="00D51143">
        <w:tc>
          <w:tcPr>
            <w:tcW w:w="562" w:type="dxa"/>
          </w:tcPr>
          <w:p w14:paraId="0084167C" w14:textId="77777777" w:rsidR="00173FC8" w:rsidRPr="00173FC8" w:rsidRDefault="00173FC8" w:rsidP="00173FC8">
            <w:pPr>
              <w:rPr>
                <w:b/>
                <w:bCs/>
                <w:lang w:val="sv-SE"/>
              </w:rPr>
            </w:pPr>
            <w:r w:rsidRPr="00173FC8">
              <w:rPr>
                <w:b/>
                <w:bCs/>
                <w:lang w:val="sv-SE"/>
              </w:rPr>
              <w:lastRenderedPageBreak/>
              <w:t>4</w:t>
            </w:r>
          </w:p>
        </w:tc>
        <w:tc>
          <w:tcPr>
            <w:tcW w:w="3518" w:type="dxa"/>
          </w:tcPr>
          <w:p w14:paraId="665F331D" w14:textId="77777777" w:rsidR="00173FC8" w:rsidRPr="00173FC8" w:rsidRDefault="00173FC8" w:rsidP="00173FC8">
            <w:pPr>
              <w:rPr>
                <w:lang w:val="sv-SE"/>
              </w:rPr>
            </w:pPr>
            <w:proofErr w:type="spellStart"/>
            <w:r w:rsidRPr="00173FC8">
              <w:rPr>
                <w:b/>
                <w:bCs/>
                <w:lang w:val="sv-SE"/>
              </w:rPr>
              <w:t>Organization</w:t>
            </w:r>
            <w:proofErr w:type="spellEnd"/>
            <w:r w:rsidRPr="00173FC8">
              <w:rPr>
                <w:b/>
                <w:bCs/>
                <w:lang w:val="sv-SE"/>
              </w:rPr>
              <w:t xml:space="preserve"> intervention</w:t>
            </w:r>
          </w:p>
        </w:tc>
        <w:tc>
          <w:tcPr>
            <w:tcW w:w="236" w:type="dxa"/>
          </w:tcPr>
          <w:p w14:paraId="6D38D5D8" w14:textId="77777777" w:rsidR="00173FC8" w:rsidRPr="00173FC8" w:rsidRDefault="00173FC8" w:rsidP="00173FC8">
            <w:pPr>
              <w:rPr>
                <w:lang w:val="sv-SE"/>
              </w:rPr>
            </w:pPr>
            <w:r w:rsidRPr="00173FC8">
              <w:rPr>
                <w:lang w:val="sv-SE"/>
              </w:rPr>
              <w:t>5</w:t>
            </w:r>
          </w:p>
        </w:tc>
        <w:tc>
          <w:tcPr>
            <w:tcW w:w="4814" w:type="dxa"/>
          </w:tcPr>
          <w:p w14:paraId="3870C3DE" w14:textId="77777777" w:rsidR="00173FC8" w:rsidRPr="00173FC8" w:rsidRDefault="00173FC8" w:rsidP="00173FC8">
            <w:r w:rsidRPr="00173FC8">
              <w:t>Intervention support and training is conducted by usual staff with no additional resources for the trial in the intervention arm. Schools in the control group do not have specific access to these trainers but are not restricted in using other resources available to them (e.g., other support provided by the municipality or purchased from external providers).</w:t>
            </w:r>
          </w:p>
        </w:tc>
      </w:tr>
      <w:tr w:rsidR="00173FC8" w:rsidRPr="00173FC8" w14:paraId="23DDCBAD" w14:textId="77777777" w:rsidTr="00D51143">
        <w:tc>
          <w:tcPr>
            <w:tcW w:w="562" w:type="dxa"/>
          </w:tcPr>
          <w:p w14:paraId="609B10AB" w14:textId="77777777" w:rsidR="00173FC8" w:rsidRPr="00173FC8" w:rsidRDefault="00173FC8" w:rsidP="00173FC8">
            <w:pPr>
              <w:rPr>
                <w:b/>
                <w:bCs/>
                <w:lang w:val="sv-SE"/>
              </w:rPr>
            </w:pPr>
            <w:r w:rsidRPr="00173FC8">
              <w:rPr>
                <w:b/>
                <w:bCs/>
                <w:lang w:val="sv-SE"/>
              </w:rPr>
              <w:t>5</w:t>
            </w:r>
          </w:p>
        </w:tc>
        <w:tc>
          <w:tcPr>
            <w:tcW w:w="3518" w:type="dxa"/>
          </w:tcPr>
          <w:p w14:paraId="37DB4F35" w14:textId="77777777" w:rsidR="00173FC8" w:rsidRPr="00173FC8" w:rsidRDefault="00173FC8" w:rsidP="00173FC8">
            <w:r w:rsidRPr="00173FC8">
              <w:rPr>
                <w:b/>
                <w:bCs/>
              </w:rPr>
              <w:t xml:space="preserve">Flex of experimental intervention – Delivery </w:t>
            </w:r>
          </w:p>
        </w:tc>
        <w:tc>
          <w:tcPr>
            <w:tcW w:w="236" w:type="dxa"/>
          </w:tcPr>
          <w:p w14:paraId="737A6AFC" w14:textId="77777777" w:rsidR="00173FC8" w:rsidRPr="00173FC8" w:rsidRDefault="00173FC8" w:rsidP="00173FC8">
            <w:pPr>
              <w:rPr>
                <w:lang w:val="sv-SE"/>
              </w:rPr>
            </w:pPr>
            <w:r w:rsidRPr="00173FC8">
              <w:rPr>
                <w:lang w:val="sv-SE"/>
              </w:rPr>
              <w:t>5</w:t>
            </w:r>
          </w:p>
        </w:tc>
        <w:tc>
          <w:tcPr>
            <w:tcW w:w="4814" w:type="dxa"/>
          </w:tcPr>
          <w:p w14:paraId="3A67315F" w14:textId="77777777" w:rsidR="00173FC8" w:rsidRPr="00173FC8" w:rsidRDefault="00173FC8" w:rsidP="00173FC8">
            <w:r w:rsidRPr="00173FC8">
              <w:t>No restrictions. Certified GBG-trainers are asked to provide training to schools with their usual procedures.</w:t>
            </w:r>
          </w:p>
        </w:tc>
      </w:tr>
      <w:tr w:rsidR="00173FC8" w:rsidRPr="00173FC8" w14:paraId="07AEF0F8" w14:textId="77777777" w:rsidTr="00D51143">
        <w:tc>
          <w:tcPr>
            <w:tcW w:w="562" w:type="dxa"/>
          </w:tcPr>
          <w:p w14:paraId="0EDB6E3D" w14:textId="77777777" w:rsidR="00173FC8" w:rsidRPr="00173FC8" w:rsidRDefault="00173FC8" w:rsidP="00173FC8">
            <w:pPr>
              <w:rPr>
                <w:b/>
                <w:bCs/>
                <w:lang w:val="sv-SE"/>
              </w:rPr>
            </w:pPr>
            <w:r w:rsidRPr="00173FC8">
              <w:rPr>
                <w:b/>
                <w:bCs/>
                <w:lang w:val="sv-SE"/>
              </w:rPr>
              <w:t>6</w:t>
            </w:r>
          </w:p>
        </w:tc>
        <w:tc>
          <w:tcPr>
            <w:tcW w:w="3518" w:type="dxa"/>
          </w:tcPr>
          <w:p w14:paraId="1320CB17" w14:textId="77777777" w:rsidR="00173FC8" w:rsidRPr="00173FC8" w:rsidRDefault="00173FC8" w:rsidP="00173FC8">
            <w:r w:rsidRPr="00173FC8">
              <w:rPr>
                <w:b/>
                <w:bCs/>
              </w:rPr>
              <w:t>Flex of experimental intervention – Adherence</w:t>
            </w:r>
          </w:p>
        </w:tc>
        <w:tc>
          <w:tcPr>
            <w:tcW w:w="236" w:type="dxa"/>
          </w:tcPr>
          <w:p w14:paraId="6C1BFC48" w14:textId="77777777" w:rsidR="00173FC8" w:rsidRPr="00173FC8" w:rsidRDefault="00173FC8" w:rsidP="00173FC8">
            <w:pPr>
              <w:rPr>
                <w:lang w:val="sv-SE"/>
              </w:rPr>
            </w:pPr>
            <w:r w:rsidRPr="00173FC8">
              <w:rPr>
                <w:lang w:val="sv-SE"/>
              </w:rPr>
              <w:t>5</w:t>
            </w:r>
          </w:p>
        </w:tc>
        <w:tc>
          <w:tcPr>
            <w:tcW w:w="4814" w:type="dxa"/>
          </w:tcPr>
          <w:p w14:paraId="08AA4893" w14:textId="42388CE5" w:rsidR="00173FC8" w:rsidRPr="00173FC8" w:rsidRDefault="00173FC8" w:rsidP="00173FC8">
            <w:r w:rsidRPr="00173FC8">
              <w:t xml:space="preserve">No restrictions are imposed by the research group. Trainers monitor and feedback </w:t>
            </w:r>
            <w:r w:rsidR="000070D4">
              <w:t xml:space="preserve">teacher </w:t>
            </w:r>
            <w:r w:rsidRPr="00173FC8">
              <w:t>adherence according to their usual procedures.</w:t>
            </w:r>
          </w:p>
        </w:tc>
      </w:tr>
      <w:tr w:rsidR="00173FC8" w:rsidRPr="00173FC8" w14:paraId="69E85DB7" w14:textId="77777777" w:rsidTr="00D51143">
        <w:tc>
          <w:tcPr>
            <w:tcW w:w="562" w:type="dxa"/>
          </w:tcPr>
          <w:p w14:paraId="5D5F0B18" w14:textId="77777777" w:rsidR="00173FC8" w:rsidRPr="00173FC8" w:rsidRDefault="00173FC8" w:rsidP="00173FC8">
            <w:pPr>
              <w:rPr>
                <w:b/>
                <w:bCs/>
                <w:lang w:val="sv-SE"/>
              </w:rPr>
            </w:pPr>
            <w:r w:rsidRPr="00173FC8">
              <w:rPr>
                <w:b/>
                <w:bCs/>
                <w:lang w:val="sv-SE"/>
              </w:rPr>
              <w:t>7</w:t>
            </w:r>
          </w:p>
        </w:tc>
        <w:tc>
          <w:tcPr>
            <w:tcW w:w="3518" w:type="dxa"/>
          </w:tcPr>
          <w:p w14:paraId="22398FFB" w14:textId="77777777" w:rsidR="00173FC8" w:rsidRPr="00173FC8" w:rsidRDefault="00173FC8" w:rsidP="00173FC8">
            <w:pPr>
              <w:rPr>
                <w:lang w:val="sv-SE"/>
              </w:rPr>
            </w:pPr>
            <w:proofErr w:type="spellStart"/>
            <w:r w:rsidRPr="00173FC8">
              <w:rPr>
                <w:b/>
                <w:bCs/>
                <w:lang w:val="sv-SE"/>
              </w:rPr>
              <w:t>Follow</w:t>
            </w:r>
            <w:proofErr w:type="spellEnd"/>
            <w:r w:rsidRPr="00173FC8">
              <w:rPr>
                <w:b/>
                <w:bCs/>
                <w:lang w:val="sv-SE"/>
              </w:rPr>
              <w:t xml:space="preserve"> </w:t>
            </w:r>
            <w:proofErr w:type="spellStart"/>
            <w:r w:rsidRPr="00173FC8">
              <w:rPr>
                <w:b/>
                <w:bCs/>
                <w:lang w:val="sv-SE"/>
              </w:rPr>
              <w:t>up</w:t>
            </w:r>
            <w:proofErr w:type="spellEnd"/>
          </w:p>
        </w:tc>
        <w:tc>
          <w:tcPr>
            <w:tcW w:w="236" w:type="dxa"/>
          </w:tcPr>
          <w:p w14:paraId="1555581E" w14:textId="77777777" w:rsidR="00173FC8" w:rsidRPr="00173FC8" w:rsidRDefault="00173FC8" w:rsidP="00173FC8">
            <w:pPr>
              <w:rPr>
                <w:lang w:val="sv-SE"/>
              </w:rPr>
            </w:pPr>
            <w:r w:rsidRPr="00173FC8">
              <w:rPr>
                <w:lang w:val="sv-SE"/>
              </w:rPr>
              <w:t>4</w:t>
            </w:r>
          </w:p>
        </w:tc>
        <w:tc>
          <w:tcPr>
            <w:tcW w:w="4814" w:type="dxa"/>
          </w:tcPr>
          <w:p w14:paraId="062238C4" w14:textId="77777777" w:rsidR="00173FC8" w:rsidRPr="00173FC8" w:rsidRDefault="00173FC8" w:rsidP="00173FC8">
            <w:r w:rsidRPr="00173FC8">
              <w:t>Data collection is designed to have as little impact as possible. Teacher surveys are only requested at three time points during the school year, with each survey expected to take roughly 30 minutes to complete. Observations don’t require additional effort besides booking.</w:t>
            </w:r>
          </w:p>
        </w:tc>
      </w:tr>
      <w:tr w:rsidR="00173FC8" w:rsidRPr="00173FC8" w14:paraId="5B074946" w14:textId="77777777" w:rsidTr="00D51143">
        <w:tc>
          <w:tcPr>
            <w:tcW w:w="562" w:type="dxa"/>
          </w:tcPr>
          <w:p w14:paraId="12601D42" w14:textId="77777777" w:rsidR="00173FC8" w:rsidRPr="00173FC8" w:rsidRDefault="00173FC8" w:rsidP="00173FC8">
            <w:pPr>
              <w:rPr>
                <w:b/>
                <w:bCs/>
                <w:lang w:val="sv-SE"/>
              </w:rPr>
            </w:pPr>
            <w:r w:rsidRPr="00173FC8">
              <w:rPr>
                <w:b/>
                <w:bCs/>
                <w:lang w:val="sv-SE"/>
              </w:rPr>
              <w:t>8</w:t>
            </w:r>
          </w:p>
        </w:tc>
        <w:tc>
          <w:tcPr>
            <w:tcW w:w="3518" w:type="dxa"/>
          </w:tcPr>
          <w:p w14:paraId="0C4F3669" w14:textId="77777777" w:rsidR="00173FC8" w:rsidRPr="00173FC8" w:rsidRDefault="00173FC8" w:rsidP="00173FC8">
            <w:pPr>
              <w:rPr>
                <w:lang w:val="sv-SE"/>
              </w:rPr>
            </w:pPr>
            <w:proofErr w:type="spellStart"/>
            <w:r w:rsidRPr="00173FC8">
              <w:rPr>
                <w:b/>
                <w:bCs/>
                <w:lang w:val="sv-SE"/>
              </w:rPr>
              <w:t>Primary</w:t>
            </w:r>
            <w:proofErr w:type="spellEnd"/>
            <w:r w:rsidRPr="00173FC8">
              <w:rPr>
                <w:b/>
                <w:bCs/>
                <w:lang w:val="sv-SE"/>
              </w:rPr>
              <w:t xml:space="preserve"> </w:t>
            </w:r>
            <w:proofErr w:type="spellStart"/>
            <w:r w:rsidRPr="00173FC8">
              <w:rPr>
                <w:b/>
                <w:bCs/>
                <w:lang w:val="sv-SE"/>
              </w:rPr>
              <w:t>outcome</w:t>
            </w:r>
            <w:proofErr w:type="spellEnd"/>
          </w:p>
        </w:tc>
        <w:tc>
          <w:tcPr>
            <w:tcW w:w="236" w:type="dxa"/>
          </w:tcPr>
          <w:p w14:paraId="55E70DEB" w14:textId="77777777" w:rsidR="00173FC8" w:rsidRPr="00173FC8" w:rsidRDefault="00173FC8" w:rsidP="00173FC8">
            <w:pPr>
              <w:rPr>
                <w:lang w:val="sv-SE"/>
              </w:rPr>
            </w:pPr>
            <w:r w:rsidRPr="00173FC8">
              <w:rPr>
                <w:lang w:val="sv-SE"/>
              </w:rPr>
              <w:t>3</w:t>
            </w:r>
          </w:p>
        </w:tc>
        <w:tc>
          <w:tcPr>
            <w:tcW w:w="4814" w:type="dxa"/>
            <w:tcBorders>
              <w:bottom w:val="single" w:sz="4" w:space="0" w:color="auto"/>
            </w:tcBorders>
          </w:tcPr>
          <w:p w14:paraId="1C0DDDEB" w14:textId="77777777" w:rsidR="00173FC8" w:rsidRPr="00173FC8" w:rsidRDefault="00173FC8" w:rsidP="00173FC8">
            <w:r w:rsidRPr="00173FC8">
              <w:t>The outcome is relevant to schools but is not their primary goal. The outcome is not assessed in usual practice, although similar data may be collected using other instruments.</w:t>
            </w:r>
          </w:p>
        </w:tc>
      </w:tr>
      <w:tr w:rsidR="00173FC8" w:rsidRPr="00173FC8" w14:paraId="25D71025" w14:textId="77777777" w:rsidTr="00D51143">
        <w:tc>
          <w:tcPr>
            <w:tcW w:w="562" w:type="dxa"/>
          </w:tcPr>
          <w:p w14:paraId="4192F884" w14:textId="77777777" w:rsidR="00173FC8" w:rsidRPr="00173FC8" w:rsidRDefault="00173FC8" w:rsidP="00173FC8">
            <w:pPr>
              <w:rPr>
                <w:b/>
                <w:bCs/>
                <w:lang w:val="sv-SE"/>
              </w:rPr>
            </w:pPr>
            <w:r w:rsidRPr="00173FC8">
              <w:rPr>
                <w:b/>
                <w:bCs/>
                <w:lang w:val="sv-SE"/>
              </w:rPr>
              <w:t>9</w:t>
            </w:r>
          </w:p>
        </w:tc>
        <w:tc>
          <w:tcPr>
            <w:tcW w:w="3518" w:type="dxa"/>
          </w:tcPr>
          <w:p w14:paraId="3E54C3FC" w14:textId="77777777" w:rsidR="00173FC8" w:rsidRPr="00173FC8" w:rsidRDefault="00173FC8" w:rsidP="00173FC8">
            <w:pPr>
              <w:rPr>
                <w:b/>
                <w:bCs/>
                <w:lang w:val="sv-SE"/>
              </w:rPr>
            </w:pPr>
            <w:proofErr w:type="spellStart"/>
            <w:r w:rsidRPr="00173FC8">
              <w:rPr>
                <w:b/>
                <w:bCs/>
                <w:lang w:val="sv-SE"/>
              </w:rPr>
              <w:t>Primary</w:t>
            </w:r>
            <w:proofErr w:type="spellEnd"/>
            <w:r w:rsidRPr="00173FC8">
              <w:rPr>
                <w:b/>
                <w:bCs/>
                <w:lang w:val="sv-SE"/>
              </w:rPr>
              <w:t xml:space="preserve"> </w:t>
            </w:r>
            <w:proofErr w:type="spellStart"/>
            <w:r w:rsidRPr="00173FC8">
              <w:rPr>
                <w:b/>
                <w:bCs/>
                <w:lang w:val="sv-SE"/>
              </w:rPr>
              <w:t>analysis</w:t>
            </w:r>
            <w:proofErr w:type="spellEnd"/>
          </w:p>
        </w:tc>
        <w:tc>
          <w:tcPr>
            <w:tcW w:w="236" w:type="dxa"/>
          </w:tcPr>
          <w:p w14:paraId="54EF60D4" w14:textId="77777777" w:rsidR="00173FC8" w:rsidRPr="00173FC8" w:rsidRDefault="00173FC8" w:rsidP="00173FC8">
            <w:pPr>
              <w:rPr>
                <w:lang w:val="sv-SE"/>
              </w:rPr>
            </w:pPr>
            <w:r w:rsidRPr="00173FC8">
              <w:rPr>
                <w:lang w:val="sv-SE"/>
              </w:rPr>
              <w:t>5</w:t>
            </w:r>
          </w:p>
        </w:tc>
        <w:tc>
          <w:tcPr>
            <w:tcW w:w="4814" w:type="dxa"/>
            <w:tcBorders>
              <w:bottom w:val="single" w:sz="4" w:space="0" w:color="auto"/>
            </w:tcBorders>
          </w:tcPr>
          <w:p w14:paraId="7E628D63" w14:textId="77777777" w:rsidR="00173FC8" w:rsidRPr="00173FC8" w:rsidRDefault="00173FC8" w:rsidP="00173FC8">
            <w:r w:rsidRPr="00173FC8">
              <w:t>The primary analysis is based on intention-to-treat regardless of intervention delivery.</w:t>
            </w:r>
          </w:p>
        </w:tc>
      </w:tr>
    </w:tbl>
    <w:p w14:paraId="08A922DC" w14:textId="77777777" w:rsidR="001271EE" w:rsidRDefault="001271EE" w:rsidP="00654E8F">
      <w:pPr>
        <w:spacing w:before="240"/>
      </w:pPr>
    </w:p>
    <w:p w14:paraId="4BF2209B" w14:textId="77777777" w:rsidR="001271EE" w:rsidRDefault="001271EE" w:rsidP="00654E8F">
      <w:pPr>
        <w:spacing w:before="240"/>
      </w:pPr>
    </w:p>
    <w:p w14:paraId="29FAB142" w14:textId="77777777" w:rsidR="001271EE" w:rsidRPr="001271EE" w:rsidRDefault="001271EE" w:rsidP="001271EE">
      <w:pPr>
        <w:pStyle w:val="EndNoteBibliography"/>
      </w:pPr>
      <w:r>
        <w:fldChar w:fldCharType="begin"/>
      </w:r>
      <w:r>
        <w:instrText xml:space="preserve"> ADDIN EN.REFLIST </w:instrText>
      </w:r>
      <w:r>
        <w:fldChar w:fldCharType="separate"/>
      </w:r>
      <w:r w:rsidRPr="001271EE">
        <w:t>1.</w:t>
      </w:r>
      <w:r w:rsidRPr="001271EE">
        <w:tab/>
        <w:t>Loudon K, Treweek S, Sullivan F, Donnan P, Thorpe KE, Zwarenstein M. The PRECIS-2 tool: designing trials that are fit for purpose. BMJ. 2015;350:h2147.</w:t>
      </w:r>
    </w:p>
    <w:p w14:paraId="58F1AED1" w14:textId="11E8C5D8" w:rsidR="00DE23E8" w:rsidRPr="001549D3" w:rsidRDefault="001271EE" w:rsidP="00654E8F">
      <w:pPr>
        <w:spacing w:before="240"/>
      </w:pPr>
      <w:r>
        <w:fldChar w:fldCharType="end"/>
      </w:r>
    </w:p>
    <w:sectPr w:rsidR="00DE23E8"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BF40C" w14:textId="77777777" w:rsidR="00EB3AB3" w:rsidRDefault="00EB3AB3" w:rsidP="00117666">
      <w:pPr>
        <w:spacing w:after="0"/>
      </w:pPr>
      <w:r>
        <w:separator/>
      </w:r>
    </w:p>
  </w:endnote>
  <w:endnote w:type="continuationSeparator" w:id="0">
    <w:p w14:paraId="62ADF18C" w14:textId="77777777" w:rsidR="00EB3AB3" w:rsidRDefault="00EB3AB3"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AF55" w14:textId="77777777" w:rsidR="00EB3AB3" w:rsidRDefault="00EB3AB3" w:rsidP="00117666">
      <w:pPr>
        <w:spacing w:after="0"/>
      </w:pPr>
      <w:r>
        <w:separator/>
      </w:r>
    </w:p>
  </w:footnote>
  <w:footnote w:type="continuationSeparator" w:id="0">
    <w:p w14:paraId="0D22ABDD" w14:textId="77777777" w:rsidR="00EB3AB3" w:rsidRDefault="00EB3AB3"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2"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Rubrik1"/>
      <w:lvlText w:val="%1"/>
      <w:lvlJc w:val="left"/>
      <w:pPr>
        <w:tabs>
          <w:tab w:val="num" w:pos="567"/>
        </w:tabs>
        <w:ind w:left="567" w:hanging="567"/>
      </w:pPr>
      <w:rPr>
        <w:rFonts w:hint="default"/>
      </w:rPr>
    </w:lvl>
    <w:lvl w:ilvl="1">
      <w:start w:val="1"/>
      <w:numFmt w:val="decimal"/>
      <w:pStyle w:val="Rubrik2"/>
      <w:lvlText w:val="%1.%2"/>
      <w:lvlJc w:val="left"/>
      <w:pPr>
        <w:tabs>
          <w:tab w:val="num" w:pos="567"/>
        </w:tabs>
        <w:ind w:left="567" w:hanging="567"/>
      </w:pPr>
      <w:rPr>
        <w:rFonts w:hint="default"/>
      </w:rPr>
    </w:lvl>
    <w:lvl w:ilvl="2">
      <w:start w:val="1"/>
      <w:numFmt w:val="decimal"/>
      <w:pStyle w:val="Rubrik3"/>
      <w:lvlText w:val="%1.%2.%3"/>
      <w:lvlJc w:val="left"/>
      <w:pPr>
        <w:tabs>
          <w:tab w:val="num" w:pos="567"/>
        </w:tabs>
        <w:ind w:left="567" w:hanging="567"/>
      </w:pPr>
      <w:rPr>
        <w:rFonts w:hint="default"/>
      </w:rPr>
    </w:lvl>
    <w:lvl w:ilvl="3">
      <w:start w:val="1"/>
      <w:numFmt w:val="decimal"/>
      <w:pStyle w:val="Rubrik4"/>
      <w:lvlText w:val="%1.%2.%3.%4"/>
      <w:lvlJc w:val="left"/>
      <w:pPr>
        <w:tabs>
          <w:tab w:val="num" w:pos="567"/>
        </w:tabs>
        <w:ind w:left="567" w:hanging="567"/>
      </w:pPr>
      <w:rPr>
        <w:rFonts w:hint="default"/>
      </w:rPr>
    </w:lvl>
    <w:lvl w:ilvl="4">
      <w:start w:val="1"/>
      <w:numFmt w:val="decimal"/>
      <w:pStyle w:val="Rubrik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styck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z2ssw9ez599cewt985prezafa92zzsxsvx&quot;&gt;My EndNote Library&lt;record-ids&gt;&lt;item&gt;5064&lt;/item&gt;&lt;/record-ids&gt;&lt;/item&gt;&lt;/Libraries&gt;"/>
  </w:docVars>
  <w:rsids>
    <w:rsidRoot w:val="00803D24"/>
    <w:rsid w:val="000070D4"/>
    <w:rsid w:val="0001436A"/>
    <w:rsid w:val="00034304"/>
    <w:rsid w:val="00035434"/>
    <w:rsid w:val="00052A14"/>
    <w:rsid w:val="00077D53"/>
    <w:rsid w:val="00105FD9"/>
    <w:rsid w:val="00117666"/>
    <w:rsid w:val="001271EE"/>
    <w:rsid w:val="001549D3"/>
    <w:rsid w:val="00160065"/>
    <w:rsid w:val="00173FC8"/>
    <w:rsid w:val="00177D84"/>
    <w:rsid w:val="00267D18"/>
    <w:rsid w:val="002868E2"/>
    <w:rsid w:val="002869C3"/>
    <w:rsid w:val="002936E4"/>
    <w:rsid w:val="002B4A57"/>
    <w:rsid w:val="002C74CA"/>
    <w:rsid w:val="003544FB"/>
    <w:rsid w:val="003D2F2D"/>
    <w:rsid w:val="00401590"/>
    <w:rsid w:val="00447801"/>
    <w:rsid w:val="004522A4"/>
    <w:rsid w:val="00452E9C"/>
    <w:rsid w:val="004735C8"/>
    <w:rsid w:val="004961FF"/>
    <w:rsid w:val="004D122B"/>
    <w:rsid w:val="004E128C"/>
    <w:rsid w:val="00517A89"/>
    <w:rsid w:val="005250F2"/>
    <w:rsid w:val="00593EEA"/>
    <w:rsid w:val="005A5EEE"/>
    <w:rsid w:val="005F7274"/>
    <w:rsid w:val="006375C7"/>
    <w:rsid w:val="00654E8F"/>
    <w:rsid w:val="00660D05"/>
    <w:rsid w:val="00676CBF"/>
    <w:rsid w:val="006820B1"/>
    <w:rsid w:val="006B7D14"/>
    <w:rsid w:val="00701727"/>
    <w:rsid w:val="00704DDE"/>
    <w:rsid w:val="0070566C"/>
    <w:rsid w:val="00714971"/>
    <w:rsid w:val="00714C50"/>
    <w:rsid w:val="00725A7D"/>
    <w:rsid w:val="007501BE"/>
    <w:rsid w:val="00770E7A"/>
    <w:rsid w:val="00790BB3"/>
    <w:rsid w:val="007C206C"/>
    <w:rsid w:val="00803D24"/>
    <w:rsid w:val="00817DD6"/>
    <w:rsid w:val="00885156"/>
    <w:rsid w:val="008B2277"/>
    <w:rsid w:val="00912B77"/>
    <w:rsid w:val="009151AA"/>
    <w:rsid w:val="0093429D"/>
    <w:rsid w:val="00943573"/>
    <w:rsid w:val="00970F7D"/>
    <w:rsid w:val="00994A3D"/>
    <w:rsid w:val="00994ED0"/>
    <w:rsid w:val="009C2B12"/>
    <w:rsid w:val="009C70F3"/>
    <w:rsid w:val="009D5A57"/>
    <w:rsid w:val="00A174D9"/>
    <w:rsid w:val="00A42812"/>
    <w:rsid w:val="00A569CD"/>
    <w:rsid w:val="00AB6715"/>
    <w:rsid w:val="00B01183"/>
    <w:rsid w:val="00B1671E"/>
    <w:rsid w:val="00B2457A"/>
    <w:rsid w:val="00B25EB8"/>
    <w:rsid w:val="00B354E1"/>
    <w:rsid w:val="00B37F4D"/>
    <w:rsid w:val="00C52A7B"/>
    <w:rsid w:val="00C56BAF"/>
    <w:rsid w:val="00C679AA"/>
    <w:rsid w:val="00C75972"/>
    <w:rsid w:val="00CC0A3A"/>
    <w:rsid w:val="00CD066B"/>
    <w:rsid w:val="00CE4FEE"/>
    <w:rsid w:val="00DB59C3"/>
    <w:rsid w:val="00DC259A"/>
    <w:rsid w:val="00DE23E8"/>
    <w:rsid w:val="00E36238"/>
    <w:rsid w:val="00E52377"/>
    <w:rsid w:val="00E5341D"/>
    <w:rsid w:val="00E64E17"/>
    <w:rsid w:val="00E866C9"/>
    <w:rsid w:val="00EA3D3C"/>
    <w:rsid w:val="00EB3AB3"/>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Rubrik1">
    <w:name w:val="heading 1"/>
    <w:basedOn w:val="Liststycke"/>
    <w:next w:val="Normal"/>
    <w:link w:val="Rubrik1Char"/>
    <w:uiPriority w:val="2"/>
    <w:qFormat/>
    <w:rsid w:val="00AB6715"/>
    <w:pPr>
      <w:numPr>
        <w:numId w:val="19"/>
      </w:numPr>
      <w:spacing w:before="240"/>
      <w:contextualSpacing w:val="0"/>
      <w:outlineLvl w:val="0"/>
    </w:pPr>
    <w:rPr>
      <w:b/>
    </w:rPr>
  </w:style>
  <w:style w:type="paragraph" w:styleId="Rubrik2">
    <w:name w:val="heading 2"/>
    <w:basedOn w:val="Rubrik1"/>
    <w:next w:val="Normal"/>
    <w:link w:val="Rubrik2Char"/>
    <w:uiPriority w:val="2"/>
    <w:qFormat/>
    <w:rsid w:val="00AB6715"/>
    <w:pPr>
      <w:numPr>
        <w:ilvl w:val="1"/>
      </w:numPr>
      <w:spacing w:after="200"/>
      <w:outlineLvl w:val="1"/>
    </w:pPr>
  </w:style>
  <w:style w:type="paragraph" w:styleId="Rubrik3">
    <w:name w:val="heading 3"/>
    <w:basedOn w:val="Normal"/>
    <w:next w:val="Normal"/>
    <w:link w:val="Rubrik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Rubrik4">
    <w:name w:val="heading 4"/>
    <w:basedOn w:val="Rubrik3"/>
    <w:next w:val="Normal"/>
    <w:link w:val="Rubrik4Char"/>
    <w:uiPriority w:val="2"/>
    <w:qFormat/>
    <w:rsid w:val="00AB6715"/>
    <w:pPr>
      <w:numPr>
        <w:ilvl w:val="3"/>
      </w:numPr>
      <w:outlineLvl w:val="3"/>
    </w:pPr>
    <w:rPr>
      <w:iCs/>
    </w:rPr>
  </w:style>
  <w:style w:type="paragraph" w:styleId="Rubrik5">
    <w:name w:val="heading 5"/>
    <w:basedOn w:val="Rubrik4"/>
    <w:next w:val="Normal"/>
    <w:link w:val="Rubrik5Char"/>
    <w:uiPriority w:val="2"/>
    <w:qFormat/>
    <w:rsid w:val="00AB6715"/>
    <w:pPr>
      <w:numPr>
        <w:ilvl w:val="4"/>
      </w:numPr>
      <w:outlineLvl w:val="4"/>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AB6715"/>
    <w:rPr>
      <w:rFonts w:ascii="Times New Roman" w:eastAsia="Cambria" w:hAnsi="Times New Roman" w:cs="Times New Roman"/>
      <w:b/>
      <w:sz w:val="24"/>
      <w:szCs w:val="24"/>
    </w:rPr>
  </w:style>
  <w:style w:type="character" w:customStyle="1" w:styleId="Rubrik2Char">
    <w:name w:val="Rubrik 2 Char"/>
    <w:basedOn w:val="Standardstycketeckensnitt"/>
    <w:link w:val="Rubrik2"/>
    <w:uiPriority w:val="2"/>
    <w:rsid w:val="00AB6715"/>
    <w:rPr>
      <w:rFonts w:ascii="Times New Roman" w:eastAsia="Cambria" w:hAnsi="Times New Roman" w:cs="Times New Roman"/>
      <w:b/>
      <w:sz w:val="24"/>
      <w:szCs w:val="24"/>
    </w:rPr>
  </w:style>
  <w:style w:type="paragraph" w:styleId="Underrubrik">
    <w:name w:val="Subtitle"/>
    <w:basedOn w:val="Normal"/>
    <w:next w:val="Normal"/>
    <w:link w:val="UnderrubrikChar"/>
    <w:uiPriority w:val="99"/>
    <w:unhideWhenUsed/>
    <w:qFormat/>
    <w:rsid w:val="00AB6715"/>
    <w:pPr>
      <w:spacing w:before="240"/>
    </w:pPr>
    <w:rPr>
      <w:rFonts w:cs="Times New Roman"/>
      <w:b/>
      <w:szCs w:val="24"/>
    </w:rPr>
  </w:style>
  <w:style w:type="character" w:customStyle="1" w:styleId="UnderrubrikChar">
    <w:name w:val="Underrubrik Char"/>
    <w:basedOn w:val="Standardstycketeckensnitt"/>
    <w:link w:val="Underrubrik"/>
    <w:uiPriority w:val="99"/>
    <w:rsid w:val="00AB6715"/>
    <w:rPr>
      <w:rFonts w:ascii="Times New Roman" w:hAnsi="Times New Roman" w:cs="Times New Roman"/>
      <w:b/>
      <w:sz w:val="24"/>
      <w:szCs w:val="24"/>
    </w:rPr>
  </w:style>
  <w:style w:type="paragraph" w:customStyle="1" w:styleId="AuthorList">
    <w:name w:val="Author List"/>
    <w:aliases w:val="Keywords,Abstract"/>
    <w:basedOn w:val="Underrubrik"/>
    <w:next w:val="Normal"/>
    <w:uiPriority w:val="1"/>
    <w:qFormat/>
    <w:rsid w:val="00AB6715"/>
  </w:style>
  <w:style w:type="paragraph" w:styleId="Ballongtext">
    <w:name w:val="Balloon Text"/>
    <w:basedOn w:val="Normal"/>
    <w:link w:val="BallongtextChar"/>
    <w:uiPriority w:val="99"/>
    <w:semiHidden/>
    <w:unhideWhenUsed/>
    <w:rsid w:val="00AB6715"/>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B6715"/>
    <w:rPr>
      <w:rFonts w:ascii="Tahoma" w:hAnsi="Tahoma" w:cs="Tahoma"/>
      <w:sz w:val="16"/>
      <w:szCs w:val="16"/>
    </w:rPr>
  </w:style>
  <w:style w:type="character" w:styleId="Bokenstitel">
    <w:name w:val="Book Title"/>
    <w:basedOn w:val="Standardstycketeckensnitt"/>
    <w:uiPriority w:val="33"/>
    <w:qFormat/>
    <w:rsid w:val="00AB6715"/>
    <w:rPr>
      <w:rFonts w:ascii="Times New Roman" w:hAnsi="Times New Roman"/>
      <w:b/>
      <w:bCs/>
      <w:i/>
      <w:iCs/>
      <w:spacing w:val="5"/>
    </w:rPr>
  </w:style>
  <w:style w:type="paragraph" w:styleId="Beskrivning">
    <w:name w:val="caption"/>
    <w:basedOn w:val="Normal"/>
    <w:next w:val="Ingetavstnd"/>
    <w:uiPriority w:val="35"/>
    <w:unhideWhenUsed/>
    <w:qFormat/>
    <w:rsid w:val="00AB6715"/>
    <w:pPr>
      <w:keepNext/>
    </w:pPr>
    <w:rPr>
      <w:rFonts w:cs="Times New Roman"/>
      <w:b/>
      <w:bCs/>
      <w:szCs w:val="24"/>
    </w:rPr>
  </w:style>
  <w:style w:type="paragraph" w:styleId="Ingetavstnd">
    <w:name w:val="No Spacing"/>
    <w:uiPriority w:val="99"/>
    <w:unhideWhenUsed/>
    <w:qFormat/>
    <w:rsid w:val="00AB6715"/>
    <w:pPr>
      <w:spacing w:after="0" w:line="240" w:lineRule="auto"/>
    </w:pPr>
    <w:rPr>
      <w:rFonts w:ascii="Times New Roman" w:hAnsi="Times New Roman"/>
      <w:sz w:val="24"/>
    </w:rPr>
  </w:style>
  <w:style w:type="character" w:styleId="Kommentarsreferens">
    <w:name w:val="annotation reference"/>
    <w:basedOn w:val="Standardstycketeckensnitt"/>
    <w:uiPriority w:val="99"/>
    <w:semiHidden/>
    <w:unhideWhenUsed/>
    <w:rsid w:val="00AB6715"/>
    <w:rPr>
      <w:sz w:val="16"/>
      <w:szCs w:val="16"/>
    </w:rPr>
  </w:style>
  <w:style w:type="paragraph" w:styleId="Kommentarer">
    <w:name w:val="annotation text"/>
    <w:basedOn w:val="Normal"/>
    <w:link w:val="KommentarerChar"/>
    <w:uiPriority w:val="99"/>
    <w:semiHidden/>
    <w:unhideWhenUsed/>
    <w:rsid w:val="00AB6715"/>
    <w:rPr>
      <w:sz w:val="20"/>
      <w:szCs w:val="20"/>
    </w:rPr>
  </w:style>
  <w:style w:type="character" w:customStyle="1" w:styleId="KommentarerChar">
    <w:name w:val="Kommentarer Char"/>
    <w:basedOn w:val="Standardstycketeckensnitt"/>
    <w:link w:val="Kommentarer"/>
    <w:uiPriority w:val="99"/>
    <w:semiHidden/>
    <w:rsid w:val="00AB6715"/>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AB6715"/>
    <w:rPr>
      <w:b/>
      <w:bCs/>
    </w:rPr>
  </w:style>
  <w:style w:type="character" w:customStyle="1" w:styleId="KommentarsmneChar">
    <w:name w:val="Kommentarsämne Char"/>
    <w:basedOn w:val="KommentarerChar"/>
    <w:link w:val="Kommentarsmne"/>
    <w:uiPriority w:val="99"/>
    <w:semiHidden/>
    <w:rsid w:val="00AB6715"/>
    <w:rPr>
      <w:rFonts w:ascii="Times New Roman" w:hAnsi="Times New Roman"/>
      <w:b/>
      <w:bCs/>
      <w:sz w:val="20"/>
      <w:szCs w:val="20"/>
    </w:rPr>
  </w:style>
  <w:style w:type="character" w:styleId="Betoning">
    <w:name w:val="Emphasis"/>
    <w:basedOn w:val="Standardstycketeckensnitt"/>
    <w:uiPriority w:val="20"/>
    <w:qFormat/>
    <w:rsid w:val="00AB6715"/>
    <w:rPr>
      <w:rFonts w:ascii="Times New Roman" w:hAnsi="Times New Roman"/>
      <w:i/>
      <w:iCs/>
    </w:rPr>
  </w:style>
  <w:style w:type="character" w:styleId="Slutnotsreferens">
    <w:name w:val="endnote reference"/>
    <w:basedOn w:val="Standardstycketeckensnitt"/>
    <w:uiPriority w:val="99"/>
    <w:semiHidden/>
    <w:unhideWhenUsed/>
    <w:rsid w:val="00AB6715"/>
    <w:rPr>
      <w:vertAlign w:val="superscript"/>
    </w:rPr>
  </w:style>
  <w:style w:type="paragraph" w:styleId="Slutnotstext">
    <w:name w:val="endnote text"/>
    <w:basedOn w:val="Normal"/>
    <w:link w:val="SlutnotstextChar"/>
    <w:uiPriority w:val="99"/>
    <w:semiHidden/>
    <w:unhideWhenUsed/>
    <w:rsid w:val="00AB6715"/>
    <w:pPr>
      <w:spacing w:after="0"/>
    </w:pPr>
    <w:rPr>
      <w:sz w:val="20"/>
      <w:szCs w:val="20"/>
    </w:rPr>
  </w:style>
  <w:style w:type="character" w:customStyle="1" w:styleId="SlutnotstextChar">
    <w:name w:val="Slutnotstext Char"/>
    <w:basedOn w:val="Standardstycketeckensnitt"/>
    <w:link w:val="Slutnotstext"/>
    <w:uiPriority w:val="99"/>
    <w:semiHidden/>
    <w:rsid w:val="00AB6715"/>
    <w:rPr>
      <w:rFonts w:ascii="Times New Roman" w:hAnsi="Times New Roman"/>
      <w:sz w:val="20"/>
      <w:szCs w:val="20"/>
    </w:rPr>
  </w:style>
  <w:style w:type="character" w:styleId="AnvndHyperlnk">
    <w:name w:val="FollowedHyperlink"/>
    <w:basedOn w:val="Standardstycketeckensnitt"/>
    <w:uiPriority w:val="99"/>
    <w:semiHidden/>
    <w:unhideWhenUsed/>
    <w:rsid w:val="00AB6715"/>
    <w:rPr>
      <w:color w:val="800080" w:themeColor="followedHyperlink"/>
      <w:u w:val="single"/>
    </w:rPr>
  </w:style>
  <w:style w:type="paragraph" w:styleId="Sidfot">
    <w:name w:val="footer"/>
    <w:basedOn w:val="Normal"/>
    <w:link w:val="SidfotChar"/>
    <w:uiPriority w:val="99"/>
    <w:unhideWhenUsed/>
    <w:rsid w:val="00AB6715"/>
    <w:pPr>
      <w:tabs>
        <w:tab w:val="center" w:pos="4844"/>
        <w:tab w:val="right" w:pos="9689"/>
      </w:tabs>
      <w:spacing w:after="0"/>
    </w:pPr>
  </w:style>
  <w:style w:type="character" w:customStyle="1" w:styleId="SidfotChar">
    <w:name w:val="Sidfot Char"/>
    <w:basedOn w:val="Standardstycketeckensnitt"/>
    <w:link w:val="Sidfot"/>
    <w:uiPriority w:val="99"/>
    <w:rsid w:val="00AB6715"/>
    <w:rPr>
      <w:rFonts w:ascii="Times New Roman" w:hAnsi="Times New Roman"/>
      <w:sz w:val="24"/>
    </w:rPr>
  </w:style>
  <w:style w:type="character" w:styleId="Fotnotsreferens">
    <w:name w:val="footnote reference"/>
    <w:basedOn w:val="Standardstycketeckensnitt"/>
    <w:uiPriority w:val="99"/>
    <w:semiHidden/>
    <w:unhideWhenUsed/>
    <w:rsid w:val="00AB6715"/>
    <w:rPr>
      <w:vertAlign w:val="superscript"/>
    </w:rPr>
  </w:style>
  <w:style w:type="paragraph" w:styleId="Fotnotstext">
    <w:name w:val="footnote text"/>
    <w:basedOn w:val="Normal"/>
    <w:link w:val="FotnotstextChar"/>
    <w:uiPriority w:val="99"/>
    <w:semiHidden/>
    <w:unhideWhenUsed/>
    <w:rsid w:val="00AB6715"/>
    <w:pPr>
      <w:spacing w:after="0"/>
    </w:pPr>
    <w:rPr>
      <w:sz w:val="20"/>
      <w:szCs w:val="20"/>
    </w:rPr>
  </w:style>
  <w:style w:type="character" w:customStyle="1" w:styleId="FotnotstextChar">
    <w:name w:val="Fotnotstext Char"/>
    <w:basedOn w:val="Standardstycketeckensnitt"/>
    <w:link w:val="Fotnotstext"/>
    <w:uiPriority w:val="99"/>
    <w:semiHidden/>
    <w:rsid w:val="00AB6715"/>
    <w:rPr>
      <w:rFonts w:ascii="Times New Roman" w:hAnsi="Times New Roman"/>
      <w:sz w:val="20"/>
      <w:szCs w:val="20"/>
    </w:rPr>
  </w:style>
  <w:style w:type="paragraph" w:styleId="Sidhuvud">
    <w:name w:val="header"/>
    <w:basedOn w:val="Normal"/>
    <w:link w:val="SidhuvudChar"/>
    <w:uiPriority w:val="99"/>
    <w:unhideWhenUsed/>
    <w:rsid w:val="00AB6715"/>
    <w:pPr>
      <w:tabs>
        <w:tab w:val="center" w:pos="4844"/>
        <w:tab w:val="right" w:pos="9689"/>
      </w:tabs>
    </w:pPr>
    <w:rPr>
      <w:b/>
    </w:rPr>
  </w:style>
  <w:style w:type="character" w:customStyle="1" w:styleId="SidhuvudChar">
    <w:name w:val="Sidhuvud Char"/>
    <w:basedOn w:val="Standardstycketeckensnitt"/>
    <w:link w:val="Sidhuvud"/>
    <w:uiPriority w:val="99"/>
    <w:rsid w:val="00AB6715"/>
    <w:rPr>
      <w:rFonts w:ascii="Times New Roman" w:hAnsi="Times New Roman"/>
      <w:b/>
      <w:sz w:val="24"/>
    </w:rPr>
  </w:style>
  <w:style w:type="paragraph" w:styleId="Liststycke">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nk">
    <w:name w:val="Hyperlink"/>
    <w:basedOn w:val="Standardstycketeckensnitt"/>
    <w:uiPriority w:val="99"/>
    <w:unhideWhenUsed/>
    <w:rsid w:val="00AB6715"/>
    <w:rPr>
      <w:color w:val="0000FF"/>
      <w:u w:val="single"/>
    </w:rPr>
  </w:style>
  <w:style w:type="character" w:styleId="Starkbetoning">
    <w:name w:val="Intense Emphasis"/>
    <w:basedOn w:val="Standardstycketeckensnitt"/>
    <w:uiPriority w:val="21"/>
    <w:unhideWhenUsed/>
    <w:rsid w:val="00AB6715"/>
    <w:rPr>
      <w:rFonts w:ascii="Times New Roman" w:hAnsi="Times New Roman"/>
      <w:i/>
      <w:iCs/>
      <w:color w:val="auto"/>
    </w:rPr>
  </w:style>
  <w:style w:type="character" w:styleId="Starkreferens">
    <w:name w:val="Intense Reference"/>
    <w:basedOn w:val="Standardstycketeckensnitt"/>
    <w:uiPriority w:val="32"/>
    <w:qFormat/>
    <w:rsid w:val="00AB6715"/>
    <w:rPr>
      <w:b/>
      <w:bCs/>
      <w:smallCaps/>
      <w:color w:val="auto"/>
      <w:spacing w:val="5"/>
    </w:rPr>
  </w:style>
  <w:style w:type="character" w:styleId="Radnummer">
    <w:name w:val="line number"/>
    <w:basedOn w:val="Standardstycketeckensnitt"/>
    <w:uiPriority w:val="99"/>
    <w:semiHidden/>
    <w:unhideWhenUsed/>
    <w:rsid w:val="00AB6715"/>
  </w:style>
  <w:style w:type="character" w:customStyle="1" w:styleId="Rubrik3Char">
    <w:name w:val="Rubrik 3 Char"/>
    <w:basedOn w:val="Standardstycketeckensnitt"/>
    <w:link w:val="Rubrik3"/>
    <w:uiPriority w:val="2"/>
    <w:rsid w:val="00AB6715"/>
    <w:rPr>
      <w:rFonts w:ascii="Times New Roman" w:eastAsiaTheme="majorEastAsia" w:hAnsi="Times New Roman" w:cstheme="majorBidi"/>
      <w:b/>
      <w:sz w:val="24"/>
      <w:szCs w:val="24"/>
    </w:rPr>
  </w:style>
  <w:style w:type="character" w:customStyle="1" w:styleId="Rubrik4Char">
    <w:name w:val="Rubrik 4 Char"/>
    <w:basedOn w:val="Standardstycketeckensnitt"/>
    <w:link w:val="Rubrik4"/>
    <w:uiPriority w:val="2"/>
    <w:rsid w:val="00AB6715"/>
    <w:rPr>
      <w:rFonts w:ascii="Times New Roman" w:eastAsiaTheme="majorEastAsia" w:hAnsi="Times New Roman" w:cstheme="majorBidi"/>
      <w:b/>
      <w:iCs/>
      <w:sz w:val="24"/>
      <w:szCs w:val="24"/>
    </w:rPr>
  </w:style>
  <w:style w:type="character" w:customStyle="1" w:styleId="Rubrik5Char">
    <w:name w:val="Rubrik 5 Char"/>
    <w:basedOn w:val="Standardstycketeckensnitt"/>
    <w:link w:val="Rubrik5"/>
    <w:uiPriority w:val="2"/>
    <w:rsid w:val="00AB6715"/>
    <w:rPr>
      <w:rFonts w:ascii="Times New Roman" w:eastAsiaTheme="majorEastAsia" w:hAnsi="Times New Roman" w:cstheme="majorBidi"/>
      <w:b/>
      <w:iCs/>
      <w:sz w:val="24"/>
      <w:szCs w:val="24"/>
    </w:rPr>
  </w:style>
  <w:style w:type="paragraph" w:styleId="Normalweb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t">
    <w:name w:val="Quote"/>
    <w:basedOn w:val="Normal"/>
    <w:next w:val="Normal"/>
    <w:link w:val="CitatChar"/>
    <w:uiPriority w:val="29"/>
    <w:qFormat/>
    <w:rsid w:val="00AB671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AB6715"/>
    <w:rPr>
      <w:rFonts w:ascii="Times New Roman" w:hAnsi="Times New Roman"/>
      <w:i/>
      <w:iCs/>
      <w:color w:val="404040" w:themeColor="text1" w:themeTint="BF"/>
      <w:sz w:val="24"/>
    </w:rPr>
  </w:style>
  <w:style w:type="character" w:styleId="Stark">
    <w:name w:val="Strong"/>
    <w:basedOn w:val="Standardstycketeckensnitt"/>
    <w:uiPriority w:val="22"/>
    <w:qFormat/>
    <w:rsid w:val="00AB6715"/>
    <w:rPr>
      <w:rFonts w:ascii="Times New Roman" w:hAnsi="Times New Roman"/>
      <w:b/>
      <w:bCs/>
    </w:rPr>
  </w:style>
  <w:style w:type="character" w:styleId="Diskretbetoning">
    <w:name w:val="Subtle Emphasis"/>
    <w:basedOn w:val="Standardstycketeckensnitt"/>
    <w:uiPriority w:val="19"/>
    <w:qFormat/>
    <w:rsid w:val="00AB6715"/>
    <w:rPr>
      <w:rFonts w:ascii="Times New Roman" w:hAnsi="Times New Roman"/>
      <w:i/>
      <w:iCs/>
      <w:color w:val="404040" w:themeColor="text1" w:themeTint="BF"/>
    </w:rPr>
  </w:style>
  <w:style w:type="table" w:styleId="Tabellrutnt">
    <w:name w:val="Table Grid"/>
    <w:basedOn w:val="Normaltabel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qFormat/>
    <w:rsid w:val="00AB6715"/>
    <w:pPr>
      <w:suppressLineNumbers/>
      <w:spacing w:before="240" w:after="360"/>
      <w:jc w:val="center"/>
    </w:pPr>
    <w:rPr>
      <w:rFonts w:cs="Times New Roman"/>
      <w:b/>
      <w:sz w:val="32"/>
      <w:szCs w:val="32"/>
    </w:rPr>
  </w:style>
  <w:style w:type="character" w:customStyle="1" w:styleId="RubrikChar">
    <w:name w:val="Rubrik Char"/>
    <w:basedOn w:val="Standardstycketeckensnitt"/>
    <w:link w:val="Rubrik"/>
    <w:rsid w:val="00AB6715"/>
    <w:rPr>
      <w:rFonts w:ascii="Times New Roman" w:hAnsi="Times New Roman" w:cs="Times New Roman"/>
      <w:b/>
      <w:sz w:val="32"/>
      <w:szCs w:val="32"/>
    </w:rPr>
  </w:style>
  <w:style w:type="paragraph" w:customStyle="1" w:styleId="SupplementaryMaterial">
    <w:name w:val="Supplementary Material"/>
    <w:basedOn w:val="Rubrik"/>
    <w:next w:val="Rubrik"/>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customStyle="1" w:styleId="EndNoteBibliographyTitle">
    <w:name w:val="EndNote Bibliography Title"/>
    <w:basedOn w:val="Normal"/>
    <w:link w:val="EndNoteBibliographyTitleChar"/>
    <w:rsid w:val="001271EE"/>
    <w:pPr>
      <w:spacing w:after="0"/>
      <w:jc w:val="center"/>
    </w:pPr>
    <w:rPr>
      <w:rFonts w:cs="Times New Roman"/>
      <w:noProof/>
    </w:rPr>
  </w:style>
  <w:style w:type="character" w:customStyle="1" w:styleId="EndNoteBibliographyTitleChar">
    <w:name w:val="EndNote Bibliography Title Char"/>
    <w:basedOn w:val="Standardstycketeckensnitt"/>
    <w:link w:val="EndNoteBibliographyTitle"/>
    <w:rsid w:val="001271EE"/>
    <w:rPr>
      <w:rFonts w:ascii="Times New Roman" w:hAnsi="Times New Roman" w:cs="Times New Roman"/>
      <w:noProof/>
      <w:sz w:val="24"/>
    </w:rPr>
  </w:style>
  <w:style w:type="paragraph" w:customStyle="1" w:styleId="EndNoteBibliography">
    <w:name w:val="EndNote Bibliography"/>
    <w:basedOn w:val="Normal"/>
    <w:link w:val="EndNoteBibliographyChar"/>
    <w:rsid w:val="001271EE"/>
    <w:rPr>
      <w:rFonts w:cs="Times New Roman"/>
      <w:noProof/>
    </w:rPr>
  </w:style>
  <w:style w:type="character" w:customStyle="1" w:styleId="EndNoteBibliographyChar">
    <w:name w:val="EndNote Bibliography Char"/>
    <w:basedOn w:val="Standardstycketeckensnitt"/>
    <w:link w:val="EndNoteBibliography"/>
    <w:rsid w:val="001271EE"/>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2</Pages>
  <Words>479</Words>
  <Characters>2541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Dariush Djamnezhad</cp:lastModifiedBy>
  <cp:revision>2</cp:revision>
  <cp:lastPrinted>2013-10-03T12:51:00Z</cp:lastPrinted>
  <dcterms:created xsi:type="dcterms:W3CDTF">2023-09-25T11:19:00Z</dcterms:created>
  <dcterms:modified xsi:type="dcterms:W3CDTF">2023-09-25T11:19:00Z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