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2E9B6" w14:textId="14805F48" w:rsidR="000F57CE" w:rsidRDefault="0031579E" w:rsidP="00B47B56">
      <w:pPr>
        <w:pStyle w:val="Kop3"/>
        <w:rPr>
          <w:rFonts w:ascii="Times New Roman" w:hAnsi="Times New Roman" w:cs="Times New Roman"/>
          <w:b/>
          <w:color w:val="auto"/>
          <w:lang w:val="en-US"/>
        </w:rPr>
      </w:pPr>
      <w:bookmarkStart w:id="0" w:name="_Toc125537488"/>
      <w:bookmarkStart w:id="1" w:name="_Toc125537589"/>
      <w:bookmarkStart w:id="2" w:name="_Toc126259793"/>
      <w:r w:rsidRPr="0031579E">
        <w:rPr>
          <w:rFonts w:ascii="Times New Roman" w:hAnsi="Times New Roman" w:cs="Times New Roman"/>
          <w:b/>
          <w:color w:val="auto"/>
          <w:lang w:val="en-US"/>
        </w:rPr>
        <w:t xml:space="preserve">Appendix A: </w:t>
      </w:r>
      <w:r w:rsidR="00465F96" w:rsidRPr="0031579E">
        <w:rPr>
          <w:rFonts w:ascii="Times New Roman" w:hAnsi="Times New Roman" w:cs="Times New Roman"/>
          <w:b/>
          <w:color w:val="auto"/>
          <w:lang w:val="en-US"/>
        </w:rPr>
        <w:t xml:space="preserve">Overview of arguments for and against the access routes to treatments placed in the </w:t>
      </w:r>
      <w:r w:rsidR="008D0264" w:rsidRPr="0031579E">
        <w:rPr>
          <w:rFonts w:ascii="Times New Roman" w:hAnsi="Times New Roman" w:cs="Times New Roman"/>
          <w:b/>
          <w:color w:val="auto"/>
          <w:lang w:val="en-US"/>
        </w:rPr>
        <w:t>Coverage L</w:t>
      </w:r>
      <w:r w:rsidR="00465F96" w:rsidRPr="0031579E">
        <w:rPr>
          <w:rFonts w:ascii="Times New Roman" w:hAnsi="Times New Roman" w:cs="Times New Roman"/>
          <w:b/>
          <w:color w:val="auto"/>
          <w:lang w:val="en-US"/>
        </w:rPr>
        <w:t>ock</w:t>
      </w:r>
      <w:bookmarkEnd w:id="0"/>
      <w:bookmarkEnd w:id="1"/>
      <w:bookmarkEnd w:id="2"/>
    </w:p>
    <w:p w14:paraId="1BD4134B" w14:textId="77777777" w:rsidR="0031579E" w:rsidRPr="0031579E" w:rsidRDefault="0031579E" w:rsidP="0031579E">
      <w:pPr>
        <w:rPr>
          <w:lang w:val="en-US"/>
        </w:rPr>
      </w:pPr>
      <w:bookmarkStart w:id="3" w:name="_GoBack"/>
      <w:bookmarkEnd w:id="3"/>
    </w:p>
    <w:tbl>
      <w:tblPr>
        <w:tblStyle w:val="Tabelraster"/>
        <w:tblW w:w="14459" w:type="dxa"/>
        <w:tblInd w:w="-147" w:type="dxa"/>
        <w:tblLayout w:type="fixed"/>
        <w:tblLook w:val="04A0" w:firstRow="1" w:lastRow="0" w:firstColumn="1" w:lastColumn="0" w:noHBand="0" w:noVBand="1"/>
      </w:tblPr>
      <w:tblGrid>
        <w:gridCol w:w="426"/>
        <w:gridCol w:w="3685"/>
        <w:gridCol w:w="5174"/>
        <w:gridCol w:w="5174"/>
      </w:tblGrid>
      <w:tr w:rsidR="00C36B48" w:rsidRPr="0059535C" w14:paraId="1C58C97B" w14:textId="77777777" w:rsidTr="0059535C">
        <w:tc>
          <w:tcPr>
            <w:tcW w:w="426" w:type="dxa"/>
            <w:shd w:val="clear" w:color="auto" w:fill="auto"/>
          </w:tcPr>
          <w:p w14:paraId="7579A12D" w14:textId="16D5B4B9" w:rsidR="00C36B48" w:rsidRPr="0059535C" w:rsidRDefault="00C36B48">
            <w:pPr>
              <w:rPr>
                <w:rFonts w:ascii="Times New Roman" w:hAnsi="Times New Roman" w:cs="Times New Roman"/>
                <w:b/>
                <w:bCs/>
                <w:sz w:val="20"/>
                <w:szCs w:val="20"/>
                <w:lang w:val="en-US"/>
              </w:rPr>
            </w:pPr>
            <w:r w:rsidRPr="0059535C">
              <w:rPr>
                <w:rFonts w:ascii="Times New Roman" w:hAnsi="Times New Roman" w:cs="Times New Roman"/>
                <w:lang w:val="en-US"/>
              </w:rPr>
              <w:br w:type="page"/>
            </w:r>
            <w:r w:rsidRPr="0059535C">
              <w:rPr>
                <w:rFonts w:ascii="Times New Roman" w:hAnsi="Times New Roman" w:cs="Times New Roman"/>
                <w:lang w:val="en-US"/>
              </w:rPr>
              <w:br w:type="page"/>
            </w:r>
          </w:p>
        </w:tc>
        <w:tc>
          <w:tcPr>
            <w:tcW w:w="3685" w:type="dxa"/>
            <w:shd w:val="clear" w:color="auto" w:fill="auto"/>
          </w:tcPr>
          <w:p w14:paraId="599540DB" w14:textId="3A21DBD1" w:rsidR="0033142D" w:rsidRPr="0059535C" w:rsidRDefault="0031579E" w:rsidP="00341671">
            <w:pPr>
              <w:rPr>
                <w:rFonts w:ascii="Times New Roman" w:hAnsi="Times New Roman" w:cs="Times New Roman"/>
                <w:b/>
                <w:bCs/>
                <w:sz w:val="24"/>
                <w:szCs w:val="24"/>
                <w:lang w:val="en-US"/>
              </w:rPr>
            </w:pPr>
            <w:r w:rsidRPr="0031579E">
              <w:rPr>
                <w:rFonts w:ascii="Times New Roman" w:hAnsi="Times New Roman" w:cs="Times New Roman"/>
                <w:b/>
                <w:bCs/>
                <w:sz w:val="24"/>
                <w:szCs w:val="24"/>
                <w:lang w:val="en-US"/>
              </w:rPr>
              <w:t>Access</w:t>
            </w:r>
            <w:r w:rsidR="00465F96" w:rsidRPr="0059535C">
              <w:rPr>
                <w:rFonts w:ascii="Times New Roman" w:hAnsi="Times New Roman" w:cs="Times New Roman"/>
                <w:b/>
                <w:bCs/>
                <w:sz w:val="24"/>
                <w:szCs w:val="24"/>
                <w:lang w:val="en-US"/>
              </w:rPr>
              <w:t xml:space="preserve"> routes to treatments placed in the </w:t>
            </w:r>
            <w:r w:rsidR="008D0264" w:rsidRPr="0059535C">
              <w:rPr>
                <w:rFonts w:ascii="Times New Roman" w:hAnsi="Times New Roman" w:cs="Times New Roman"/>
                <w:b/>
                <w:bCs/>
                <w:sz w:val="24"/>
                <w:szCs w:val="24"/>
                <w:lang w:val="en-US"/>
              </w:rPr>
              <w:t>Coverage L</w:t>
            </w:r>
            <w:r w:rsidR="00465F96" w:rsidRPr="0059535C">
              <w:rPr>
                <w:rFonts w:ascii="Times New Roman" w:hAnsi="Times New Roman" w:cs="Times New Roman"/>
                <w:b/>
                <w:bCs/>
                <w:sz w:val="24"/>
                <w:szCs w:val="24"/>
                <w:lang w:val="en-US"/>
              </w:rPr>
              <w:t>ock</w:t>
            </w:r>
            <w:r w:rsidR="008D0264" w:rsidRPr="0059535C">
              <w:rPr>
                <w:rFonts w:ascii="Times New Roman" w:hAnsi="Times New Roman" w:cs="Times New Roman"/>
                <w:b/>
                <w:bCs/>
                <w:sz w:val="24"/>
                <w:szCs w:val="24"/>
                <w:lang w:val="en-US"/>
              </w:rPr>
              <w:t xml:space="preserve"> (CL)</w:t>
            </w:r>
            <w:r w:rsidR="00465F96" w:rsidRPr="0059535C">
              <w:rPr>
                <w:rFonts w:ascii="Times New Roman" w:hAnsi="Times New Roman" w:cs="Times New Roman"/>
                <w:b/>
                <w:bCs/>
                <w:sz w:val="24"/>
                <w:szCs w:val="24"/>
                <w:lang w:val="en-US"/>
              </w:rPr>
              <w:t xml:space="preserve">. </w:t>
            </w:r>
          </w:p>
        </w:tc>
        <w:tc>
          <w:tcPr>
            <w:tcW w:w="5174" w:type="dxa"/>
            <w:shd w:val="clear" w:color="auto" w:fill="auto"/>
          </w:tcPr>
          <w:p w14:paraId="4DE5F31D" w14:textId="477EBFC8" w:rsidR="00C36B48" w:rsidRPr="0059535C" w:rsidRDefault="00465F96">
            <w:pPr>
              <w:rPr>
                <w:rFonts w:ascii="Times New Roman" w:hAnsi="Times New Roman" w:cs="Times New Roman"/>
                <w:b/>
                <w:bCs/>
                <w:sz w:val="24"/>
                <w:szCs w:val="24"/>
              </w:rPr>
            </w:pPr>
            <w:proofErr w:type="spellStart"/>
            <w:r w:rsidRPr="0059535C">
              <w:rPr>
                <w:rFonts w:ascii="Times New Roman" w:hAnsi="Times New Roman" w:cs="Times New Roman"/>
                <w:b/>
                <w:bCs/>
                <w:sz w:val="24"/>
                <w:szCs w:val="24"/>
              </w:rPr>
              <w:t>Arguments</w:t>
            </w:r>
            <w:proofErr w:type="spellEnd"/>
            <w:r w:rsidRPr="0059535C">
              <w:rPr>
                <w:rFonts w:ascii="Times New Roman" w:hAnsi="Times New Roman" w:cs="Times New Roman"/>
                <w:b/>
                <w:bCs/>
                <w:sz w:val="24"/>
                <w:szCs w:val="24"/>
              </w:rPr>
              <w:t xml:space="preserve"> pro </w:t>
            </w:r>
          </w:p>
        </w:tc>
        <w:tc>
          <w:tcPr>
            <w:tcW w:w="5174" w:type="dxa"/>
            <w:shd w:val="clear" w:color="auto" w:fill="auto"/>
          </w:tcPr>
          <w:p w14:paraId="09AC8C69" w14:textId="0AA0837A" w:rsidR="00C36B48" w:rsidRPr="0059535C" w:rsidRDefault="00465F96">
            <w:pPr>
              <w:rPr>
                <w:rFonts w:ascii="Times New Roman" w:hAnsi="Times New Roman" w:cs="Times New Roman"/>
                <w:b/>
                <w:bCs/>
                <w:sz w:val="24"/>
                <w:szCs w:val="24"/>
              </w:rPr>
            </w:pPr>
            <w:proofErr w:type="spellStart"/>
            <w:r w:rsidRPr="0059535C">
              <w:rPr>
                <w:rFonts w:ascii="Times New Roman" w:hAnsi="Times New Roman" w:cs="Times New Roman"/>
                <w:b/>
                <w:bCs/>
                <w:sz w:val="24"/>
                <w:szCs w:val="24"/>
              </w:rPr>
              <w:t>Arguments</w:t>
            </w:r>
            <w:proofErr w:type="spellEnd"/>
            <w:r w:rsidRPr="0059535C">
              <w:rPr>
                <w:rFonts w:ascii="Times New Roman" w:hAnsi="Times New Roman" w:cs="Times New Roman"/>
                <w:b/>
                <w:bCs/>
                <w:sz w:val="24"/>
                <w:szCs w:val="24"/>
              </w:rPr>
              <w:t xml:space="preserve"> contra</w:t>
            </w:r>
          </w:p>
        </w:tc>
      </w:tr>
      <w:tr w:rsidR="00C36B48" w:rsidRPr="0031579E" w14:paraId="681854BF" w14:textId="77777777" w:rsidTr="0059535C">
        <w:tc>
          <w:tcPr>
            <w:tcW w:w="426" w:type="dxa"/>
            <w:shd w:val="clear" w:color="auto" w:fill="auto"/>
          </w:tcPr>
          <w:p w14:paraId="02B11215" w14:textId="530BD282" w:rsidR="00C36B48" w:rsidRPr="0059535C" w:rsidRDefault="00C36B48">
            <w:pPr>
              <w:rPr>
                <w:rFonts w:ascii="Times New Roman" w:hAnsi="Times New Roman" w:cs="Times New Roman"/>
                <w:sz w:val="24"/>
                <w:szCs w:val="24"/>
              </w:rPr>
            </w:pPr>
            <w:r w:rsidRPr="0059535C">
              <w:rPr>
                <w:rFonts w:ascii="Times New Roman" w:hAnsi="Times New Roman" w:cs="Times New Roman"/>
                <w:sz w:val="24"/>
                <w:szCs w:val="24"/>
              </w:rPr>
              <w:t>1.</w:t>
            </w:r>
          </w:p>
        </w:tc>
        <w:tc>
          <w:tcPr>
            <w:tcW w:w="3685" w:type="dxa"/>
            <w:shd w:val="clear" w:color="auto" w:fill="auto"/>
          </w:tcPr>
          <w:p w14:paraId="15362DFB" w14:textId="4AE099EA" w:rsidR="00C36B48" w:rsidRPr="0059535C" w:rsidRDefault="008D0264">
            <w:pPr>
              <w:rPr>
                <w:rFonts w:ascii="Times New Roman" w:hAnsi="Times New Roman" w:cs="Times New Roman"/>
                <w:sz w:val="24"/>
                <w:szCs w:val="24"/>
                <w:lang w:val="en-US"/>
              </w:rPr>
            </w:pPr>
            <w:r w:rsidRPr="0059535C">
              <w:rPr>
                <w:rFonts w:ascii="Times New Roman" w:hAnsi="Times New Roman" w:cs="Times New Roman"/>
                <w:sz w:val="24"/>
                <w:szCs w:val="24"/>
                <w:lang w:val="en-US"/>
              </w:rPr>
              <w:t>As long as a treatment is placed in the CL, no one gains access</w:t>
            </w:r>
          </w:p>
        </w:tc>
        <w:tc>
          <w:tcPr>
            <w:tcW w:w="5174" w:type="dxa"/>
            <w:shd w:val="clear" w:color="auto" w:fill="auto"/>
          </w:tcPr>
          <w:p w14:paraId="456150FC" w14:textId="32F6C14C" w:rsidR="008D0264" w:rsidRPr="0059535C" w:rsidRDefault="008D0264" w:rsidP="00636B20">
            <w:pPr>
              <w:pStyle w:val="Lijstalinea"/>
              <w:numPr>
                <w:ilvl w:val="0"/>
                <w:numId w:val="1"/>
              </w:numPr>
              <w:rPr>
                <w:rFonts w:ascii="Times New Roman" w:hAnsi="Times New Roman" w:cs="Times New Roman"/>
                <w:sz w:val="24"/>
                <w:szCs w:val="24"/>
                <w:lang w:val="en-US"/>
              </w:rPr>
            </w:pPr>
            <w:bookmarkStart w:id="4" w:name="_Hlk125009639"/>
            <w:r w:rsidRPr="0059535C">
              <w:rPr>
                <w:rFonts w:ascii="Times New Roman" w:hAnsi="Times New Roman" w:cs="Times New Roman"/>
                <w:sz w:val="24"/>
                <w:szCs w:val="24"/>
                <w:lang w:val="en-US"/>
              </w:rPr>
              <w:t>Equal access when in equal need of receiving medical care</w:t>
            </w:r>
          </w:p>
          <w:p w14:paraId="5E97336C" w14:textId="7F81D863" w:rsidR="008D0264" w:rsidRPr="0059535C" w:rsidRDefault="008D0264" w:rsidP="00636B20">
            <w:pPr>
              <w:pStyle w:val="Lijstalinea"/>
              <w:numPr>
                <w:ilvl w:val="0"/>
                <w:numId w:val="1"/>
              </w:numPr>
              <w:rPr>
                <w:rFonts w:ascii="Times New Roman" w:hAnsi="Times New Roman" w:cs="Times New Roman"/>
                <w:sz w:val="24"/>
                <w:szCs w:val="24"/>
                <w:lang w:val="en-US"/>
              </w:rPr>
            </w:pPr>
            <w:r w:rsidRPr="0059535C">
              <w:rPr>
                <w:rFonts w:ascii="Times New Roman" w:hAnsi="Times New Roman" w:cs="Times New Roman"/>
                <w:sz w:val="24"/>
                <w:szCs w:val="24"/>
                <w:lang w:val="en-US"/>
              </w:rPr>
              <w:t>Prevents a visible societal divide</w:t>
            </w:r>
          </w:p>
          <w:p w14:paraId="5A8EB5CC" w14:textId="5ADDB6A8" w:rsidR="00C36B48" w:rsidRPr="0059535C" w:rsidRDefault="008D0264" w:rsidP="00966DCE">
            <w:pPr>
              <w:pStyle w:val="Lijstalinea"/>
              <w:numPr>
                <w:ilvl w:val="0"/>
                <w:numId w:val="1"/>
              </w:numPr>
              <w:rPr>
                <w:rFonts w:ascii="Times New Roman" w:hAnsi="Times New Roman" w:cs="Times New Roman"/>
                <w:sz w:val="24"/>
                <w:szCs w:val="24"/>
                <w:lang w:val="en-US"/>
              </w:rPr>
            </w:pPr>
            <w:r w:rsidRPr="0059535C">
              <w:rPr>
                <w:rFonts w:ascii="Times New Roman" w:hAnsi="Times New Roman" w:cs="Times New Roman"/>
                <w:sz w:val="24"/>
                <w:szCs w:val="24"/>
                <w:lang w:val="en-US"/>
              </w:rPr>
              <w:t>Is consistent with the Dutch egalitarian professional ethos in health care</w:t>
            </w:r>
            <w:bookmarkEnd w:id="4"/>
          </w:p>
        </w:tc>
        <w:tc>
          <w:tcPr>
            <w:tcW w:w="5174" w:type="dxa"/>
            <w:shd w:val="clear" w:color="auto" w:fill="auto"/>
          </w:tcPr>
          <w:p w14:paraId="1E1DC76E" w14:textId="1958B39B" w:rsidR="008D0264" w:rsidRPr="0059535C" w:rsidRDefault="008D0264" w:rsidP="00636B20">
            <w:pPr>
              <w:pStyle w:val="Lijstalinea"/>
              <w:numPr>
                <w:ilvl w:val="0"/>
                <w:numId w:val="1"/>
              </w:numPr>
              <w:rPr>
                <w:rFonts w:ascii="Times New Roman" w:hAnsi="Times New Roman" w:cs="Times New Roman"/>
                <w:sz w:val="24"/>
                <w:szCs w:val="24"/>
                <w:lang w:val="en-US"/>
              </w:rPr>
            </w:pPr>
            <w:r w:rsidRPr="0059535C">
              <w:rPr>
                <w:rFonts w:ascii="Times New Roman" w:hAnsi="Times New Roman" w:cs="Times New Roman"/>
                <w:sz w:val="24"/>
                <w:szCs w:val="24"/>
                <w:lang w:val="en-US"/>
              </w:rPr>
              <w:t>Limits the liberty to spend one’s own means</w:t>
            </w:r>
          </w:p>
          <w:p w14:paraId="2FE1351E" w14:textId="3F486A7B" w:rsidR="00C36B48" w:rsidRPr="0059535C" w:rsidRDefault="008D0264" w:rsidP="00966DCE">
            <w:pPr>
              <w:pStyle w:val="Lijstalinea"/>
              <w:numPr>
                <w:ilvl w:val="0"/>
                <w:numId w:val="1"/>
              </w:numPr>
              <w:rPr>
                <w:rFonts w:ascii="Times New Roman" w:hAnsi="Times New Roman" w:cs="Times New Roman"/>
                <w:sz w:val="24"/>
                <w:szCs w:val="24"/>
                <w:lang w:val="en-US"/>
              </w:rPr>
            </w:pPr>
            <w:r w:rsidRPr="0059535C">
              <w:rPr>
                <w:rFonts w:ascii="Times New Roman" w:hAnsi="Times New Roman" w:cs="Times New Roman"/>
                <w:sz w:val="24"/>
                <w:szCs w:val="24"/>
                <w:lang w:val="en-US"/>
              </w:rPr>
              <w:t>Loss of health (people miss out</w:t>
            </w:r>
            <w:r w:rsidR="00591406">
              <w:rPr>
                <w:rFonts w:ascii="Times New Roman" w:hAnsi="Times New Roman" w:cs="Times New Roman"/>
                <w:sz w:val="24"/>
                <w:szCs w:val="24"/>
                <w:lang w:val="en-US"/>
              </w:rPr>
              <w:t xml:space="preserve"> </w:t>
            </w:r>
            <w:r w:rsidRPr="0059535C">
              <w:rPr>
                <w:rFonts w:ascii="Times New Roman" w:hAnsi="Times New Roman" w:cs="Times New Roman"/>
                <w:sz w:val="24"/>
                <w:szCs w:val="24"/>
                <w:lang w:val="en-US"/>
              </w:rPr>
              <w:t>of treatments tha</w:t>
            </w:r>
            <w:r w:rsidR="0059535C">
              <w:rPr>
                <w:rFonts w:ascii="Times New Roman" w:hAnsi="Times New Roman" w:cs="Times New Roman"/>
                <w:sz w:val="24"/>
                <w:szCs w:val="24"/>
                <w:lang w:val="en-US"/>
              </w:rPr>
              <w:t>t</w:t>
            </w:r>
            <w:r w:rsidR="00591406">
              <w:rPr>
                <w:rFonts w:ascii="Times New Roman" w:hAnsi="Times New Roman" w:cs="Times New Roman"/>
                <w:sz w:val="24"/>
                <w:szCs w:val="24"/>
                <w:lang w:val="en-US"/>
              </w:rPr>
              <w:t xml:space="preserve"> potentially</w:t>
            </w:r>
            <w:r w:rsidR="0059535C">
              <w:rPr>
                <w:rFonts w:ascii="Times New Roman" w:hAnsi="Times New Roman" w:cs="Times New Roman"/>
                <w:sz w:val="24"/>
                <w:szCs w:val="24"/>
                <w:lang w:val="en-US"/>
              </w:rPr>
              <w:t xml:space="preserve"> improve their health, prolong</w:t>
            </w:r>
            <w:r w:rsidRPr="0059535C">
              <w:rPr>
                <w:rFonts w:ascii="Times New Roman" w:hAnsi="Times New Roman" w:cs="Times New Roman"/>
                <w:sz w:val="24"/>
                <w:szCs w:val="24"/>
                <w:lang w:val="en-US"/>
              </w:rPr>
              <w:t xml:space="preserve"> thei</w:t>
            </w:r>
            <w:r w:rsidR="0059535C">
              <w:rPr>
                <w:rFonts w:ascii="Times New Roman" w:hAnsi="Times New Roman" w:cs="Times New Roman"/>
                <w:sz w:val="24"/>
                <w:szCs w:val="24"/>
                <w:lang w:val="en-US"/>
              </w:rPr>
              <w:t>r lives, or sometimes even cure</w:t>
            </w:r>
            <w:r w:rsidRPr="0059535C">
              <w:rPr>
                <w:rFonts w:ascii="Times New Roman" w:hAnsi="Times New Roman" w:cs="Times New Roman"/>
                <w:sz w:val="24"/>
                <w:szCs w:val="24"/>
                <w:lang w:val="en-US"/>
              </w:rPr>
              <w:t xml:space="preserve"> them from their serious or life-threatening disease</w:t>
            </w:r>
            <w:r w:rsidR="00D03AB9" w:rsidRPr="0031579E">
              <w:rPr>
                <w:rFonts w:ascii="Times New Roman" w:hAnsi="Times New Roman" w:cs="Times New Roman"/>
                <w:sz w:val="24"/>
                <w:szCs w:val="24"/>
                <w:lang w:val="en-US"/>
              </w:rPr>
              <w:t>)</w:t>
            </w:r>
            <w:r w:rsidR="00847EFE" w:rsidRPr="0059535C">
              <w:rPr>
                <w:rFonts w:ascii="Times New Roman" w:hAnsi="Times New Roman" w:cs="Times New Roman"/>
                <w:sz w:val="24"/>
                <w:szCs w:val="24"/>
                <w:lang w:val="en-US"/>
              </w:rPr>
              <w:t xml:space="preserve"> </w:t>
            </w:r>
          </w:p>
        </w:tc>
      </w:tr>
      <w:tr w:rsidR="00C36B48" w:rsidRPr="0031579E" w14:paraId="4A26949D" w14:textId="77777777" w:rsidTr="0059535C">
        <w:tc>
          <w:tcPr>
            <w:tcW w:w="426" w:type="dxa"/>
            <w:shd w:val="clear" w:color="auto" w:fill="auto"/>
          </w:tcPr>
          <w:p w14:paraId="34D96072" w14:textId="452020CA" w:rsidR="00C36B48" w:rsidRPr="0059535C" w:rsidRDefault="00C36B48">
            <w:pPr>
              <w:rPr>
                <w:rFonts w:ascii="Times New Roman" w:hAnsi="Times New Roman" w:cs="Times New Roman"/>
                <w:sz w:val="24"/>
                <w:szCs w:val="24"/>
              </w:rPr>
            </w:pPr>
            <w:r w:rsidRPr="0059535C">
              <w:rPr>
                <w:rFonts w:ascii="Times New Roman" w:hAnsi="Times New Roman" w:cs="Times New Roman"/>
                <w:sz w:val="24"/>
                <w:szCs w:val="24"/>
              </w:rPr>
              <w:t>2</w:t>
            </w:r>
          </w:p>
        </w:tc>
        <w:tc>
          <w:tcPr>
            <w:tcW w:w="3685" w:type="dxa"/>
            <w:shd w:val="clear" w:color="auto" w:fill="auto"/>
          </w:tcPr>
          <w:p w14:paraId="1255CC7C" w14:textId="387D37B5" w:rsidR="00C36B48" w:rsidRPr="0059535C" w:rsidRDefault="008D0264">
            <w:pPr>
              <w:rPr>
                <w:rFonts w:ascii="Times New Roman" w:hAnsi="Times New Roman" w:cs="Times New Roman"/>
                <w:sz w:val="24"/>
                <w:szCs w:val="24"/>
                <w:lang w:val="en-US"/>
              </w:rPr>
            </w:pPr>
            <w:r w:rsidRPr="0059535C">
              <w:rPr>
                <w:rFonts w:ascii="Times New Roman" w:hAnsi="Times New Roman" w:cs="Times New Roman"/>
                <w:sz w:val="24"/>
                <w:szCs w:val="24"/>
                <w:lang w:val="en-US"/>
              </w:rPr>
              <w:t>A third party is allowed to pay</w:t>
            </w:r>
          </w:p>
        </w:tc>
        <w:tc>
          <w:tcPr>
            <w:tcW w:w="5174" w:type="dxa"/>
            <w:shd w:val="clear" w:color="auto" w:fill="auto"/>
          </w:tcPr>
          <w:p w14:paraId="00926713" w14:textId="02F156AB" w:rsidR="00C36B48" w:rsidRPr="0059535C" w:rsidRDefault="008D0264" w:rsidP="00591406">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Treatments </w:t>
            </w:r>
            <w:r w:rsidR="00591406">
              <w:rPr>
                <w:rFonts w:ascii="Times New Roman" w:hAnsi="Times New Roman" w:cs="Times New Roman"/>
                <w:sz w:val="24"/>
                <w:szCs w:val="24"/>
                <w:lang w:val="en-US"/>
              </w:rPr>
              <w:t>can be</w:t>
            </w:r>
            <w:r w:rsidRPr="0059535C">
              <w:rPr>
                <w:rFonts w:ascii="Times New Roman" w:hAnsi="Times New Roman" w:cs="Times New Roman"/>
                <w:sz w:val="24"/>
                <w:szCs w:val="24"/>
                <w:lang w:val="en-US"/>
              </w:rPr>
              <w:t xml:space="preserve"> life-prolonging or sometimes even curative (this applies to 2a-c)</w:t>
            </w:r>
          </w:p>
        </w:tc>
        <w:tc>
          <w:tcPr>
            <w:tcW w:w="5174" w:type="dxa"/>
            <w:shd w:val="clear" w:color="auto" w:fill="auto"/>
          </w:tcPr>
          <w:p w14:paraId="0C00147F" w14:textId="28EC9C69" w:rsidR="008D0264" w:rsidRPr="0059535C" w:rsidRDefault="008D0264" w:rsidP="004A6108">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Leads nearly always to unequal access when in equal need of receiving medical care, also due to differences in assertiveness, knowledge, and relations (applies to 2a-c)</w:t>
            </w:r>
          </w:p>
          <w:p w14:paraId="0B88F5F5" w14:textId="341F15D9" w:rsidR="00C36B48" w:rsidRPr="0059535C" w:rsidRDefault="00CD3C7D" w:rsidP="00966DCE">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May lead to displacement or delay of necessary care to other patients, due to </w:t>
            </w:r>
            <w:r w:rsidR="0065015A" w:rsidRPr="0059535C">
              <w:rPr>
                <w:rFonts w:ascii="Times New Roman" w:hAnsi="Times New Roman" w:cs="Times New Roman"/>
                <w:sz w:val="24"/>
                <w:szCs w:val="24"/>
                <w:lang w:val="en-US"/>
              </w:rPr>
              <w:t>the deployment of personnel and resources (applies to 2a-c)</w:t>
            </w:r>
          </w:p>
        </w:tc>
      </w:tr>
      <w:tr w:rsidR="00C36B48" w:rsidRPr="0031579E" w14:paraId="2BB640C6" w14:textId="77777777" w:rsidTr="0059535C">
        <w:tc>
          <w:tcPr>
            <w:tcW w:w="426" w:type="dxa"/>
            <w:shd w:val="clear" w:color="auto" w:fill="auto"/>
          </w:tcPr>
          <w:p w14:paraId="101A6BD2" w14:textId="406EC5A5" w:rsidR="00C36B48" w:rsidRPr="0059535C" w:rsidRDefault="00C36B48">
            <w:pPr>
              <w:rPr>
                <w:rFonts w:ascii="Times New Roman" w:hAnsi="Times New Roman" w:cs="Times New Roman"/>
                <w:sz w:val="20"/>
                <w:szCs w:val="20"/>
                <w:lang w:val="en-US"/>
              </w:rPr>
            </w:pPr>
          </w:p>
        </w:tc>
        <w:tc>
          <w:tcPr>
            <w:tcW w:w="3685" w:type="dxa"/>
            <w:shd w:val="clear" w:color="auto" w:fill="auto"/>
          </w:tcPr>
          <w:p w14:paraId="08781A9A" w14:textId="41784FE8" w:rsidR="00C36B48" w:rsidRPr="0059535C" w:rsidRDefault="00C36B48">
            <w:p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2a. </w:t>
            </w:r>
            <w:r w:rsidR="0065015A" w:rsidRPr="0059535C">
              <w:rPr>
                <w:rFonts w:ascii="Times New Roman" w:hAnsi="Times New Roman" w:cs="Times New Roman"/>
                <w:sz w:val="24"/>
                <w:szCs w:val="24"/>
                <w:lang w:val="en-US"/>
              </w:rPr>
              <w:t>Insurer is allowed to pay</w:t>
            </w:r>
          </w:p>
        </w:tc>
        <w:tc>
          <w:tcPr>
            <w:tcW w:w="5174" w:type="dxa"/>
            <w:shd w:val="clear" w:color="auto" w:fill="auto"/>
          </w:tcPr>
          <w:p w14:paraId="02A1390D" w14:textId="1812F5FC" w:rsidR="00C36B48" w:rsidRPr="0059535C" w:rsidRDefault="00591406" w:rsidP="00591406">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Insurer</w:t>
            </w:r>
            <w:r>
              <w:rPr>
                <w:rFonts w:ascii="Times New Roman" w:hAnsi="Times New Roman" w:cs="Times New Roman"/>
                <w:sz w:val="24"/>
                <w:szCs w:val="24"/>
                <w:lang w:val="en-US"/>
              </w:rPr>
              <w:t xml:space="preserve">s are commercial parties </w:t>
            </w:r>
            <w:r w:rsidR="0065015A" w:rsidRPr="0059535C">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are </w:t>
            </w:r>
            <w:r w:rsidR="0065015A" w:rsidRPr="0059535C">
              <w:rPr>
                <w:rFonts w:ascii="Times New Roman" w:hAnsi="Times New Roman" w:cs="Times New Roman"/>
                <w:sz w:val="24"/>
                <w:szCs w:val="24"/>
                <w:lang w:val="en-US"/>
              </w:rPr>
              <w:t xml:space="preserve">free to choose to fund </w:t>
            </w:r>
            <w:r w:rsidR="00C1080E" w:rsidRPr="0059535C">
              <w:rPr>
                <w:rFonts w:ascii="Times New Roman" w:hAnsi="Times New Roman" w:cs="Times New Roman"/>
                <w:sz w:val="24"/>
                <w:szCs w:val="24"/>
                <w:lang w:val="en-US"/>
              </w:rPr>
              <w:t xml:space="preserve">individual </w:t>
            </w:r>
            <w:r w:rsidR="0065015A" w:rsidRPr="0059535C">
              <w:rPr>
                <w:rFonts w:ascii="Times New Roman" w:hAnsi="Times New Roman" w:cs="Times New Roman"/>
                <w:sz w:val="24"/>
                <w:szCs w:val="24"/>
                <w:lang w:val="en-US"/>
              </w:rPr>
              <w:t>treatment requests</w:t>
            </w:r>
            <w:r w:rsidR="0065015A" w:rsidRPr="0059535C">
              <w:rPr>
                <w:rStyle w:val="Eindnootmarkering"/>
                <w:rFonts w:ascii="Times New Roman" w:hAnsi="Times New Roman" w:cs="Times New Roman"/>
                <w:sz w:val="24"/>
                <w:szCs w:val="24"/>
              </w:rPr>
              <w:endnoteReference w:id="1"/>
            </w:r>
          </w:p>
        </w:tc>
        <w:tc>
          <w:tcPr>
            <w:tcW w:w="5174" w:type="dxa"/>
            <w:shd w:val="clear" w:color="auto" w:fill="auto"/>
          </w:tcPr>
          <w:p w14:paraId="7E16568D" w14:textId="0F6F9B9D" w:rsidR="00C36B48" w:rsidRPr="0059535C" w:rsidRDefault="0065015A" w:rsidP="0033142D">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Insurers fulfill a public role</w:t>
            </w:r>
            <w:r w:rsidR="00966DCE" w:rsidRPr="0059535C">
              <w:rPr>
                <w:rStyle w:val="Eindnootmarkering"/>
                <w:rFonts w:ascii="Times New Roman" w:hAnsi="Times New Roman" w:cs="Times New Roman"/>
                <w:sz w:val="24"/>
                <w:szCs w:val="24"/>
              </w:rPr>
              <w:endnoteReference w:id="2"/>
            </w:r>
            <w:r w:rsidR="00966DCE" w:rsidRPr="0059535C">
              <w:rPr>
                <w:rFonts w:ascii="Times New Roman" w:hAnsi="Times New Roman" w:cs="Times New Roman"/>
                <w:sz w:val="24"/>
                <w:szCs w:val="24"/>
                <w:lang w:val="en-US"/>
              </w:rPr>
              <w:t xml:space="preserve"> </w:t>
            </w:r>
            <w:r w:rsidRPr="0059535C">
              <w:rPr>
                <w:rFonts w:ascii="Times New Roman" w:hAnsi="Times New Roman" w:cs="Times New Roman"/>
                <w:sz w:val="24"/>
                <w:szCs w:val="24"/>
                <w:lang w:val="en-US"/>
              </w:rPr>
              <w:t xml:space="preserve"> and </w:t>
            </w:r>
            <w:r w:rsidR="002541B9" w:rsidRPr="0059535C">
              <w:rPr>
                <w:rFonts w:ascii="Times New Roman" w:hAnsi="Times New Roman" w:cs="Times New Roman"/>
                <w:sz w:val="24"/>
                <w:szCs w:val="24"/>
                <w:lang w:val="en-US"/>
              </w:rPr>
              <w:t xml:space="preserve">which care is insured should be the same for everyone </w:t>
            </w:r>
          </w:p>
        </w:tc>
      </w:tr>
      <w:tr w:rsidR="00C36B48" w:rsidRPr="0031579E" w14:paraId="49A7038A" w14:textId="77777777" w:rsidTr="0059535C">
        <w:tc>
          <w:tcPr>
            <w:tcW w:w="426" w:type="dxa"/>
            <w:shd w:val="clear" w:color="auto" w:fill="auto"/>
          </w:tcPr>
          <w:p w14:paraId="0593B904" w14:textId="77777777" w:rsidR="00C36B48" w:rsidRPr="0059535C" w:rsidRDefault="00C36B48">
            <w:pPr>
              <w:rPr>
                <w:rFonts w:ascii="Times New Roman" w:hAnsi="Times New Roman" w:cs="Times New Roman"/>
                <w:sz w:val="20"/>
                <w:szCs w:val="20"/>
                <w:lang w:val="en-US"/>
              </w:rPr>
            </w:pPr>
          </w:p>
        </w:tc>
        <w:tc>
          <w:tcPr>
            <w:tcW w:w="3685" w:type="dxa"/>
            <w:shd w:val="clear" w:color="auto" w:fill="auto"/>
          </w:tcPr>
          <w:p w14:paraId="09DFC732" w14:textId="47B18C48" w:rsidR="00C36B48" w:rsidRPr="0059535C" w:rsidRDefault="00C36B48">
            <w:p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2b. </w:t>
            </w:r>
            <w:r w:rsidR="002541B9" w:rsidRPr="0059535C">
              <w:rPr>
                <w:rFonts w:ascii="Times New Roman" w:hAnsi="Times New Roman" w:cs="Times New Roman"/>
                <w:sz w:val="24"/>
                <w:szCs w:val="24"/>
                <w:lang w:val="en-US"/>
              </w:rPr>
              <w:t xml:space="preserve">Pharmaceutical company is allowed to pay </w:t>
            </w:r>
          </w:p>
        </w:tc>
        <w:tc>
          <w:tcPr>
            <w:tcW w:w="5174" w:type="dxa"/>
            <w:shd w:val="clear" w:color="auto" w:fill="auto"/>
          </w:tcPr>
          <w:p w14:paraId="1C88EA02" w14:textId="33A5C1DC" w:rsidR="00C36B48" w:rsidRPr="0059535C" w:rsidRDefault="00591406" w:rsidP="002C2EC8">
            <w:pPr>
              <w:pStyle w:val="Lijstalinea"/>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Pharmaceutical companies</w:t>
            </w:r>
            <w:r w:rsidR="002541B9" w:rsidRPr="0059535C">
              <w:rPr>
                <w:rFonts w:ascii="Times New Roman" w:hAnsi="Times New Roman" w:cs="Times New Roman"/>
                <w:sz w:val="24"/>
                <w:szCs w:val="24"/>
                <w:lang w:val="en-US"/>
              </w:rPr>
              <w:t xml:space="preserve"> </w:t>
            </w:r>
            <w:r>
              <w:rPr>
                <w:rFonts w:ascii="Times New Roman" w:hAnsi="Times New Roman" w:cs="Times New Roman"/>
                <w:sz w:val="24"/>
                <w:szCs w:val="24"/>
                <w:lang w:val="en-US"/>
              </w:rPr>
              <w:t>are commercial parties that are</w:t>
            </w:r>
            <w:r w:rsidR="00C1080E" w:rsidRPr="0059535C">
              <w:rPr>
                <w:rFonts w:ascii="Times New Roman" w:hAnsi="Times New Roman" w:cs="Times New Roman"/>
                <w:sz w:val="24"/>
                <w:szCs w:val="24"/>
                <w:lang w:val="en-US"/>
              </w:rPr>
              <w:t xml:space="preserve"> free to fund individual treatment requests </w:t>
            </w:r>
          </w:p>
          <w:p w14:paraId="68E985C7" w14:textId="015F937B" w:rsidR="00EC092C" w:rsidRPr="0059535C" w:rsidRDefault="00C1080E" w:rsidP="002C2EC8">
            <w:pPr>
              <w:pStyle w:val="Lijstalinea"/>
              <w:numPr>
                <w:ilvl w:val="0"/>
                <w:numId w:val="3"/>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Generate real-world data and gain clinical experience with the treatment </w:t>
            </w:r>
          </w:p>
        </w:tc>
        <w:tc>
          <w:tcPr>
            <w:tcW w:w="5174" w:type="dxa"/>
            <w:shd w:val="clear" w:color="auto" w:fill="auto"/>
          </w:tcPr>
          <w:p w14:paraId="61BE2178" w14:textId="2ED7FA08" w:rsidR="00C36B48" w:rsidRPr="0059535C" w:rsidRDefault="00C1080E" w:rsidP="009C2688">
            <w:pPr>
              <w:pStyle w:val="Lijstalinea"/>
              <w:numPr>
                <w:ilvl w:val="0"/>
                <w:numId w:val="3"/>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Companies can employ an early access program for </w:t>
            </w:r>
            <w:r w:rsidR="009F57ED" w:rsidRPr="0031579E">
              <w:rPr>
                <w:rFonts w:ascii="Times New Roman" w:hAnsi="Times New Roman" w:cs="Times New Roman"/>
                <w:sz w:val="24"/>
                <w:szCs w:val="24"/>
                <w:lang w:val="en-US"/>
              </w:rPr>
              <w:t>creating</w:t>
            </w:r>
            <w:r w:rsidR="009F57ED">
              <w:rPr>
                <w:rFonts w:ascii="Times New Roman" w:hAnsi="Times New Roman" w:cs="Times New Roman"/>
                <w:sz w:val="24"/>
                <w:szCs w:val="24"/>
                <w:lang w:val="en-US"/>
              </w:rPr>
              <w:t xml:space="preserve"> </w:t>
            </w:r>
            <w:r w:rsidRPr="0059535C">
              <w:rPr>
                <w:rFonts w:ascii="Times New Roman" w:hAnsi="Times New Roman" w:cs="Times New Roman"/>
                <w:sz w:val="24"/>
                <w:szCs w:val="24"/>
                <w:lang w:val="en-US"/>
              </w:rPr>
              <w:t>political pressure to ensure inclusion in the basic benefits package</w:t>
            </w:r>
          </w:p>
        </w:tc>
      </w:tr>
      <w:tr w:rsidR="00C36B48" w:rsidRPr="0031579E" w14:paraId="7627672C" w14:textId="77777777" w:rsidTr="0059535C">
        <w:tc>
          <w:tcPr>
            <w:tcW w:w="426" w:type="dxa"/>
            <w:shd w:val="clear" w:color="auto" w:fill="auto"/>
          </w:tcPr>
          <w:p w14:paraId="1BA056B1" w14:textId="77777777" w:rsidR="00C36B48" w:rsidRPr="0059535C" w:rsidRDefault="00C36B48">
            <w:pPr>
              <w:rPr>
                <w:rFonts w:ascii="Times New Roman" w:hAnsi="Times New Roman" w:cs="Times New Roman"/>
                <w:sz w:val="20"/>
                <w:szCs w:val="20"/>
                <w:lang w:val="en-US"/>
              </w:rPr>
            </w:pPr>
          </w:p>
        </w:tc>
        <w:tc>
          <w:tcPr>
            <w:tcW w:w="3685" w:type="dxa"/>
            <w:shd w:val="clear" w:color="auto" w:fill="auto"/>
          </w:tcPr>
          <w:p w14:paraId="712A876F" w14:textId="503DEF08" w:rsidR="00C36B48" w:rsidRPr="0059535C" w:rsidRDefault="00C36B48">
            <w:p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2c. </w:t>
            </w:r>
            <w:r w:rsidR="00160F5C" w:rsidRPr="0059535C">
              <w:rPr>
                <w:rFonts w:ascii="Times New Roman" w:hAnsi="Times New Roman" w:cs="Times New Roman"/>
                <w:sz w:val="24"/>
                <w:szCs w:val="24"/>
                <w:lang w:val="en-US"/>
              </w:rPr>
              <w:t xml:space="preserve">Funding from the hospital budget </w:t>
            </w:r>
          </w:p>
        </w:tc>
        <w:tc>
          <w:tcPr>
            <w:tcW w:w="5174" w:type="dxa"/>
            <w:shd w:val="clear" w:color="auto" w:fill="auto"/>
          </w:tcPr>
          <w:p w14:paraId="2899EEFB" w14:textId="01221FE3" w:rsidR="00C36B48" w:rsidRPr="0059535C" w:rsidRDefault="00160F5C" w:rsidP="007515BF">
            <w:pPr>
              <w:pStyle w:val="Lijstalinea"/>
              <w:numPr>
                <w:ilvl w:val="0"/>
                <w:numId w:val="6"/>
              </w:numPr>
              <w:rPr>
                <w:rFonts w:ascii="Times New Roman" w:hAnsi="Times New Roman" w:cs="Times New Roman"/>
                <w:sz w:val="24"/>
                <w:szCs w:val="24"/>
                <w:lang w:val="en-US"/>
              </w:rPr>
            </w:pPr>
            <w:r w:rsidRPr="0059535C">
              <w:rPr>
                <w:rFonts w:ascii="Times New Roman" w:hAnsi="Times New Roman" w:cs="Times New Roman"/>
                <w:sz w:val="24"/>
                <w:szCs w:val="24"/>
                <w:lang w:val="en-US"/>
              </w:rPr>
              <w:t>Possibility for customization in cases where</w:t>
            </w:r>
            <w:r w:rsidR="0059535C">
              <w:rPr>
                <w:rFonts w:ascii="Times New Roman" w:hAnsi="Times New Roman" w:cs="Times New Roman"/>
                <w:sz w:val="24"/>
                <w:szCs w:val="24"/>
                <w:lang w:val="en-US"/>
              </w:rPr>
              <w:t xml:space="preserve"> effective treatment is not rei</w:t>
            </w:r>
            <w:r w:rsidRPr="0059535C">
              <w:rPr>
                <w:rFonts w:ascii="Times New Roman" w:hAnsi="Times New Roman" w:cs="Times New Roman"/>
                <w:sz w:val="24"/>
                <w:szCs w:val="24"/>
                <w:lang w:val="en-US"/>
              </w:rPr>
              <w:t xml:space="preserve">mbursed </w:t>
            </w:r>
          </w:p>
          <w:p w14:paraId="079AA3F1" w14:textId="57ADF0ED" w:rsidR="00C36B48" w:rsidRPr="0059535C" w:rsidRDefault="00160F5C" w:rsidP="007515BF">
            <w:pPr>
              <w:pStyle w:val="Lijstalinea"/>
              <w:numPr>
                <w:ilvl w:val="0"/>
                <w:numId w:val="6"/>
              </w:numPr>
              <w:rPr>
                <w:rFonts w:ascii="Times New Roman" w:hAnsi="Times New Roman" w:cs="Times New Roman"/>
                <w:sz w:val="24"/>
                <w:szCs w:val="24"/>
                <w:lang w:val="en-US"/>
              </w:rPr>
            </w:pPr>
            <w:r w:rsidRPr="0059535C">
              <w:rPr>
                <w:rFonts w:ascii="Times New Roman" w:hAnsi="Times New Roman" w:cs="Times New Roman"/>
                <w:sz w:val="24"/>
                <w:szCs w:val="24"/>
                <w:lang w:val="en-US"/>
              </w:rPr>
              <w:lastRenderedPageBreak/>
              <w:t xml:space="preserve">Some hospitals have </w:t>
            </w:r>
            <w:r w:rsidR="00591406" w:rsidRPr="0059535C">
              <w:rPr>
                <w:rFonts w:ascii="Times New Roman" w:hAnsi="Times New Roman" w:cs="Times New Roman"/>
                <w:sz w:val="24"/>
                <w:szCs w:val="24"/>
                <w:lang w:val="en-US"/>
              </w:rPr>
              <w:t>sufficient</w:t>
            </w:r>
            <w:r w:rsidRPr="0059535C">
              <w:rPr>
                <w:rFonts w:ascii="Times New Roman" w:hAnsi="Times New Roman" w:cs="Times New Roman"/>
                <w:sz w:val="24"/>
                <w:szCs w:val="24"/>
                <w:lang w:val="en-US"/>
              </w:rPr>
              <w:t xml:space="preserve"> means, such that there is no displacement of other care </w:t>
            </w:r>
          </w:p>
        </w:tc>
        <w:tc>
          <w:tcPr>
            <w:tcW w:w="5174" w:type="dxa"/>
            <w:shd w:val="clear" w:color="auto" w:fill="auto"/>
          </w:tcPr>
          <w:p w14:paraId="6C561E6E" w14:textId="2B23935C" w:rsidR="00C36B48" w:rsidRPr="0059535C" w:rsidRDefault="00160F5C" w:rsidP="009C2688">
            <w:pPr>
              <w:pStyle w:val="Lijstalinea"/>
              <w:numPr>
                <w:ilvl w:val="0"/>
                <w:numId w:val="3"/>
              </w:numPr>
              <w:rPr>
                <w:rFonts w:ascii="Times New Roman" w:hAnsi="Times New Roman" w:cs="Times New Roman"/>
                <w:sz w:val="24"/>
                <w:szCs w:val="24"/>
                <w:lang w:val="en-US"/>
              </w:rPr>
            </w:pPr>
            <w:r w:rsidRPr="0059535C">
              <w:rPr>
                <w:rFonts w:ascii="Times New Roman" w:hAnsi="Times New Roman" w:cs="Times New Roman"/>
                <w:sz w:val="24"/>
                <w:szCs w:val="24"/>
                <w:lang w:val="en-US"/>
              </w:rPr>
              <w:lastRenderedPageBreak/>
              <w:t xml:space="preserve">Unequal access to publicly funded care, to which citizens have equal entitlements, </w:t>
            </w:r>
            <w:r w:rsidRPr="0059535C">
              <w:rPr>
                <w:rFonts w:ascii="Times New Roman" w:hAnsi="Times New Roman" w:cs="Times New Roman"/>
                <w:sz w:val="24"/>
                <w:szCs w:val="24"/>
                <w:lang w:val="en-US"/>
              </w:rPr>
              <w:lastRenderedPageBreak/>
              <w:t>because some hospitals use their own budget, whereas others do not</w:t>
            </w:r>
          </w:p>
          <w:p w14:paraId="528FF658" w14:textId="6F562F91" w:rsidR="00C36B48" w:rsidRPr="0059535C" w:rsidRDefault="00C36B48" w:rsidP="00341671">
            <w:pPr>
              <w:pStyle w:val="Lijstalinea"/>
              <w:rPr>
                <w:rFonts w:ascii="Times New Roman" w:hAnsi="Times New Roman" w:cs="Times New Roman"/>
                <w:sz w:val="24"/>
                <w:szCs w:val="24"/>
                <w:lang w:val="en-US"/>
              </w:rPr>
            </w:pPr>
          </w:p>
        </w:tc>
      </w:tr>
      <w:tr w:rsidR="00C36B48" w:rsidRPr="0031579E" w14:paraId="37560AE7" w14:textId="77777777" w:rsidTr="0059535C">
        <w:tc>
          <w:tcPr>
            <w:tcW w:w="426" w:type="dxa"/>
            <w:shd w:val="clear" w:color="auto" w:fill="auto"/>
          </w:tcPr>
          <w:p w14:paraId="5D0439FB" w14:textId="6E5D1AE3" w:rsidR="00C36B48" w:rsidRPr="0059535C" w:rsidRDefault="00C36B48">
            <w:pPr>
              <w:rPr>
                <w:rFonts w:ascii="Times New Roman" w:hAnsi="Times New Roman" w:cs="Times New Roman"/>
                <w:sz w:val="24"/>
                <w:szCs w:val="24"/>
              </w:rPr>
            </w:pPr>
            <w:r w:rsidRPr="0059535C">
              <w:rPr>
                <w:rFonts w:ascii="Times New Roman" w:hAnsi="Times New Roman" w:cs="Times New Roman"/>
                <w:sz w:val="24"/>
                <w:szCs w:val="24"/>
              </w:rPr>
              <w:lastRenderedPageBreak/>
              <w:t>3.</w:t>
            </w:r>
          </w:p>
        </w:tc>
        <w:tc>
          <w:tcPr>
            <w:tcW w:w="3685" w:type="dxa"/>
            <w:shd w:val="clear" w:color="auto" w:fill="auto"/>
          </w:tcPr>
          <w:p w14:paraId="273FAF9C" w14:textId="0ED8F669" w:rsidR="00C36B48" w:rsidRPr="0059535C" w:rsidRDefault="00160F5C">
            <w:p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Patients are allowed to pay out-of-pocket </w:t>
            </w:r>
          </w:p>
        </w:tc>
        <w:tc>
          <w:tcPr>
            <w:tcW w:w="5174" w:type="dxa"/>
            <w:shd w:val="clear" w:color="auto" w:fill="auto"/>
          </w:tcPr>
          <w:p w14:paraId="27D34F02" w14:textId="193DBC9D" w:rsidR="00C36B48" w:rsidRPr="0059535C" w:rsidRDefault="00160F5C" w:rsidP="009C2688">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Treatments </w:t>
            </w:r>
            <w:r w:rsidR="00591406">
              <w:rPr>
                <w:rFonts w:ascii="Times New Roman" w:hAnsi="Times New Roman" w:cs="Times New Roman"/>
                <w:sz w:val="24"/>
                <w:szCs w:val="24"/>
                <w:lang w:val="en-US"/>
              </w:rPr>
              <w:t>can be</w:t>
            </w:r>
            <w:r w:rsidRPr="0059535C">
              <w:rPr>
                <w:rFonts w:ascii="Times New Roman" w:hAnsi="Times New Roman" w:cs="Times New Roman"/>
                <w:sz w:val="24"/>
                <w:szCs w:val="24"/>
                <w:lang w:val="en-US"/>
              </w:rPr>
              <w:t xml:space="preserve"> life-prolonging or sometimes even curative</w:t>
            </w:r>
          </w:p>
          <w:p w14:paraId="3E54718C" w14:textId="5FA8C12D" w:rsidR="005352A8" w:rsidRPr="0059535C" w:rsidRDefault="00160F5C" w:rsidP="005352A8">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It is better to give some patients a chance for health benefits than to give that chance to none </w:t>
            </w:r>
          </w:p>
          <w:p w14:paraId="4E8793BC" w14:textId="0612DE66" w:rsidR="005352A8" w:rsidRPr="0059535C" w:rsidRDefault="00160F5C" w:rsidP="005352A8">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Liberty to</w:t>
            </w:r>
            <w:r w:rsidR="00966DCE" w:rsidRPr="0059535C">
              <w:rPr>
                <w:rFonts w:ascii="Times New Roman" w:hAnsi="Times New Roman" w:cs="Times New Roman"/>
                <w:sz w:val="24"/>
                <w:szCs w:val="24"/>
                <w:lang w:val="en-US"/>
              </w:rPr>
              <w:t xml:space="preserve"> </w:t>
            </w:r>
            <w:r w:rsidRPr="0059535C">
              <w:rPr>
                <w:rFonts w:ascii="Times New Roman" w:hAnsi="Times New Roman" w:cs="Times New Roman"/>
                <w:sz w:val="24"/>
                <w:szCs w:val="24"/>
                <w:lang w:val="en-US"/>
              </w:rPr>
              <w:t xml:space="preserve">spent one’s own means </w:t>
            </w:r>
          </w:p>
          <w:p w14:paraId="04A8C226" w14:textId="1CD5B043" w:rsidR="00F637A2" w:rsidRPr="0059535C" w:rsidRDefault="00F60734" w:rsidP="009C2688">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Physicians and </w:t>
            </w:r>
            <w:r w:rsidR="00591406" w:rsidRPr="0059535C">
              <w:rPr>
                <w:rFonts w:ascii="Times New Roman" w:hAnsi="Times New Roman" w:cs="Times New Roman"/>
                <w:sz w:val="24"/>
                <w:szCs w:val="24"/>
                <w:lang w:val="en-US"/>
              </w:rPr>
              <w:t>other</w:t>
            </w:r>
            <w:r w:rsidRPr="0059535C">
              <w:rPr>
                <w:rFonts w:ascii="Times New Roman" w:hAnsi="Times New Roman" w:cs="Times New Roman"/>
                <w:sz w:val="24"/>
                <w:szCs w:val="24"/>
                <w:lang w:val="en-US"/>
              </w:rPr>
              <w:t xml:space="preserve"> healthcare </w:t>
            </w:r>
            <w:r w:rsidR="00591406">
              <w:rPr>
                <w:rFonts w:ascii="Times New Roman" w:hAnsi="Times New Roman" w:cs="Times New Roman"/>
                <w:sz w:val="24"/>
                <w:szCs w:val="24"/>
                <w:lang w:val="en-US"/>
              </w:rPr>
              <w:t>professionals</w:t>
            </w:r>
            <w:r w:rsidRPr="0059535C">
              <w:rPr>
                <w:rFonts w:ascii="Times New Roman" w:hAnsi="Times New Roman" w:cs="Times New Roman"/>
                <w:sz w:val="24"/>
                <w:szCs w:val="24"/>
                <w:lang w:val="en-US"/>
              </w:rPr>
              <w:t xml:space="preserve"> can help their patients, which</w:t>
            </w:r>
            <w:r w:rsidR="00591406">
              <w:rPr>
                <w:rFonts w:ascii="Times New Roman" w:hAnsi="Times New Roman" w:cs="Times New Roman"/>
                <w:sz w:val="24"/>
                <w:szCs w:val="24"/>
                <w:lang w:val="en-US"/>
              </w:rPr>
              <w:t xml:space="preserve"> prevents the</w:t>
            </w:r>
            <w:r w:rsidRPr="0059535C">
              <w:rPr>
                <w:rFonts w:ascii="Times New Roman" w:hAnsi="Times New Roman" w:cs="Times New Roman"/>
                <w:sz w:val="24"/>
                <w:szCs w:val="24"/>
                <w:lang w:val="en-US"/>
              </w:rPr>
              <w:t xml:space="preserve"> moral distress resulting from being disallowed to administer effective treatments</w:t>
            </w:r>
          </w:p>
          <w:p w14:paraId="5140AB6B" w14:textId="6D69888F" w:rsidR="005352A8" w:rsidRPr="0059535C" w:rsidRDefault="005352A8" w:rsidP="004D7F89">
            <w:pPr>
              <w:rPr>
                <w:rFonts w:ascii="Times New Roman" w:hAnsi="Times New Roman" w:cs="Times New Roman"/>
                <w:sz w:val="24"/>
                <w:szCs w:val="24"/>
                <w:lang w:val="en-US"/>
              </w:rPr>
            </w:pPr>
          </w:p>
        </w:tc>
        <w:tc>
          <w:tcPr>
            <w:tcW w:w="5174" w:type="dxa"/>
            <w:shd w:val="clear" w:color="auto" w:fill="auto"/>
          </w:tcPr>
          <w:p w14:paraId="68C23C28" w14:textId="6C19F61E" w:rsidR="00C36B48" w:rsidRPr="0059535C" w:rsidRDefault="00F60734" w:rsidP="008C17DF">
            <w:pPr>
              <w:pStyle w:val="Lijstalinea"/>
              <w:numPr>
                <w:ilvl w:val="0"/>
                <w:numId w:val="2"/>
              </w:numPr>
              <w:spacing w:after="160" w:line="259" w:lineRule="auto"/>
              <w:rPr>
                <w:rFonts w:ascii="Times New Roman" w:hAnsi="Times New Roman" w:cs="Times New Roman"/>
                <w:sz w:val="24"/>
                <w:szCs w:val="24"/>
                <w:lang w:val="en-US"/>
              </w:rPr>
            </w:pPr>
            <w:r w:rsidRPr="0059535C">
              <w:rPr>
                <w:rFonts w:ascii="Times New Roman" w:hAnsi="Times New Roman" w:cs="Times New Roman"/>
                <w:sz w:val="24"/>
                <w:szCs w:val="24"/>
                <w:lang w:val="en-US"/>
              </w:rPr>
              <w:t>Unequal access when in equal need of receiving medical care</w:t>
            </w:r>
          </w:p>
          <w:p w14:paraId="571C5A98" w14:textId="374F65CA" w:rsidR="00C36B48" w:rsidRPr="0059535C" w:rsidRDefault="00F60734" w:rsidP="009C2688">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Undermines the strong egalitarian professional ethos in health care and </w:t>
            </w:r>
            <w:r w:rsidR="00591406">
              <w:rPr>
                <w:rFonts w:ascii="Times New Roman" w:hAnsi="Times New Roman" w:cs="Times New Roman"/>
                <w:sz w:val="24"/>
                <w:szCs w:val="24"/>
                <w:lang w:val="en-US"/>
              </w:rPr>
              <w:t>can lead</w:t>
            </w:r>
            <w:r w:rsidRPr="0059535C">
              <w:rPr>
                <w:rFonts w:ascii="Times New Roman" w:hAnsi="Times New Roman" w:cs="Times New Roman"/>
                <w:sz w:val="24"/>
                <w:szCs w:val="24"/>
                <w:lang w:val="en-US"/>
              </w:rPr>
              <w:t xml:space="preserve"> to moral distress </w:t>
            </w:r>
            <w:r w:rsidR="00591406">
              <w:rPr>
                <w:rFonts w:ascii="Times New Roman" w:hAnsi="Times New Roman" w:cs="Times New Roman"/>
                <w:sz w:val="24"/>
                <w:szCs w:val="24"/>
                <w:lang w:val="en-US"/>
              </w:rPr>
              <w:t>for</w:t>
            </w:r>
            <w:r w:rsidRPr="0059535C">
              <w:rPr>
                <w:rFonts w:ascii="Times New Roman" w:hAnsi="Times New Roman" w:cs="Times New Roman"/>
                <w:sz w:val="24"/>
                <w:szCs w:val="24"/>
                <w:lang w:val="en-US"/>
              </w:rPr>
              <w:t xml:space="preserve"> healthcare </w:t>
            </w:r>
            <w:r w:rsidR="00591406">
              <w:rPr>
                <w:rFonts w:ascii="Times New Roman" w:hAnsi="Times New Roman" w:cs="Times New Roman"/>
                <w:sz w:val="24"/>
                <w:szCs w:val="24"/>
                <w:lang w:val="en-US"/>
              </w:rPr>
              <w:t>professionals</w:t>
            </w:r>
            <w:r w:rsidRPr="0059535C">
              <w:rPr>
                <w:rFonts w:ascii="Times New Roman" w:hAnsi="Times New Roman" w:cs="Times New Roman"/>
                <w:sz w:val="24"/>
                <w:szCs w:val="24"/>
                <w:lang w:val="en-US"/>
              </w:rPr>
              <w:t xml:space="preserve"> </w:t>
            </w:r>
          </w:p>
          <w:p w14:paraId="76B55331" w14:textId="142E4442" w:rsidR="00C36B48" w:rsidRPr="0059535C" w:rsidRDefault="00F60734" w:rsidP="009C2688">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Displacement of care that is included in the basic benefits package (due to scarcity of </w:t>
            </w:r>
            <w:r w:rsidR="00591406" w:rsidRPr="0059535C">
              <w:rPr>
                <w:rFonts w:ascii="Times New Roman" w:hAnsi="Times New Roman" w:cs="Times New Roman"/>
                <w:sz w:val="24"/>
                <w:szCs w:val="24"/>
                <w:lang w:val="en-US"/>
              </w:rPr>
              <w:t>healthcare</w:t>
            </w:r>
            <w:r w:rsidRPr="0059535C">
              <w:rPr>
                <w:rFonts w:ascii="Times New Roman" w:hAnsi="Times New Roman" w:cs="Times New Roman"/>
                <w:sz w:val="24"/>
                <w:szCs w:val="24"/>
                <w:lang w:val="en-US"/>
              </w:rPr>
              <w:t xml:space="preserve"> </w:t>
            </w:r>
            <w:r w:rsidR="00591406">
              <w:rPr>
                <w:rFonts w:ascii="Times New Roman" w:hAnsi="Times New Roman" w:cs="Times New Roman"/>
                <w:sz w:val="24"/>
                <w:szCs w:val="24"/>
                <w:lang w:val="en-US"/>
              </w:rPr>
              <w:t>professionals</w:t>
            </w:r>
            <w:r w:rsidRPr="0059535C">
              <w:rPr>
                <w:rFonts w:ascii="Times New Roman" w:hAnsi="Times New Roman" w:cs="Times New Roman"/>
                <w:sz w:val="24"/>
                <w:szCs w:val="24"/>
                <w:lang w:val="en-US"/>
              </w:rPr>
              <w:t xml:space="preserve"> and beds) </w:t>
            </w:r>
          </w:p>
          <w:p w14:paraId="38FD071B" w14:textId="5703142C" w:rsidR="00C36B48" w:rsidRPr="0059535C" w:rsidRDefault="00F60734" w:rsidP="00966DCE">
            <w:pPr>
              <w:pStyle w:val="Lijstalinea"/>
              <w:numPr>
                <w:ilvl w:val="0"/>
                <w:numId w:val="2"/>
              </w:num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Harm to the patients themselves (financial toxicity, e.g. </w:t>
            </w:r>
            <w:r w:rsidR="00591406" w:rsidRPr="0059535C">
              <w:rPr>
                <w:rFonts w:ascii="Times New Roman" w:hAnsi="Times New Roman" w:cs="Times New Roman"/>
                <w:sz w:val="24"/>
                <w:szCs w:val="24"/>
                <w:lang w:val="en-US"/>
              </w:rPr>
              <w:t>because</w:t>
            </w:r>
            <w:r w:rsidRPr="0059535C">
              <w:rPr>
                <w:rFonts w:ascii="Times New Roman" w:hAnsi="Times New Roman" w:cs="Times New Roman"/>
                <w:sz w:val="24"/>
                <w:szCs w:val="24"/>
                <w:lang w:val="en-US"/>
              </w:rPr>
              <w:t xml:space="preserve"> they sell their house) Visible inequality may be painful to patients who cannot pay out-of-pocket </w:t>
            </w:r>
          </w:p>
        </w:tc>
      </w:tr>
    </w:tbl>
    <w:p w14:paraId="63E8A813" w14:textId="77777777" w:rsidR="0059535C" w:rsidRDefault="0059535C" w:rsidP="002E3020">
      <w:pPr>
        <w:pStyle w:val="Kop3"/>
        <w:rPr>
          <w:rFonts w:ascii="Times New Roman" w:hAnsi="Times New Roman" w:cs="Times New Roman"/>
          <w:lang w:val="en-US"/>
        </w:rPr>
      </w:pPr>
      <w:bookmarkStart w:id="5" w:name="_Toc125535552"/>
      <w:bookmarkStart w:id="6" w:name="_Toc125537489"/>
      <w:bookmarkStart w:id="7" w:name="_Toc125537590"/>
      <w:bookmarkStart w:id="8" w:name="_Toc126259794"/>
    </w:p>
    <w:p w14:paraId="345B2574" w14:textId="4122822C" w:rsidR="00123DDD" w:rsidRPr="0059535C" w:rsidRDefault="005D5DEE" w:rsidP="002E3020">
      <w:pPr>
        <w:pStyle w:val="Kop3"/>
        <w:rPr>
          <w:rFonts w:ascii="Times New Roman" w:hAnsi="Times New Roman" w:cs="Times New Roman"/>
          <w:color w:val="auto"/>
          <w:lang w:val="en-US"/>
        </w:rPr>
      </w:pPr>
      <w:r w:rsidRPr="0059535C">
        <w:rPr>
          <w:rFonts w:ascii="Times New Roman" w:hAnsi="Times New Roman" w:cs="Times New Roman"/>
          <w:color w:val="auto"/>
          <w:lang w:val="en-US"/>
        </w:rPr>
        <w:t>A further elaboration of some arguments</w:t>
      </w:r>
      <w:bookmarkEnd w:id="5"/>
      <w:bookmarkEnd w:id="6"/>
      <w:bookmarkEnd w:id="7"/>
      <w:bookmarkEnd w:id="8"/>
    </w:p>
    <w:tbl>
      <w:tblPr>
        <w:tblStyle w:val="Tabelraster"/>
        <w:tblW w:w="0" w:type="auto"/>
        <w:tblLook w:val="04A0" w:firstRow="1" w:lastRow="0" w:firstColumn="1" w:lastColumn="0" w:noHBand="0" w:noVBand="1"/>
      </w:tblPr>
      <w:tblGrid>
        <w:gridCol w:w="6997"/>
        <w:gridCol w:w="6997"/>
      </w:tblGrid>
      <w:tr w:rsidR="00A53162" w:rsidRPr="0031579E" w14:paraId="4BC18B85" w14:textId="77777777" w:rsidTr="00684D66">
        <w:trPr>
          <w:trHeight w:val="1521"/>
        </w:trPr>
        <w:tc>
          <w:tcPr>
            <w:tcW w:w="6997" w:type="dxa"/>
          </w:tcPr>
          <w:p w14:paraId="68669364" w14:textId="5F7901D3" w:rsidR="00A53162" w:rsidRPr="0031579E" w:rsidRDefault="00582546" w:rsidP="00A53162">
            <w:pPr>
              <w:rPr>
                <w:rFonts w:ascii="Times New Roman" w:hAnsi="Times New Roman" w:cs="Times New Roman"/>
                <w:b/>
                <w:bCs/>
                <w:sz w:val="24"/>
                <w:szCs w:val="24"/>
              </w:rPr>
            </w:pPr>
            <w:proofErr w:type="spellStart"/>
            <w:r w:rsidRPr="0031579E">
              <w:rPr>
                <w:rFonts w:ascii="Times New Roman" w:hAnsi="Times New Roman" w:cs="Times New Roman"/>
                <w:b/>
                <w:bCs/>
                <w:sz w:val="24"/>
                <w:szCs w:val="24"/>
              </w:rPr>
              <w:t>Equal</w:t>
            </w:r>
            <w:proofErr w:type="spellEnd"/>
            <w:r w:rsidRPr="0031579E">
              <w:rPr>
                <w:rFonts w:ascii="Times New Roman" w:hAnsi="Times New Roman" w:cs="Times New Roman"/>
                <w:b/>
                <w:bCs/>
                <w:sz w:val="24"/>
                <w:szCs w:val="24"/>
              </w:rPr>
              <w:t xml:space="preserve"> access </w:t>
            </w:r>
            <w:proofErr w:type="spellStart"/>
            <w:r w:rsidRPr="0031579E">
              <w:rPr>
                <w:rFonts w:ascii="Times New Roman" w:hAnsi="Times New Roman" w:cs="Times New Roman"/>
                <w:b/>
                <w:bCs/>
                <w:sz w:val="24"/>
                <w:szCs w:val="24"/>
              </w:rPr>
              <w:t>when</w:t>
            </w:r>
            <w:proofErr w:type="spellEnd"/>
            <w:r w:rsidRPr="0031579E">
              <w:rPr>
                <w:rFonts w:ascii="Times New Roman" w:hAnsi="Times New Roman" w:cs="Times New Roman"/>
                <w:b/>
                <w:bCs/>
                <w:sz w:val="24"/>
                <w:szCs w:val="24"/>
              </w:rPr>
              <w:t xml:space="preserve"> in </w:t>
            </w:r>
            <w:proofErr w:type="spellStart"/>
            <w:r w:rsidRPr="0031579E">
              <w:rPr>
                <w:rFonts w:ascii="Times New Roman" w:hAnsi="Times New Roman" w:cs="Times New Roman"/>
                <w:b/>
                <w:bCs/>
                <w:sz w:val="24"/>
                <w:szCs w:val="24"/>
              </w:rPr>
              <w:t>equal</w:t>
            </w:r>
            <w:proofErr w:type="spellEnd"/>
            <w:r w:rsidRPr="0031579E">
              <w:rPr>
                <w:rFonts w:ascii="Times New Roman" w:hAnsi="Times New Roman" w:cs="Times New Roman"/>
                <w:b/>
                <w:bCs/>
                <w:sz w:val="24"/>
                <w:szCs w:val="24"/>
              </w:rPr>
              <w:t xml:space="preserve"> </w:t>
            </w:r>
            <w:proofErr w:type="spellStart"/>
            <w:r w:rsidRPr="0031579E">
              <w:rPr>
                <w:rFonts w:ascii="Times New Roman" w:hAnsi="Times New Roman" w:cs="Times New Roman"/>
                <w:b/>
                <w:bCs/>
                <w:sz w:val="24"/>
                <w:szCs w:val="24"/>
              </w:rPr>
              <w:t>need</w:t>
            </w:r>
            <w:proofErr w:type="spellEnd"/>
            <w:r w:rsidRPr="0031579E">
              <w:rPr>
                <w:rFonts w:ascii="Times New Roman" w:hAnsi="Times New Roman" w:cs="Times New Roman"/>
                <w:b/>
                <w:bCs/>
                <w:sz w:val="24"/>
                <w:szCs w:val="24"/>
              </w:rPr>
              <w:t xml:space="preserve"> of </w:t>
            </w:r>
            <w:proofErr w:type="spellStart"/>
            <w:r w:rsidRPr="0031579E">
              <w:rPr>
                <w:rFonts w:ascii="Times New Roman" w:hAnsi="Times New Roman" w:cs="Times New Roman"/>
                <w:b/>
                <w:bCs/>
                <w:sz w:val="24"/>
                <w:szCs w:val="24"/>
              </w:rPr>
              <w:t>receiving</w:t>
            </w:r>
            <w:proofErr w:type="spellEnd"/>
            <w:r w:rsidRPr="0031579E">
              <w:rPr>
                <w:rFonts w:ascii="Times New Roman" w:hAnsi="Times New Roman" w:cs="Times New Roman"/>
                <w:b/>
                <w:bCs/>
                <w:sz w:val="24"/>
                <w:szCs w:val="24"/>
              </w:rPr>
              <w:t xml:space="preserve"> </w:t>
            </w:r>
            <w:proofErr w:type="spellStart"/>
            <w:r w:rsidRPr="0031579E">
              <w:rPr>
                <w:rFonts w:ascii="Times New Roman" w:hAnsi="Times New Roman" w:cs="Times New Roman"/>
                <w:b/>
                <w:bCs/>
                <w:sz w:val="24"/>
                <w:szCs w:val="24"/>
              </w:rPr>
              <w:t>medical</w:t>
            </w:r>
            <w:proofErr w:type="spellEnd"/>
            <w:r w:rsidRPr="0031579E">
              <w:rPr>
                <w:rFonts w:ascii="Times New Roman" w:hAnsi="Times New Roman" w:cs="Times New Roman"/>
                <w:b/>
                <w:bCs/>
                <w:sz w:val="24"/>
                <w:szCs w:val="24"/>
              </w:rPr>
              <w:t xml:space="preserve"> care </w:t>
            </w:r>
          </w:p>
          <w:p w14:paraId="20F31584" w14:textId="4047DDCF" w:rsidR="00A53162" w:rsidRPr="0031579E" w:rsidRDefault="00582546" w:rsidP="0059535C">
            <w:pPr>
              <w:rPr>
                <w:rFonts w:ascii="Times New Roman" w:hAnsi="Times New Roman" w:cs="Times New Roman"/>
                <w:b/>
                <w:bCs/>
                <w:sz w:val="24"/>
                <w:szCs w:val="24"/>
              </w:rPr>
            </w:pPr>
            <w:r w:rsidRPr="0059535C">
              <w:rPr>
                <w:rFonts w:ascii="Times New Roman" w:hAnsi="Times New Roman" w:cs="Times New Roman"/>
                <w:sz w:val="24"/>
                <w:szCs w:val="24"/>
                <w:lang w:val="en-US"/>
              </w:rPr>
              <w:t xml:space="preserve">Equality and solidarity are core assumptions and core values of the Dutch healthcare system. The young pay for the old, the rich for the poor, and the healthy fort the ill, such that everyone in the Netherlands has equal access to medically necessary care. </w:t>
            </w:r>
          </w:p>
        </w:tc>
        <w:tc>
          <w:tcPr>
            <w:tcW w:w="6997" w:type="dxa"/>
          </w:tcPr>
          <w:p w14:paraId="72D9859D" w14:textId="20152618" w:rsidR="000027B3" w:rsidRPr="0031579E" w:rsidRDefault="00582546" w:rsidP="000027B3">
            <w:pPr>
              <w:rPr>
                <w:rFonts w:ascii="Times New Roman" w:hAnsi="Times New Roman" w:cs="Times New Roman"/>
                <w:b/>
                <w:bCs/>
                <w:sz w:val="24"/>
                <w:szCs w:val="24"/>
              </w:rPr>
            </w:pPr>
            <w:r w:rsidRPr="0031579E">
              <w:rPr>
                <w:rFonts w:ascii="Times New Roman" w:hAnsi="Times New Roman" w:cs="Times New Roman"/>
                <w:b/>
                <w:bCs/>
                <w:sz w:val="24"/>
                <w:szCs w:val="24"/>
              </w:rPr>
              <w:t>Unequal access</w:t>
            </w:r>
            <w:r w:rsidRPr="0031579E">
              <w:rPr>
                <w:rFonts w:ascii="Times New Roman" w:hAnsi="Times New Roman" w:cs="Times New Roman"/>
                <w:sz w:val="24"/>
                <w:szCs w:val="24"/>
              </w:rPr>
              <w:t xml:space="preserve"> </w:t>
            </w:r>
            <w:r w:rsidRPr="0031579E">
              <w:rPr>
                <w:rFonts w:ascii="Times New Roman" w:hAnsi="Times New Roman" w:cs="Times New Roman"/>
                <w:b/>
                <w:bCs/>
                <w:sz w:val="24"/>
                <w:szCs w:val="24"/>
              </w:rPr>
              <w:t xml:space="preserve">due to differences in assertiveness, knowledge, and relations is unfair </w:t>
            </w:r>
          </w:p>
          <w:p w14:paraId="1DE7D278" w14:textId="1A14EDE7" w:rsidR="000027B3" w:rsidRPr="0059535C" w:rsidRDefault="00582546" w:rsidP="000027B3">
            <w:pPr>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Especially in case of access via </w:t>
            </w:r>
            <w:r w:rsidR="00CF1D38" w:rsidRPr="0059535C">
              <w:rPr>
                <w:rFonts w:ascii="Times New Roman" w:hAnsi="Times New Roman" w:cs="Times New Roman"/>
                <w:sz w:val="24"/>
                <w:szCs w:val="24"/>
                <w:lang w:val="en-US"/>
              </w:rPr>
              <w:t>leniency arrangements with an insurer or pharmaceutical company, or in case of funding from the hospital budget, it is possible that assertive and higher educated pati</w:t>
            </w:r>
            <w:r w:rsidR="00591406">
              <w:rPr>
                <w:rFonts w:ascii="Times New Roman" w:hAnsi="Times New Roman" w:cs="Times New Roman"/>
                <w:sz w:val="24"/>
                <w:szCs w:val="24"/>
                <w:lang w:val="en-US"/>
              </w:rPr>
              <w:t>ents who know the system manage</w:t>
            </w:r>
            <w:r w:rsidR="00CF1D38" w:rsidRPr="0059535C">
              <w:rPr>
                <w:rFonts w:ascii="Times New Roman" w:hAnsi="Times New Roman" w:cs="Times New Roman"/>
                <w:sz w:val="24"/>
                <w:szCs w:val="24"/>
                <w:lang w:val="en-US"/>
              </w:rPr>
              <w:t xml:space="preserve"> to achieve more, involving their physician, than other patients. Permitting these access routes therefore increases inequalities based on these patient differences.</w:t>
            </w:r>
          </w:p>
          <w:p w14:paraId="288D31F0" w14:textId="77777777" w:rsidR="00A53162" w:rsidRPr="0059535C" w:rsidRDefault="00A53162">
            <w:pPr>
              <w:rPr>
                <w:rFonts w:ascii="Times New Roman" w:hAnsi="Times New Roman" w:cs="Times New Roman"/>
                <w:b/>
                <w:bCs/>
                <w:sz w:val="24"/>
                <w:szCs w:val="24"/>
                <w:lang w:val="en-US"/>
              </w:rPr>
            </w:pPr>
          </w:p>
        </w:tc>
      </w:tr>
      <w:tr w:rsidR="00DC2C6C" w:rsidRPr="0031579E" w14:paraId="798E67A6" w14:textId="77777777" w:rsidTr="008D307D">
        <w:trPr>
          <w:trHeight w:val="1408"/>
        </w:trPr>
        <w:tc>
          <w:tcPr>
            <w:tcW w:w="6997" w:type="dxa"/>
          </w:tcPr>
          <w:p w14:paraId="1E4F38CA" w14:textId="034F9D92" w:rsidR="00DC2C6C" w:rsidRPr="0031579E" w:rsidRDefault="00CF1D38" w:rsidP="00D27887">
            <w:pPr>
              <w:rPr>
                <w:rFonts w:ascii="Times New Roman" w:hAnsi="Times New Roman" w:cs="Times New Roman"/>
                <w:b/>
                <w:bCs/>
                <w:sz w:val="24"/>
                <w:szCs w:val="24"/>
              </w:rPr>
            </w:pPr>
            <w:r w:rsidRPr="0031579E">
              <w:rPr>
                <w:rFonts w:ascii="Times New Roman" w:hAnsi="Times New Roman" w:cs="Times New Roman"/>
                <w:b/>
                <w:bCs/>
                <w:sz w:val="24"/>
                <w:szCs w:val="24"/>
              </w:rPr>
              <w:lastRenderedPageBreak/>
              <w:t xml:space="preserve">The </w:t>
            </w:r>
            <w:proofErr w:type="spellStart"/>
            <w:r w:rsidRPr="0031579E">
              <w:rPr>
                <w:rFonts w:ascii="Times New Roman" w:hAnsi="Times New Roman" w:cs="Times New Roman"/>
                <w:b/>
                <w:bCs/>
                <w:sz w:val="24"/>
                <w:szCs w:val="24"/>
              </w:rPr>
              <w:t>egalitarian</w:t>
            </w:r>
            <w:proofErr w:type="spellEnd"/>
            <w:r w:rsidRPr="0031579E">
              <w:rPr>
                <w:rFonts w:ascii="Times New Roman" w:hAnsi="Times New Roman" w:cs="Times New Roman"/>
                <w:b/>
                <w:bCs/>
                <w:sz w:val="24"/>
                <w:szCs w:val="24"/>
              </w:rPr>
              <w:t xml:space="preserve"> ethos in health care and society </w:t>
            </w:r>
          </w:p>
          <w:p w14:paraId="5B124428" w14:textId="0CE669F6" w:rsidR="00DC2C6C" w:rsidRPr="0066099B" w:rsidRDefault="00CF1D38" w:rsidP="0066099B">
            <w:pPr>
              <w:spacing w:line="259" w:lineRule="auto"/>
              <w:rPr>
                <w:rFonts w:ascii="Times New Roman" w:hAnsi="Times New Roman" w:cs="Times New Roman"/>
                <w:b/>
                <w:bCs/>
                <w:sz w:val="24"/>
                <w:szCs w:val="24"/>
                <w:lang w:val="en-US"/>
              </w:rPr>
            </w:pPr>
            <w:r w:rsidRPr="0059535C">
              <w:rPr>
                <w:rFonts w:ascii="Times New Roman" w:hAnsi="Times New Roman" w:cs="Times New Roman"/>
                <w:sz w:val="24"/>
                <w:szCs w:val="24"/>
                <w:lang w:val="en-US"/>
              </w:rPr>
              <w:t>The core values equality and solidarity are firmly supported by many healthcare professionals</w:t>
            </w:r>
            <w:r w:rsidR="00675AAE" w:rsidRPr="0059535C">
              <w:rPr>
                <w:rStyle w:val="Eindnootmarkering"/>
                <w:rFonts w:ascii="Times New Roman" w:hAnsi="Times New Roman" w:cs="Times New Roman"/>
                <w:sz w:val="24"/>
                <w:szCs w:val="24"/>
                <w:lang w:val="en-US"/>
              </w:rPr>
              <w:endnoteReference w:id="3"/>
            </w:r>
            <w:r w:rsidRPr="0059535C">
              <w:rPr>
                <w:rFonts w:ascii="Times New Roman" w:hAnsi="Times New Roman" w:cs="Times New Roman"/>
                <w:sz w:val="24"/>
                <w:szCs w:val="24"/>
                <w:lang w:val="en-US"/>
              </w:rPr>
              <w:t xml:space="preserve"> and Dutch citizens.</w:t>
            </w:r>
            <w:r w:rsidRPr="0059535C">
              <w:rPr>
                <w:rStyle w:val="Eindnootmarkering"/>
                <w:rFonts w:ascii="Times New Roman" w:hAnsi="Times New Roman" w:cs="Times New Roman"/>
                <w:sz w:val="24"/>
                <w:szCs w:val="24"/>
                <w:lang w:val="en-US"/>
              </w:rPr>
              <w:endnoteReference w:id="4"/>
            </w:r>
            <w:r w:rsidRPr="0059535C">
              <w:rPr>
                <w:rFonts w:ascii="Times New Roman" w:hAnsi="Times New Roman" w:cs="Times New Roman"/>
                <w:sz w:val="24"/>
                <w:szCs w:val="24"/>
                <w:lang w:val="en-US"/>
              </w:rPr>
              <w:t xml:space="preserve">  Visible inequalities in access, e.g. between rich and poor patients, contradict that ethos and therefore can lead to moral distress from healthcare </w:t>
            </w:r>
            <w:r w:rsidR="0066099B">
              <w:rPr>
                <w:rFonts w:ascii="Times New Roman" w:hAnsi="Times New Roman" w:cs="Times New Roman"/>
                <w:sz w:val="24"/>
                <w:szCs w:val="24"/>
                <w:lang w:val="en-US"/>
              </w:rPr>
              <w:t>professionals</w:t>
            </w:r>
            <w:r w:rsidRPr="0059535C">
              <w:rPr>
                <w:rFonts w:ascii="Times New Roman" w:hAnsi="Times New Roman" w:cs="Times New Roman"/>
                <w:sz w:val="24"/>
                <w:szCs w:val="24"/>
                <w:lang w:val="en-US"/>
              </w:rPr>
              <w:t xml:space="preserve"> and citizens. A visible divide can </w:t>
            </w:r>
            <w:r w:rsidR="00925BC9" w:rsidRPr="0059535C">
              <w:rPr>
                <w:rFonts w:ascii="Times New Roman" w:hAnsi="Times New Roman" w:cs="Times New Roman"/>
                <w:sz w:val="24"/>
                <w:szCs w:val="24"/>
                <w:lang w:val="en-US"/>
              </w:rPr>
              <w:t xml:space="preserve">do harm to the ideal of a society in which citizens relate to each other as equals. On the other hand, being disallowed to treat a patient that pays out-of-pocket may also lead to moral distress </w:t>
            </w:r>
            <w:r w:rsidR="0066099B">
              <w:rPr>
                <w:rFonts w:ascii="Times New Roman" w:hAnsi="Times New Roman" w:cs="Times New Roman"/>
                <w:sz w:val="24"/>
                <w:szCs w:val="24"/>
                <w:lang w:val="en-US"/>
              </w:rPr>
              <w:t>for</w:t>
            </w:r>
            <w:r w:rsidR="00925BC9" w:rsidRPr="0059535C">
              <w:rPr>
                <w:rFonts w:ascii="Times New Roman" w:hAnsi="Times New Roman" w:cs="Times New Roman"/>
                <w:sz w:val="24"/>
                <w:szCs w:val="24"/>
                <w:lang w:val="en-US"/>
              </w:rPr>
              <w:t xml:space="preserve"> physicians and some citizens will have trouble with such policy.</w:t>
            </w:r>
            <w:r w:rsidRPr="0059535C">
              <w:rPr>
                <w:rFonts w:ascii="Times New Roman" w:hAnsi="Times New Roman" w:cs="Times New Roman"/>
                <w:sz w:val="24"/>
                <w:szCs w:val="24"/>
                <w:lang w:val="en-US"/>
              </w:rPr>
              <w:t xml:space="preserve"> </w:t>
            </w:r>
          </w:p>
        </w:tc>
        <w:tc>
          <w:tcPr>
            <w:tcW w:w="6997" w:type="dxa"/>
            <w:vMerge w:val="restart"/>
          </w:tcPr>
          <w:p w14:paraId="7E63AD04" w14:textId="205CAE87" w:rsidR="00DC2C6C" w:rsidRPr="0059535C" w:rsidRDefault="00925BC9" w:rsidP="000027B3">
            <w:pPr>
              <w:rPr>
                <w:rFonts w:ascii="Times New Roman" w:hAnsi="Times New Roman" w:cs="Times New Roman"/>
                <w:b/>
                <w:bCs/>
                <w:sz w:val="24"/>
                <w:szCs w:val="24"/>
                <w:lang w:val="en-US"/>
              </w:rPr>
            </w:pPr>
            <w:r w:rsidRPr="0059535C">
              <w:rPr>
                <w:rFonts w:ascii="Times New Roman" w:hAnsi="Times New Roman" w:cs="Times New Roman"/>
                <w:b/>
                <w:bCs/>
                <w:sz w:val="24"/>
                <w:szCs w:val="24"/>
                <w:lang w:val="en-US"/>
              </w:rPr>
              <w:t xml:space="preserve">Displacement </w:t>
            </w:r>
          </w:p>
          <w:p w14:paraId="24F042D9" w14:textId="6004F868" w:rsidR="00925BC9" w:rsidRPr="0059535C" w:rsidRDefault="00925BC9" w:rsidP="000027B3">
            <w:pPr>
              <w:spacing w:line="259" w:lineRule="auto"/>
              <w:rPr>
                <w:rFonts w:ascii="Times New Roman" w:hAnsi="Times New Roman" w:cs="Times New Roman"/>
                <w:sz w:val="24"/>
                <w:szCs w:val="24"/>
                <w:lang w:val="en-US"/>
              </w:rPr>
            </w:pPr>
            <w:r w:rsidRPr="0059535C">
              <w:rPr>
                <w:rFonts w:ascii="Times New Roman" w:hAnsi="Times New Roman" w:cs="Times New Roman"/>
                <w:sz w:val="24"/>
                <w:szCs w:val="24"/>
                <w:lang w:val="en-US"/>
              </w:rPr>
              <w:t>Displacement happe</w:t>
            </w:r>
            <w:r w:rsidR="00675AAE" w:rsidRPr="0059535C">
              <w:rPr>
                <w:rFonts w:ascii="Times New Roman" w:hAnsi="Times New Roman" w:cs="Times New Roman"/>
                <w:sz w:val="24"/>
                <w:szCs w:val="24"/>
                <w:lang w:val="en-US"/>
              </w:rPr>
              <w:t>n</w:t>
            </w:r>
            <w:r w:rsidRPr="0059535C">
              <w:rPr>
                <w:rFonts w:ascii="Times New Roman" w:hAnsi="Times New Roman" w:cs="Times New Roman"/>
                <w:sz w:val="24"/>
                <w:szCs w:val="24"/>
                <w:lang w:val="en-US"/>
              </w:rPr>
              <w:t>s at least at the following three levels. First, the gove</w:t>
            </w:r>
            <w:r w:rsidR="005D5DEE" w:rsidRPr="0059535C">
              <w:rPr>
                <w:rFonts w:ascii="Times New Roman" w:hAnsi="Times New Roman" w:cs="Times New Roman"/>
                <w:sz w:val="24"/>
                <w:szCs w:val="24"/>
                <w:lang w:val="en-US"/>
              </w:rPr>
              <w:t>r</w:t>
            </w:r>
            <w:r w:rsidRPr="0059535C">
              <w:rPr>
                <w:rFonts w:ascii="Times New Roman" w:hAnsi="Times New Roman" w:cs="Times New Roman"/>
                <w:sz w:val="24"/>
                <w:szCs w:val="24"/>
                <w:lang w:val="en-US"/>
              </w:rPr>
              <w:t xml:space="preserve">nmental budgets are finite, so when more is spent on health care so as to include all new expensive treatments in the basic benefits package, the Netherlands can spend less on education, national safety, housing, etc. The societal causes are then displaced by health care. </w:t>
            </w:r>
          </w:p>
          <w:p w14:paraId="62827252" w14:textId="77777777" w:rsidR="00B563ED" w:rsidRPr="0059535C" w:rsidRDefault="00925BC9" w:rsidP="000027B3">
            <w:pPr>
              <w:spacing w:line="259" w:lineRule="auto"/>
              <w:rPr>
                <w:rFonts w:ascii="Times New Roman" w:hAnsi="Times New Roman" w:cs="Times New Roman"/>
                <w:sz w:val="24"/>
                <w:szCs w:val="24"/>
                <w:lang w:val="en-US"/>
              </w:rPr>
            </w:pPr>
            <w:r w:rsidRPr="0059535C">
              <w:rPr>
                <w:rFonts w:ascii="Times New Roman" w:hAnsi="Times New Roman" w:cs="Times New Roman"/>
                <w:sz w:val="24"/>
                <w:szCs w:val="24"/>
                <w:lang w:val="en-US"/>
              </w:rPr>
              <w:t xml:space="preserve">Second, displacement within health care can operate via funding. Continuing to fund expensive treatments will be at the expense of other medical care. Alternatively, expanding the budget for expensive treatment or specialist medical care can be at the expense of, for example, mental healthcare for youth, or </w:t>
            </w:r>
            <w:r w:rsidR="00B563ED" w:rsidRPr="0059535C">
              <w:rPr>
                <w:rFonts w:ascii="Times New Roman" w:hAnsi="Times New Roman" w:cs="Times New Roman"/>
                <w:sz w:val="24"/>
                <w:szCs w:val="24"/>
                <w:lang w:val="en-US"/>
              </w:rPr>
              <w:t>nursing home</w:t>
            </w:r>
            <w:r w:rsidRPr="0059535C">
              <w:rPr>
                <w:rFonts w:ascii="Times New Roman" w:hAnsi="Times New Roman" w:cs="Times New Roman"/>
                <w:sz w:val="24"/>
                <w:szCs w:val="24"/>
                <w:lang w:val="en-US"/>
              </w:rPr>
              <w:t xml:space="preserve"> care.  </w:t>
            </w:r>
          </w:p>
          <w:p w14:paraId="68AD2A14" w14:textId="6EBDF302" w:rsidR="00B563ED" w:rsidRPr="0059535C" w:rsidRDefault="00B563ED" w:rsidP="000027B3">
            <w:pPr>
              <w:spacing w:line="259" w:lineRule="auto"/>
              <w:rPr>
                <w:rFonts w:ascii="Times New Roman" w:hAnsi="Times New Roman" w:cs="Times New Roman"/>
                <w:sz w:val="24"/>
                <w:szCs w:val="24"/>
                <w:lang w:val="en-US"/>
              </w:rPr>
            </w:pPr>
            <w:r w:rsidRPr="0059535C">
              <w:rPr>
                <w:rFonts w:ascii="Times New Roman" w:hAnsi="Times New Roman" w:cs="Times New Roman"/>
                <w:sz w:val="24"/>
                <w:szCs w:val="24"/>
                <w:lang w:val="en-US"/>
              </w:rPr>
              <w:t>Finally, displacement may operate at the level of available personnel and beds. For example, when prescribing a treatment funded by out-of-pocket payment, means that other patients have to wait (longer) for their publicly funded treatment.</w:t>
            </w:r>
          </w:p>
          <w:p w14:paraId="66CDA060" w14:textId="77777777" w:rsidR="00DC2C6C" w:rsidRPr="0031579E" w:rsidRDefault="00DC2C6C" w:rsidP="0059535C">
            <w:pPr>
              <w:rPr>
                <w:rFonts w:ascii="Times New Roman" w:hAnsi="Times New Roman" w:cs="Times New Roman"/>
                <w:b/>
                <w:bCs/>
                <w:sz w:val="24"/>
                <w:szCs w:val="24"/>
              </w:rPr>
            </w:pPr>
          </w:p>
        </w:tc>
      </w:tr>
      <w:tr w:rsidR="00DC2C6C" w:rsidRPr="0031579E" w14:paraId="3C0ADA9B" w14:textId="77777777" w:rsidTr="00A53162">
        <w:trPr>
          <w:trHeight w:val="2892"/>
        </w:trPr>
        <w:tc>
          <w:tcPr>
            <w:tcW w:w="6997" w:type="dxa"/>
          </w:tcPr>
          <w:p w14:paraId="4FF5D605" w14:textId="1EA02546" w:rsidR="00DC2C6C" w:rsidRPr="0059535C" w:rsidRDefault="001E37B7" w:rsidP="00D27887">
            <w:pPr>
              <w:rPr>
                <w:rFonts w:ascii="Times New Roman" w:hAnsi="Times New Roman" w:cs="Times New Roman"/>
                <w:sz w:val="24"/>
                <w:szCs w:val="24"/>
                <w:lang w:val="en-US"/>
              </w:rPr>
            </w:pPr>
            <w:r w:rsidRPr="0059535C">
              <w:rPr>
                <w:rFonts w:ascii="Times New Roman" w:hAnsi="Times New Roman" w:cs="Times New Roman"/>
                <w:b/>
                <w:bCs/>
                <w:sz w:val="24"/>
                <w:szCs w:val="24"/>
                <w:lang w:val="en-US"/>
              </w:rPr>
              <w:t xml:space="preserve">Liberty to spend one’s own financial means &amp; loss of health </w:t>
            </w:r>
          </w:p>
          <w:p w14:paraId="3C9D143D" w14:textId="1CD3AA79" w:rsidR="001E37B7" w:rsidRPr="0059535C" w:rsidRDefault="001E37B7" w:rsidP="00D27887">
            <w:pPr>
              <w:rPr>
                <w:rFonts w:ascii="Times New Roman" w:hAnsi="Times New Roman" w:cs="Times New Roman"/>
                <w:sz w:val="24"/>
                <w:szCs w:val="24"/>
                <w:lang w:val="en-US"/>
              </w:rPr>
            </w:pPr>
            <w:r w:rsidRPr="0059535C">
              <w:rPr>
                <w:rFonts w:ascii="Times New Roman" w:hAnsi="Times New Roman" w:cs="Times New Roman"/>
                <w:sz w:val="24"/>
                <w:szCs w:val="24"/>
                <w:lang w:val="en-US"/>
              </w:rPr>
              <w:t>Not being permitted to use one’s own financial means to promote one’s health is a serious limitation of the individual liberty of citizens. Therefore, this restriction is in need of justification. Health is sometimes seen as a special good, the distribution of which should not depend on individual financial me</w:t>
            </w:r>
            <w:r w:rsidR="00675AAE" w:rsidRPr="0059535C">
              <w:rPr>
                <w:rFonts w:ascii="Times New Roman" w:hAnsi="Times New Roman" w:cs="Times New Roman"/>
                <w:sz w:val="24"/>
                <w:szCs w:val="24"/>
                <w:lang w:val="en-US"/>
              </w:rPr>
              <w:t>a</w:t>
            </w:r>
            <w:r w:rsidRPr="0059535C">
              <w:rPr>
                <w:rFonts w:ascii="Times New Roman" w:hAnsi="Times New Roman" w:cs="Times New Roman"/>
                <w:sz w:val="24"/>
                <w:szCs w:val="24"/>
                <w:lang w:val="en-US"/>
              </w:rPr>
              <w:t>ns. However there are many ways in which financial means can lead to better health, ways which although sometimes undesirable, are not restricted. For example, there is a clear relation between level of education and health.</w:t>
            </w:r>
          </w:p>
          <w:p w14:paraId="4650F854" w14:textId="40E0F8A9" w:rsidR="00835FA4" w:rsidRPr="0059535C" w:rsidRDefault="001E37B7" w:rsidP="00D27887">
            <w:pPr>
              <w:rPr>
                <w:rFonts w:ascii="Times New Roman" w:hAnsi="Times New Roman" w:cs="Times New Roman"/>
                <w:sz w:val="24"/>
                <w:szCs w:val="24"/>
                <w:lang w:val="en-US"/>
              </w:rPr>
            </w:pPr>
            <w:r w:rsidRPr="0059535C">
              <w:rPr>
                <w:rFonts w:ascii="Times New Roman" w:hAnsi="Times New Roman" w:cs="Times New Roman"/>
                <w:sz w:val="24"/>
                <w:szCs w:val="24"/>
                <w:lang w:val="en-US"/>
              </w:rPr>
              <w:t>A general ground for restrictions to in</w:t>
            </w:r>
            <w:r w:rsidR="00675AAE" w:rsidRPr="0059535C">
              <w:rPr>
                <w:rFonts w:ascii="Times New Roman" w:hAnsi="Times New Roman" w:cs="Times New Roman"/>
                <w:sz w:val="24"/>
                <w:szCs w:val="24"/>
                <w:lang w:val="en-US"/>
              </w:rPr>
              <w:t>div</w:t>
            </w:r>
            <w:r w:rsidRPr="0059535C">
              <w:rPr>
                <w:rFonts w:ascii="Times New Roman" w:hAnsi="Times New Roman" w:cs="Times New Roman"/>
                <w:sz w:val="24"/>
                <w:szCs w:val="24"/>
                <w:lang w:val="en-US"/>
              </w:rPr>
              <w:t>idual liberty is the prevention of harm to third parties. In this case, displacement of health care is the most important example of potential harm to third parties that results from permitting out-of-pocket payment.</w:t>
            </w:r>
          </w:p>
        </w:tc>
        <w:tc>
          <w:tcPr>
            <w:tcW w:w="6997" w:type="dxa"/>
            <w:vMerge/>
          </w:tcPr>
          <w:p w14:paraId="2B53770C" w14:textId="77777777" w:rsidR="00DC2C6C" w:rsidRPr="0059535C" w:rsidRDefault="00DC2C6C" w:rsidP="000027B3">
            <w:pPr>
              <w:rPr>
                <w:rFonts w:ascii="Times New Roman" w:hAnsi="Times New Roman" w:cs="Times New Roman"/>
                <w:b/>
                <w:bCs/>
                <w:sz w:val="24"/>
                <w:szCs w:val="24"/>
                <w:lang w:val="en-US"/>
              </w:rPr>
            </w:pPr>
          </w:p>
        </w:tc>
      </w:tr>
    </w:tbl>
    <w:p w14:paraId="2DCE361B" w14:textId="77777777" w:rsidR="0066099B" w:rsidRDefault="0066099B" w:rsidP="004D7F89">
      <w:pPr>
        <w:pStyle w:val="Kop3"/>
        <w:rPr>
          <w:rFonts w:ascii="Times New Roman" w:hAnsi="Times New Roman" w:cs="Times New Roman"/>
          <w:lang w:val="en-US"/>
        </w:rPr>
      </w:pPr>
      <w:bookmarkStart w:id="9" w:name="_Toc125535553"/>
      <w:bookmarkStart w:id="10" w:name="_Toc125537490"/>
      <w:bookmarkStart w:id="11" w:name="_Toc125537592"/>
      <w:bookmarkStart w:id="12" w:name="_Toc126259796"/>
    </w:p>
    <w:p w14:paraId="66FFE307" w14:textId="44A3BD65" w:rsidR="009D06C9" w:rsidRPr="0059535C" w:rsidRDefault="0066099B" w:rsidP="004D7F89">
      <w:pPr>
        <w:pStyle w:val="Kop3"/>
        <w:rPr>
          <w:rFonts w:ascii="Times New Roman" w:hAnsi="Times New Roman" w:cs="Times New Roman"/>
          <w:b/>
          <w:color w:val="auto"/>
          <w:lang w:val="en-US"/>
        </w:rPr>
      </w:pPr>
      <w:r>
        <w:rPr>
          <w:rFonts w:ascii="Times New Roman" w:hAnsi="Times New Roman" w:cs="Times New Roman"/>
          <w:b/>
          <w:color w:val="auto"/>
          <w:lang w:val="en-US"/>
        </w:rPr>
        <w:t>Foot</w:t>
      </w:r>
      <w:r w:rsidR="007A354B" w:rsidRPr="0059535C">
        <w:rPr>
          <w:rFonts w:ascii="Times New Roman" w:hAnsi="Times New Roman" w:cs="Times New Roman"/>
          <w:b/>
          <w:color w:val="auto"/>
          <w:lang w:val="en-US"/>
        </w:rPr>
        <w:t>notes &amp; cited literature</w:t>
      </w:r>
      <w:bookmarkEnd w:id="9"/>
      <w:bookmarkEnd w:id="10"/>
      <w:bookmarkEnd w:id="11"/>
      <w:bookmarkEnd w:id="12"/>
    </w:p>
    <w:p w14:paraId="54AD198C" w14:textId="77777777" w:rsidR="00CF1D38" w:rsidRPr="0066099B" w:rsidRDefault="006C4E52" w:rsidP="00CF1D38">
      <w:pPr>
        <w:pStyle w:val="Bibliografie"/>
        <w:rPr>
          <w:rFonts w:ascii="Times New Roman" w:hAnsi="Times New Roman" w:cs="Times New Roman"/>
          <w:sz w:val="24"/>
          <w:szCs w:val="24"/>
        </w:rPr>
      </w:pPr>
      <w:r w:rsidRPr="0066099B">
        <w:rPr>
          <w:rFonts w:ascii="Times New Roman" w:hAnsi="Times New Roman" w:cs="Times New Roman"/>
          <w:sz w:val="24"/>
          <w:szCs w:val="24"/>
        </w:rPr>
        <w:fldChar w:fldCharType="begin"/>
      </w:r>
      <w:r w:rsidRPr="0066099B">
        <w:rPr>
          <w:rFonts w:ascii="Times New Roman" w:hAnsi="Times New Roman" w:cs="Times New Roman"/>
          <w:sz w:val="24"/>
          <w:szCs w:val="24"/>
          <w:lang w:val="en-US"/>
        </w:rPr>
        <w:instrText xml:space="preserve"> ADDIN ZOTERO_BIBL {"uncited":[],"omitted":[],"custom":[]} CSL_BIBLIOGRAPHY </w:instrText>
      </w:r>
      <w:r w:rsidRPr="0066099B">
        <w:rPr>
          <w:rFonts w:ascii="Times New Roman" w:hAnsi="Times New Roman" w:cs="Times New Roman"/>
          <w:sz w:val="24"/>
          <w:szCs w:val="24"/>
        </w:rPr>
        <w:fldChar w:fldCharType="separate"/>
      </w:r>
      <w:r w:rsidR="00CF1D38" w:rsidRPr="0066099B">
        <w:rPr>
          <w:rFonts w:ascii="Times New Roman" w:hAnsi="Times New Roman" w:cs="Times New Roman"/>
          <w:sz w:val="24"/>
          <w:szCs w:val="24"/>
          <w:lang w:val="en-US"/>
        </w:rPr>
        <w:t xml:space="preserve">Bomhof, C. H. C., Schermer, M., Sleijfer, S., &amp; Bunnik, E. M. (2022). Physicians’ Perspectives on Ethical Issues Regarding Expensive Anti-Cancer Treatments: A Qualitative Study. </w:t>
      </w:r>
      <w:r w:rsidR="00CF1D38" w:rsidRPr="0066099B">
        <w:rPr>
          <w:rFonts w:ascii="Times New Roman" w:hAnsi="Times New Roman" w:cs="Times New Roman"/>
          <w:i/>
          <w:iCs/>
          <w:sz w:val="24"/>
          <w:szCs w:val="24"/>
        </w:rPr>
        <w:t>AJOB Empirical Bioethics</w:t>
      </w:r>
      <w:r w:rsidR="00CF1D38" w:rsidRPr="0066099B">
        <w:rPr>
          <w:rFonts w:ascii="Times New Roman" w:hAnsi="Times New Roman" w:cs="Times New Roman"/>
          <w:sz w:val="24"/>
          <w:szCs w:val="24"/>
        </w:rPr>
        <w:t xml:space="preserve">, </w:t>
      </w:r>
      <w:r w:rsidR="00CF1D38" w:rsidRPr="0066099B">
        <w:rPr>
          <w:rFonts w:ascii="Times New Roman" w:hAnsi="Times New Roman" w:cs="Times New Roman"/>
          <w:i/>
          <w:iCs/>
          <w:sz w:val="24"/>
          <w:szCs w:val="24"/>
        </w:rPr>
        <w:t>0</w:t>
      </w:r>
      <w:r w:rsidR="00CF1D38" w:rsidRPr="0066099B">
        <w:rPr>
          <w:rFonts w:ascii="Times New Roman" w:hAnsi="Times New Roman" w:cs="Times New Roman"/>
          <w:sz w:val="24"/>
          <w:szCs w:val="24"/>
        </w:rPr>
        <w:t>(0), 1-12. https://doi.org/10.1080/23294515.2022.2110963</w:t>
      </w:r>
    </w:p>
    <w:p w14:paraId="0FB9FBFC" w14:textId="77777777" w:rsidR="00CF1D38" w:rsidRPr="0066099B" w:rsidRDefault="00CF1D38" w:rsidP="00CF1D38">
      <w:pPr>
        <w:pStyle w:val="Bibliografie"/>
        <w:rPr>
          <w:rFonts w:ascii="Times New Roman" w:hAnsi="Times New Roman" w:cs="Times New Roman"/>
          <w:sz w:val="24"/>
          <w:szCs w:val="24"/>
          <w:lang w:val="en-US"/>
        </w:rPr>
      </w:pPr>
      <w:r w:rsidRPr="0066099B">
        <w:rPr>
          <w:rFonts w:ascii="Times New Roman" w:hAnsi="Times New Roman" w:cs="Times New Roman"/>
          <w:sz w:val="24"/>
          <w:szCs w:val="24"/>
        </w:rPr>
        <w:t xml:space="preserve">Gronde, T. van der, Groot, C. A. U., &amp; Pieters, T. (2017). </w:t>
      </w:r>
      <w:r w:rsidRPr="0066099B">
        <w:rPr>
          <w:rFonts w:ascii="Times New Roman" w:hAnsi="Times New Roman" w:cs="Times New Roman"/>
          <w:sz w:val="24"/>
          <w:szCs w:val="24"/>
          <w:lang w:val="en-US"/>
        </w:rPr>
        <w:t xml:space="preserve">Addressing the challenge of high-priced prescription drugs in the era of precision medicine: A systematic review of drug life cycles, therapeutic drug markets and regulatory frameworks. </w:t>
      </w:r>
      <w:r w:rsidRPr="0066099B">
        <w:rPr>
          <w:rFonts w:ascii="Times New Roman" w:hAnsi="Times New Roman" w:cs="Times New Roman"/>
          <w:i/>
          <w:iCs/>
          <w:sz w:val="24"/>
          <w:szCs w:val="24"/>
          <w:lang w:val="en-US"/>
        </w:rPr>
        <w:t>PLOS ONE</w:t>
      </w:r>
      <w:r w:rsidRPr="0066099B">
        <w:rPr>
          <w:rFonts w:ascii="Times New Roman" w:hAnsi="Times New Roman" w:cs="Times New Roman"/>
          <w:sz w:val="24"/>
          <w:szCs w:val="24"/>
          <w:lang w:val="en-US"/>
        </w:rPr>
        <w:t xml:space="preserve">, </w:t>
      </w:r>
      <w:r w:rsidRPr="0066099B">
        <w:rPr>
          <w:rFonts w:ascii="Times New Roman" w:hAnsi="Times New Roman" w:cs="Times New Roman"/>
          <w:i/>
          <w:iCs/>
          <w:sz w:val="24"/>
          <w:szCs w:val="24"/>
          <w:lang w:val="en-US"/>
        </w:rPr>
        <w:t>12</w:t>
      </w:r>
      <w:r w:rsidRPr="0066099B">
        <w:rPr>
          <w:rFonts w:ascii="Times New Roman" w:hAnsi="Times New Roman" w:cs="Times New Roman"/>
          <w:sz w:val="24"/>
          <w:szCs w:val="24"/>
          <w:lang w:val="en-US"/>
        </w:rPr>
        <w:t>(8), e0182613. https://doi.org/10.1371/journal.pone.0182613</w:t>
      </w:r>
    </w:p>
    <w:p w14:paraId="6D04AA24" w14:textId="77777777" w:rsidR="00CF1D38" w:rsidRPr="0066099B" w:rsidRDefault="00CF1D38" w:rsidP="00CF1D38">
      <w:pPr>
        <w:pStyle w:val="Bibliografie"/>
        <w:rPr>
          <w:rFonts w:ascii="Times New Roman" w:hAnsi="Times New Roman" w:cs="Times New Roman"/>
          <w:sz w:val="24"/>
          <w:szCs w:val="24"/>
        </w:rPr>
      </w:pPr>
      <w:r w:rsidRPr="0066099B">
        <w:rPr>
          <w:rFonts w:ascii="Times New Roman" w:hAnsi="Times New Roman" w:cs="Times New Roman"/>
          <w:sz w:val="24"/>
          <w:szCs w:val="24"/>
          <w:lang w:val="en-US"/>
        </w:rPr>
        <w:t xml:space="preserve">Maarse, H., &amp; Bartholomée, Y. (2007). A public–private analysis of the new Dutch health insurance system. </w:t>
      </w:r>
      <w:r w:rsidRPr="0066099B">
        <w:rPr>
          <w:rFonts w:ascii="Times New Roman" w:hAnsi="Times New Roman" w:cs="Times New Roman"/>
          <w:i/>
          <w:iCs/>
          <w:sz w:val="24"/>
          <w:szCs w:val="24"/>
        </w:rPr>
        <w:t>The European Journal of Health Economics</w:t>
      </w:r>
      <w:r w:rsidRPr="0066099B">
        <w:rPr>
          <w:rFonts w:ascii="Times New Roman" w:hAnsi="Times New Roman" w:cs="Times New Roman"/>
          <w:sz w:val="24"/>
          <w:szCs w:val="24"/>
        </w:rPr>
        <w:t xml:space="preserve">, </w:t>
      </w:r>
      <w:r w:rsidRPr="0066099B">
        <w:rPr>
          <w:rFonts w:ascii="Times New Roman" w:hAnsi="Times New Roman" w:cs="Times New Roman"/>
          <w:i/>
          <w:iCs/>
          <w:sz w:val="24"/>
          <w:szCs w:val="24"/>
        </w:rPr>
        <w:t>8</w:t>
      </w:r>
      <w:r w:rsidRPr="0066099B">
        <w:rPr>
          <w:rFonts w:ascii="Times New Roman" w:hAnsi="Times New Roman" w:cs="Times New Roman"/>
          <w:sz w:val="24"/>
          <w:szCs w:val="24"/>
        </w:rPr>
        <w:t>(1), 77-82.</w:t>
      </w:r>
    </w:p>
    <w:p w14:paraId="1E840CEE" w14:textId="6D5344BD" w:rsidR="009D06C9" w:rsidRPr="0059535C" w:rsidRDefault="006C4E52" w:rsidP="0059535C">
      <w:pPr>
        <w:pStyle w:val="Bibliografie"/>
        <w:ind w:left="0" w:firstLine="0"/>
        <w:rPr>
          <w:rFonts w:ascii="Times New Roman" w:hAnsi="Times New Roman" w:cs="Times New Roman"/>
        </w:rPr>
      </w:pPr>
      <w:r w:rsidRPr="0066099B">
        <w:rPr>
          <w:rFonts w:ascii="Times New Roman" w:hAnsi="Times New Roman" w:cs="Times New Roman"/>
          <w:sz w:val="24"/>
          <w:szCs w:val="24"/>
        </w:rPr>
        <w:fldChar w:fldCharType="end"/>
      </w:r>
    </w:p>
    <w:sectPr w:rsidR="009D06C9" w:rsidRPr="0059535C" w:rsidSect="00F133B2">
      <w:endnotePr>
        <w:numFmt w:val="decimal"/>
      </w:endnotePr>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68C8" w14:textId="77777777" w:rsidR="00F133B2" w:rsidRDefault="00F133B2" w:rsidP="00942F44">
      <w:pPr>
        <w:spacing w:after="0" w:line="240" w:lineRule="auto"/>
      </w:pPr>
      <w:r>
        <w:separator/>
      </w:r>
    </w:p>
  </w:endnote>
  <w:endnote w:type="continuationSeparator" w:id="0">
    <w:p w14:paraId="3A3FB930" w14:textId="77777777" w:rsidR="00F133B2" w:rsidRDefault="00F133B2" w:rsidP="00942F44">
      <w:pPr>
        <w:spacing w:after="0" w:line="240" w:lineRule="auto"/>
      </w:pPr>
      <w:r>
        <w:continuationSeparator/>
      </w:r>
    </w:p>
  </w:endnote>
  <w:endnote w:id="1">
    <w:p w14:paraId="4EA49D69" w14:textId="05C7E06B" w:rsidR="0065015A" w:rsidRPr="0059535C" w:rsidRDefault="0065015A">
      <w:pPr>
        <w:pStyle w:val="Eindnoottekst"/>
        <w:rPr>
          <w:rFonts w:ascii="Times New Roman" w:hAnsi="Times New Roman" w:cs="Times New Roman"/>
          <w:sz w:val="24"/>
          <w:szCs w:val="24"/>
          <w:lang w:val="en-US"/>
        </w:rPr>
      </w:pPr>
      <w:r w:rsidRPr="0059535C">
        <w:rPr>
          <w:rStyle w:val="Eindnootmarkering"/>
          <w:rFonts w:ascii="Times New Roman" w:hAnsi="Times New Roman" w:cs="Times New Roman"/>
          <w:sz w:val="24"/>
          <w:szCs w:val="24"/>
        </w:rPr>
        <w:endnoteRef/>
      </w:r>
      <w:r w:rsidRPr="0059535C">
        <w:rPr>
          <w:rFonts w:ascii="Times New Roman" w:hAnsi="Times New Roman" w:cs="Times New Roman"/>
          <w:sz w:val="24"/>
          <w:szCs w:val="24"/>
          <w:lang w:val="en-US"/>
        </w:rPr>
        <w:t xml:space="preserve"> In addition to their legal duty to guarantee care that is included in the benefits package of the basic health insurance.</w:t>
      </w:r>
    </w:p>
  </w:endnote>
  <w:endnote w:id="2">
    <w:p w14:paraId="5EDAEAD3" w14:textId="77777777" w:rsidR="00966DCE" w:rsidRPr="0059535C" w:rsidRDefault="00966DCE" w:rsidP="00966DCE">
      <w:pPr>
        <w:pStyle w:val="Eindnoottekst"/>
        <w:rPr>
          <w:rFonts w:ascii="Times New Roman" w:hAnsi="Times New Roman" w:cs="Times New Roman"/>
          <w:sz w:val="24"/>
          <w:szCs w:val="24"/>
        </w:rPr>
      </w:pPr>
      <w:r w:rsidRPr="0059535C">
        <w:rPr>
          <w:rStyle w:val="Eindnootmarkering"/>
          <w:rFonts w:ascii="Times New Roman" w:hAnsi="Times New Roman" w:cs="Times New Roman"/>
          <w:sz w:val="24"/>
          <w:szCs w:val="24"/>
        </w:rPr>
        <w:endnoteRef/>
      </w:r>
      <w:r w:rsidRPr="0059535C">
        <w:rPr>
          <w:rFonts w:ascii="Times New Roman" w:hAnsi="Times New Roman" w:cs="Times New Roman"/>
          <w:sz w:val="24"/>
          <w:szCs w:val="24"/>
        </w:rPr>
        <w:t xml:space="preserve"> </w:t>
      </w:r>
      <w:r w:rsidRPr="0059535C">
        <w:rPr>
          <w:rFonts w:ascii="Times New Roman" w:hAnsi="Times New Roman" w:cs="Times New Roman"/>
          <w:sz w:val="24"/>
          <w:szCs w:val="24"/>
        </w:rPr>
        <w:fldChar w:fldCharType="begin"/>
      </w:r>
      <w:r w:rsidRPr="0059535C">
        <w:rPr>
          <w:rFonts w:ascii="Times New Roman" w:hAnsi="Times New Roman" w:cs="Times New Roman"/>
          <w:sz w:val="24"/>
          <w:szCs w:val="24"/>
        </w:rPr>
        <w:instrText xml:space="preserve"> ADDIN ZOTERO_ITEM CSL_CITATION {"citationID":"KiEBCDqk","properties":{"formattedCitation":"(Maarse &amp; Bartholom\\uc0\\u233{}e, 2007)","plainCitation":"(Maarse &amp; Bartholomée, 2007)","noteIndex":11},"citationItems":[{"id":4408,"uris":["http://zotero.org/users/864221/items/3VQPLF8D"],"itemData":{"id":4408,"type":"article-journal","container-title":"The European Journal of Health Economics","ISSN":"1618-7598","issue":"1","note":"publisher: Springer","page":"77-82","source":"JSTOR","title":"A public–private analysis of the new Dutch health insurance system","volume":"8","author":[{"family":"Maarse","given":"Hans"},{"family":"Bartholomée","given":"Yvette"}],"issued":{"date-parts":[["2007"]]}}}],"schema":"https://github.com/citation-style-language/schema/raw/master/csl-citation.json"} </w:instrText>
      </w:r>
      <w:r w:rsidRPr="0059535C">
        <w:rPr>
          <w:rFonts w:ascii="Times New Roman" w:hAnsi="Times New Roman" w:cs="Times New Roman"/>
          <w:sz w:val="24"/>
          <w:szCs w:val="24"/>
        </w:rPr>
        <w:fldChar w:fldCharType="separate"/>
      </w:r>
      <w:r w:rsidRPr="0059535C">
        <w:rPr>
          <w:rFonts w:ascii="Times New Roman" w:hAnsi="Times New Roman" w:cs="Times New Roman"/>
          <w:sz w:val="24"/>
          <w:szCs w:val="24"/>
        </w:rPr>
        <w:t xml:space="preserve">(Maarse &amp; </w:t>
      </w:r>
      <w:proofErr w:type="spellStart"/>
      <w:r w:rsidRPr="0059535C">
        <w:rPr>
          <w:rFonts w:ascii="Times New Roman" w:hAnsi="Times New Roman" w:cs="Times New Roman"/>
          <w:sz w:val="24"/>
          <w:szCs w:val="24"/>
        </w:rPr>
        <w:t>Bartholomée</w:t>
      </w:r>
      <w:proofErr w:type="spellEnd"/>
      <w:r w:rsidRPr="0059535C">
        <w:rPr>
          <w:rFonts w:ascii="Times New Roman" w:hAnsi="Times New Roman" w:cs="Times New Roman"/>
          <w:sz w:val="24"/>
          <w:szCs w:val="24"/>
        </w:rPr>
        <w:t>, 2007)</w:t>
      </w:r>
      <w:r w:rsidRPr="0059535C">
        <w:rPr>
          <w:rFonts w:ascii="Times New Roman" w:hAnsi="Times New Roman" w:cs="Times New Roman"/>
          <w:sz w:val="24"/>
          <w:szCs w:val="24"/>
        </w:rPr>
        <w:fldChar w:fldCharType="end"/>
      </w:r>
    </w:p>
  </w:endnote>
  <w:endnote w:id="3">
    <w:p w14:paraId="4A89767B" w14:textId="064FE08A" w:rsidR="00675AAE" w:rsidRPr="0059535C" w:rsidRDefault="00675AAE">
      <w:pPr>
        <w:pStyle w:val="Eindnoottekst"/>
        <w:rPr>
          <w:rFonts w:ascii="Times New Roman" w:hAnsi="Times New Roman" w:cs="Times New Roman"/>
          <w:sz w:val="24"/>
          <w:szCs w:val="24"/>
        </w:rPr>
      </w:pPr>
      <w:r w:rsidRPr="0059535C">
        <w:rPr>
          <w:rStyle w:val="Eindnootmarkering"/>
          <w:rFonts w:ascii="Times New Roman" w:hAnsi="Times New Roman" w:cs="Times New Roman"/>
          <w:sz w:val="24"/>
          <w:szCs w:val="24"/>
        </w:rPr>
        <w:endnoteRef/>
      </w:r>
      <w:r w:rsidRPr="0059535C">
        <w:rPr>
          <w:rFonts w:ascii="Times New Roman" w:hAnsi="Times New Roman" w:cs="Times New Roman"/>
          <w:sz w:val="24"/>
          <w:szCs w:val="24"/>
        </w:rPr>
        <w:t xml:space="preserve"> </w:t>
      </w:r>
      <w:r w:rsidRPr="0059535C">
        <w:rPr>
          <w:rFonts w:ascii="Times New Roman" w:hAnsi="Times New Roman" w:cs="Times New Roman"/>
          <w:sz w:val="24"/>
          <w:szCs w:val="24"/>
        </w:rPr>
        <w:fldChar w:fldCharType="begin"/>
      </w:r>
      <w:r w:rsidRPr="0059535C">
        <w:rPr>
          <w:rFonts w:ascii="Times New Roman" w:hAnsi="Times New Roman" w:cs="Times New Roman"/>
          <w:sz w:val="24"/>
          <w:szCs w:val="24"/>
        </w:rPr>
        <w:instrText xml:space="preserve"> ADDIN ZOTERO_ITEM CSL_CITATION {"citationID":"6HGnVP9z","properties":{"formattedCitation":"(Bomhof et al., 2022)","plainCitation":"(Bomhof et al., 2022)","noteIndex":16},"citationItems":[{"id":6247,"uris":["http://zotero.org/users/864221/items/EKF2VAFC"],"itemData":{"id":6247,"type":"article-journal","abstract":"Background When anti-cancer treatments have been given market authorization, but are not (yet) reimbursed within a healthcare system, physicians are confronted with ethical dilemmas. Arranging access through other channels, e.g., hospital budgets or out-of-pocket payments by patients, may benefit patients, but leads to unequal access. Until now, little is known about the perspectives of physicians on access to non-reimbursed treatments. This interview study maps the experiences and moral views of Dutch oncologists and hematologists.Methods A diverse sample of oncologists and hematologists (n = 22) were interviewed. Interviews were analyzed thematically using Nvivo 12 qualitative data software.Results This study reveals stark differences between physicians’ experiences and moral views on access to anti-cancer treatments that are not (yet) reimbursed: some physicians try to arrange other ways of access and some physicians do not. Some physicians inform patients about anti-cancer treatments that are not yet reimbursed, while others wait for reimbursement. Some physicians have principled moral objections to out-of-pocket payment, while others do not.Conclusion Oncologists and hematologists in the Netherlands differ greatly in their perspectives on access to expensive anti-cancer treatments that are not (yet) reimbursed. As a result, they may act differently when confronted with dilemmas in the consultation room. Physicians working in different healthcare systems may face similar dilemmas.","container-title":"AJOB Empirical Bioethics","DOI":"10.1080/23294515.2022.2110963","ISSN":"2329-4515","issue":"0","note":"publisher: Taylor &amp; Francis\n_eprint: https://doi.org/10.1080/23294515.2022.2110963\nPMID: 36017997","page":"1-12","source":"Taylor and Francis+NEJM","title":"Physicians’ Perspectives on Ethical Issues Regarding Expensive Anti-Cancer Treatments: A Qualitative Study","title-short":"Physicians’ Perspectives on Ethical Issues Regarding Expensive Anti-Cancer Treatments","volume":"0","author":[{"family":"Bomhof","given":"Charlotte H. C."},{"family":"Schermer","given":"Maartje"},{"family":"Sleijfer","given":"Stefan"},{"family":"Bunnik","given":"Eline M."}],"issued":{"date-parts":[["2022",8,26]]}}}],"schema":"https://github.com/citation-style-language/schema/raw/master/csl-citation.json"} </w:instrText>
      </w:r>
      <w:r w:rsidRPr="0059535C">
        <w:rPr>
          <w:rFonts w:ascii="Times New Roman" w:hAnsi="Times New Roman" w:cs="Times New Roman"/>
          <w:sz w:val="24"/>
          <w:szCs w:val="24"/>
        </w:rPr>
        <w:fldChar w:fldCharType="separate"/>
      </w:r>
      <w:r w:rsidRPr="0059535C">
        <w:rPr>
          <w:rFonts w:ascii="Times New Roman" w:hAnsi="Times New Roman" w:cs="Times New Roman"/>
          <w:sz w:val="24"/>
          <w:szCs w:val="24"/>
        </w:rPr>
        <w:t>(Bomhof et al., 2022)</w:t>
      </w:r>
      <w:r w:rsidRPr="0059535C">
        <w:rPr>
          <w:rFonts w:ascii="Times New Roman" w:hAnsi="Times New Roman" w:cs="Times New Roman"/>
          <w:sz w:val="24"/>
          <w:szCs w:val="24"/>
        </w:rPr>
        <w:fldChar w:fldCharType="end"/>
      </w:r>
    </w:p>
  </w:endnote>
  <w:endnote w:id="4">
    <w:p w14:paraId="1B0FB926" w14:textId="46CD1EF9" w:rsidR="00CF1D38" w:rsidRPr="00591406" w:rsidRDefault="00CF1D38">
      <w:pPr>
        <w:pStyle w:val="Eindnoottekst"/>
        <w:rPr>
          <w:rFonts w:ascii="Times New Roman" w:hAnsi="Times New Roman" w:cs="Times New Roman"/>
          <w:i/>
          <w:sz w:val="24"/>
          <w:szCs w:val="24"/>
        </w:rPr>
      </w:pPr>
      <w:r w:rsidRPr="0059535C">
        <w:rPr>
          <w:rStyle w:val="Eindnootmarkering"/>
          <w:rFonts w:ascii="Times New Roman" w:hAnsi="Times New Roman" w:cs="Times New Roman"/>
          <w:sz w:val="24"/>
          <w:szCs w:val="24"/>
        </w:rPr>
        <w:endnoteRef/>
      </w:r>
      <w:r w:rsidR="00591406">
        <w:rPr>
          <w:rFonts w:ascii="Times New Roman" w:hAnsi="Times New Roman" w:cs="Times New Roman"/>
          <w:sz w:val="24"/>
          <w:szCs w:val="24"/>
        </w:rPr>
        <w:t xml:space="preserve"> </w:t>
      </w:r>
      <w:r w:rsidRPr="0059535C">
        <w:rPr>
          <w:rFonts w:ascii="Times New Roman" w:hAnsi="Times New Roman" w:cs="Times New Roman"/>
          <w:sz w:val="24"/>
          <w:szCs w:val="24"/>
        </w:rPr>
        <w:t>https://www.scp.nl/publicaties/monitors/2019/03/29/burgerperspectieven-2019-1 (p47).</w:t>
      </w:r>
      <w:r w:rsidR="00591406">
        <w:rPr>
          <w:rFonts w:ascii="Times New Roman" w:hAnsi="Times New Roman" w:cs="Times New Roman"/>
          <w:sz w:val="24"/>
          <w:szCs w:val="24"/>
        </w:rPr>
        <w:t xml:space="preserve"> </w:t>
      </w:r>
      <w:r w:rsidR="00591406">
        <w:rPr>
          <w:rFonts w:ascii="Times New Roman" w:hAnsi="Times New Roman" w:cs="Times New Roman"/>
          <w:i/>
          <w:sz w:val="24"/>
          <w:szCs w:val="24"/>
        </w:rPr>
        <w:t>(in Dutch)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AD218" w14:textId="77777777" w:rsidR="00F133B2" w:rsidRDefault="00F133B2" w:rsidP="00942F44">
      <w:pPr>
        <w:spacing w:after="0" w:line="240" w:lineRule="auto"/>
      </w:pPr>
      <w:r>
        <w:separator/>
      </w:r>
    </w:p>
  </w:footnote>
  <w:footnote w:type="continuationSeparator" w:id="0">
    <w:p w14:paraId="3C357C4A" w14:textId="77777777" w:rsidR="00F133B2" w:rsidRDefault="00F133B2" w:rsidP="00942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5B3"/>
    <w:multiLevelType w:val="hybridMultilevel"/>
    <w:tmpl w:val="E77C1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635D48"/>
    <w:multiLevelType w:val="hybridMultilevel"/>
    <w:tmpl w:val="FBE65804"/>
    <w:lvl w:ilvl="0" w:tplc="0F2EB2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1F2294"/>
    <w:multiLevelType w:val="hybridMultilevel"/>
    <w:tmpl w:val="F25A07D8"/>
    <w:lvl w:ilvl="0" w:tplc="8B54867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290C96"/>
    <w:multiLevelType w:val="hybridMultilevel"/>
    <w:tmpl w:val="6FFA3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0536DF"/>
    <w:multiLevelType w:val="hybridMultilevel"/>
    <w:tmpl w:val="7A58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1B69FA"/>
    <w:multiLevelType w:val="hybridMultilevel"/>
    <w:tmpl w:val="9384B9D2"/>
    <w:lvl w:ilvl="0" w:tplc="1642390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1B00A0"/>
    <w:multiLevelType w:val="hybridMultilevel"/>
    <w:tmpl w:val="4790B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0466DD"/>
    <w:multiLevelType w:val="hybridMultilevel"/>
    <w:tmpl w:val="8FD42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BF06C1"/>
    <w:multiLevelType w:val="hybridMultilevel"/>
    <w:tmpl w:val="8F38C6B6"/>
    <w:lvl w:ilvl="0" w:tplc="7DD48C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7C45D8"/>
    <w:multiLevelType w:val="hybridMultilevel"/>
    <w:tmpl w:val="547C9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2"/>
  </w:num>
  <w:num w:numId="6">
    <w:abstractNumId w:val="0"/>
  </w:num>
  <w:num w:numId="7">
    <w:abstractNumId w:val="6"/>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32"/>
    <w:rsid w:val="000027B3"/>
    <w:rsid w:val="00005633"/>
    <w:rsid w:val="00014144"/>
    <w:rsid w:val="00027279"/>
    <w:rsid w:val="000275F7"/>
    <w:rsid w:val="00043C96"/>
    <w:rsid w:val="000537AA"/>
    <w:rsid w:val="0008253A"/>
    <w:rsid w:val="00085EF4"/>
    <w:rsid w:val="000C28BB"/>
    <w:rsid w:val="000C581E"/>
    <w:rsid w:val="000F57CE"/>
    <w:rsid w:val="000F7833"/>
    <w:rsid w:val="00103D8A"/>
    <w:rsid w:val="00123DDD"/>
    <w:rsid w:val="001272AB"/>
    <w:rsid w:val="001334AA"/>
    <w:rsid w:val="001367AC"/>
    <w:rsid w:val="001473D0"/>
    <w:rsid w:val="00160F5C"/>
    <w:rsid w:val="00163B17"/>
    <w:rsid w:val="00194517"/>
    <w:rsid w:val="00196047"/>
    <w:rsid w:val="001C71FE"/>
    <w:rsid w:val="001E37B7"/>
    <w:rsid w:val="001E7250"/>
    <w:rsid w:val="001F077F"/>
    <w:rsid w:val="002003CC"/>
    <w:rsid w:val="002541B9"/>
    <w:rsid w:val="00287DD0"/>
    <w:rsid w:val="002B0535"/>
    <w:rsid w:val="002C2EC8"/>
    <w:rsid w:val="002E3020"/>
    <w:rsid w:val="00306828"/>
    <w:rsid w:val="00312E4F"/>
    <w:rsid w:val="0031579E"/>
    <w:rsid w:val="00327E64"/>
    <w:rsid w:val="0033142D"/>
    <w:rsid w:val="00341671"/>
    <w:rsid w:val="0036338F"/>
    <w:rsid w:val="00375CBF"/>
    <w:rsid w:val="0038627B"/>
    <w:rsid w:val="00387A09"/>
    <w:rsid w:val="00387C21"/>
    <w:rsid w:val="003979CD"/>
    <w:rsid w:val="003A7F41"/>
    <w:rsid w:val="003B08F2"/>
    <w:rsid w:val="003B3425"/>
    <w:rsid w:val="003E071B"/>
    <w:rsid w:val="00403E9E"/>
    <w:rsid w:val="00436CB4"/>
    <w:rsid w:val="00451284"/>
    <w:rsid w:val="00453B77"/>
    <w:rsid w:val="00461F43"/>
    <w:rsid w:val="00465F96"/>
    <w:rsid w:val="00466E71"/>
    <w:rsid w:val="004714A5"/>
    <w:rsid w:val="00475C9E"/>
    <w:rsid w:val="004904D5"/>
    <w:rsid w:val="00491952"/>
    <w:rsid w:val="00493520"/>
    <w:rsid w:val="00494928"/>
    <w:rsid w:val="004A6108"/>
    <w:rsid w:val="004C1808"/>
    <w:rsid w:val="004C2913"/>
    <w:rsid w:val="004D7F89"/>
    <w:rsid w:val="004E4AD4"/>
    <w:rsid w:val="004F5827"/>
    <w:rsid w:val="0050317C"/>
    <w:rsid w:val="00511599"/>
    <w:rsid w:val="00515A63"/>
    <w:rsid w:val="00516C6D"/>
    <w:rsid w:val="005201AE"/>
    <w:rsid w:val="005352A8"/>
    <w:rsid w:val="00535AE1"/>
    <w:rsid w:val="00544A55"/>
    <w:rsid w:val="005652D5"/>
    <w:rsid w:val="00565A75"/>
    <w:rsid w:val="00567085"/>
    <w:rsid w:val="005747EF"/>
    <w:rsid w:val="005757A7"/>
    <w:rsid w:val="00581404"/>
    <w:rsid w:val="00582546"/>
    <w:rsid w:val="005834AA"/>
    <w:rsid w:val="00591406"/>
    <w:rsid w:val="00591BA6"/>
    <w:rsid w:val="0059535C"/>
    <w:rsid w:val="00597482"/>
    <w:rsid w:val="005A0749"/>
    <w:rsid w:val="005A7A3C"/>
    <w:rsid w:val="005B4CE4"/>
    <w:rsid w:val="005C36CA"/>
    <w:rsid w:val="005D4C01"/>
    <w:rsid w:val="005D5DEE"/>
    <w:rsid w:val="005E1CFE"/>
    <w:rsid w:val="005E4BE3"/>
    <w:rsid w:val="005E7333"/>
    <w:rsid w:val="005F3E4A"/>
    <w:rsid w:val="0060458E"/>
    <w:rsid w:val="00610CFF"/>
    <w:rsid w:val="00611609"/>
    <w:rsid w:val="00624A81"/>
    <w:rsid w:val="00636B15"/>
    <w:rsid w:val="00636B20"/>
    <w:rsid w:val="0065015A"/>
    <w:rsid w:val="00654763"/>
    <w:rsid w:val="0066099B"/>
    <w:rsid w:val="006659C7"/>
    <w:rsid w:val="00675AAE"/>
    <w:rsid w:val="00684D66"/>
    <w:rsid w:val="00694036"/>
    <w:rsid w:val="006C4E52"/>
    <w:rsid w:val="006C624E"/>
    <w:rsid w:val="006C78FB"/>
    <w:rsid w:val="00700FF1"/>
    <w:rsid w:val="00724180"/>
    <w:rsid w:val="007515BF"/>
    <w:rsid w:val="00751E00"/>
    <w:rsid w:val="007637B2"/>
    <w:rsid w:val="007900EA"/>
    <w:rsid w:val="007A354B"/>
    <w:rsid w:val="007D600E"/>
    <w:rsid w:val="0080779C"/>
    <w:rsid w:val="00835FA4"/>
    <w:rsid w:val="0084319B"/>
    <w:rsid w:val="00846973"/>
    <w:rsid w:val="00847EFE"/>
    <w:rsid w:val="00861171"/>
    <w:rsid w:val="0086155D"/>
    <w:rsid w:val="00877E3F"/>
    <w:rsid w:val="008830E3"/>
    <w:rsid w:val="00886BE2"/>
    <w:rsid w:val="008A6244"/>
    <w:rsid w:val="008D0264"/>
    <w:rsid w:val="008D307D"/>
    <w:rsid w:val="008D5FAA"/>
    <w:rsid w:val="008E0200"/>
    <w:rsid w:val="008E5256"/>
    <w:rsid w:val="00901713"/>
    <w:rsid w:val="009236F3"/>
    <w:rsid w:val="00923D17"/>
    <w:rsid w:val="00925BC9"/>
    <w:rsid w:val="00942F44"/>
    <w:rsid w:val="0094415F"/>
    <w:rsid w:val="0094750B"/>
    <w:rsid w:val="00954605"/>
    <w:rsid w:val="0096032A"/>
    <w:rsid w:val="00964788"/>
    <w:rsid w:val="00966DCE"/>
    <w:rsid w:val="00994ABB"/>
    <w:rsid w:val="009B66A9"/>
    <w:rsid w:val="009C2445"/>
    <w:rsid w:val="009C2688"/>
    <w:rsid w:val="009D06C9"/>
    <w:rsid w:val="009D1599"/>
    <w:rsid w:val="009F1F29"/>
    <w:rsid w:val="009F57ED"/>
    <w:rsid w:val="00A22F7E"/>
    <w:rsid w:val="00A513DD"/>
    <w:rsid w:val="00A53162"/>
    <w:rsid w:val="00A55F61"/>
    <w:rsid w:val="00A56A32"/>
    <w:rsid w:val="00A57076"/>
    <w:rsid w:val="00A85F08"/>
    <w:rsid w:val="00AB4237"/>
    <w:rsid w:val="00AD0870"/>
    <w:rsid w:val="00B16C34"/>
    <w:rsid w:val="00B33A4C"/>
    <w:rsid w:val="00B3640A"/>
    <w:rsid w:val="00B47B56"/>
    <w:rsid w:val="00B50D6C"/>
    <w:rsid w:val="00B563ED"/>
    <w:rsid w:val="00B913AA"/>
    <w:rsid w:val="00BC0433"/>
    <w:rsid w:val="00BC3AD9"/>
    <w:rsid w:val="00BC4498"/>
    <w:rsid w:val="00BC7546"/>
    <w:rsid w:val="00BE05A7"/>
    <w:rsid w:val="00BE1156"/>
    <w:rsid w:val="00BE5F0C"/>
    <w:rsid w:val="00BF04EC"/>
    <w:rsid w:val="00C07386"/>
    <w:rsid w:val="00C1080E"/>
    <w:rsid w:val="00C22507"/>
    <w:rsid w:val="00C241D7"/>
    <w:rsid w:val="00C31AF3"/>
    <w:rsid w:val="00C36B48"/>
    <w:rsid w:val="00C36F48"/>
    <w:rsid w:val="00C46CFC"/>
    <w:rsid w:val="00C64FE6"/>
    <w:rsid w:val="00C71E81"/>
    <w:rsid w:val="00C82BF6"/>
    <w:rsid w:val="00CD3C7D"/>
    <w:rsid w:val="00CD4371"/>
    <w:rsid w:val="00CD5C1A"/>
    <w:rsid w:val="00CE34B7"/>
    <w:rsid w:val="00CF19E4"/>
    <w:rsid w:val="00CF1D38"/>
    <w:rsid w:val="00CF37DF"/>
    <w:rsid w:val="00D01C46"/>
    <w:rsid w:val="00D03AB9"/>
    <w:rsid w:val="00D100DC"/>
    <w:rsid w:val="00D1645E"/>
    <w:rsid w:val="00D25E30"/>
    <w:rsid w:val="00D27887"/>
    <w:rsid w:val="00D45056"/>
    <w:rsid w:val="00D548F1"/>
    <w:rsid w:val="00D60A22"/>
    <w:rsid w:val="00D6351F"/>
    <w:rsid w:val="00D709D1"/>
    <w:rsid w:val="00D924BF"/>
    <w:rsid w:val="00D96755"/>
    <w:rsid w:val="00DC2C6C"/>
    <w:rsid w:val="00DC3F59"/>
    <w:rsid w:val="00DE661D"/>
    <w:rsid w:val="00DF2D56"/>
    <w:rsid w:val="00DF6614"/>
    <w:rsid w:val="00DF6644"/>
    <w:rsid w:val="00E129DC"/>
    <w:rsid w:val="00E1350D"/>
    <w:rsid w:val="00E13DED"/>
    <w:rsid w:val="00E17A8C"/>
    <w:rsid w:val="00E27553"/>
    <w:rsid w:val="00E57D19"/>
    <w:rsid w:val="00E86061"/>
    <w:rsid w:val="00E916CB"/>
    <w:rsid w:val="00EC092C"/>
    <w:rsid w:val="00EC1022"/>
    <w:rsid w:val="00EC2B87"/>
    <w:rsid w:val="00EC7502"/>
    <w:rsid w:val="00ED21F5"/>
    <w:rsid w:val="00ED2C1D"/>
    <w:rsid w:val="00F003FD"/>
    <w:rsid w:val="00F133B2"/>
    <w:rsid w:val="00F200F6"/>
    <w:rsid w:val="00F2612F"/>
    <w:rsid w:val="00F4010A"/>
    <w:rsid w:val="00F60734"/>
    <w:rsid w:val="00F637A2"/>
    <w:rsid w:val="00F8771D"/>
    <w:rsid w:val="00F92D6B"/>
    <w:rsid w:val="00FC68AE"/>
    <w:rsid w:val="00FD127A"/>
    <w:rsid w:val="00FE167B"/>
    <w:rsid w:val="00FE2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9BB9"/>
  <w15:chartTrackingRefBased/>
  <w15:docId w15:val="{3B604004-6E8F-4ABA-BB2B-9E7B401A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275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904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90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42F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2F44"/>
    <w:rPr>
      <w:sz w:val="20"/>
      <w:szCs w:val="20"/>
    </w:rPr>
  </w:style>
  <w:style w:type="character" w:styleId="Voetnootmarkering">
    <w:name w:val="footnote reference"/>
    <w:basedOn w:val="Standaardalinea-lettertype"/>
    <w:uiPriority w:val="99"/>
    <w:semiHidden/>
    <w:unhideWhenUsed/>
    <w:rsid w:val="00942F44"/>
    <w:rPr>
      <w:vertAlign w:val="superscript"/>
    </w:rPr>
  </w:style>
  <w:style w:type="paragraph" w:styleId="Lijstalinea">
    <w:name w:val="List Paragraph"/>
    <w:basedOn w:val="Standaard"/>
    <w:uiPriority w:val="34"/>
    <w:qFormat/>
    <w:rsid w:val="00636B20"/>
    <w:pPr>
      <w:ind w:left="720"/>
      <w:contextualSpacing/>
    </w:pPr>
  </w:style>
  <w:style w:type="paragraph" w:styleId="Revisie">
    <w:name w:val="Revision"/>
    <w:hidden/>
    <w:uiPriority w:val="99"/>
    <w:semiHidden/>
    <w:rsid w:val="00CD4371"/>
    <w:pPr>
      <w:spacing w:after="0" w:line="240" w:lineRule="auto"/>
    </w:pPr>
  </w:style>
  <w:style w:type="character" w:styleId="Verwijzingopmerking">
    <w:name w:val="annotation reference"/>
    <w:basedOn w:val="Standaardalinea-lettertype"/>
    <w:uiPriority w:val="99"/>
    <w:semiHidden/>
    <w:unhideWhenUsed/>
    <w:rsid w:val="00CD4371"/>
    <w:rPr>
      <w:sz w:val="16"/>
      <w:szCs w:val="16"/>
    </w:rPr>
  </w:style>
  <w:style w:type="paragraph" w:styleId="Tekstopmerking">
    <w:name w:val="annotation text"/>
    <w:basedOn w:val="Standaard"/>
    <w:link w:val="TekstopmerkingChar"/>
    <w:uiPriority w:val="99"/>
    <w:unhideWhenUsed/>
    <w:rsid w:val="00CD4371"/>
    <w:pPr>
      <w:spacing w:line="240" w:lineRule="auto"/>
    </w:pPr>
    <w:rPr>
      <w:sz w:val="20"/>
      <w:szCs w:val="20"/>
    </w:rPr>
  </w:style>
  <w:style w:type="character" w:customStyle="1" w:styleId="TekstopmerkingChar">
    <w:name w:val="Tekst opmerking Char"/>
    <w:basedOn w:val="Standaardalinea-lettertype"/>
    <w:link w:val="Tekstopmerking"/>
    <w:uiPriority w:val="99"/>
    <w:rsid w:val="00CD4371"/>
    <w:rPr>
      <w:sz w:val="20"/>
      <w:szCs w:val="20"/>
    </w:rPr>
  </w:style>
  <w:style w:type="paragraph" w:styleId="Onderwerpvanopmerking">
    <w:name w:val="annotation subject"/>
    <w:basedOn w:val="Tekstopmerking"/>
    <w:next w:val="Tekstopmerking"/>
    <w:link w:val="OnderwerpvanopmerkingChar"/>
    <w:uiPriority w:val="99"/>
    <w:semiHidden/>
    <w:unhideWhenUsed/>
    <w:rsid w:val="00CD4371"/>
    <w:rPr>
      <w:b/>
      <w:bCs/>
    </w:rPr>
  </w:style>
  <w:style w:type="character" w:customStyle="1" w:styleId="OnderwerpvanopmerkingChar">
    <w:name w:val="Onderwerp van opmerking Char"/>
    <w:basedOn w:val="TekstopmerkingChar"/>
    <w:link w:val="Onderwerpvanopmerking"/>
    <w:uiPriority w:val="99"/>
    <w:semiHidden/>
    <w:rsid w:val="00CD4371"/>
    <w:rPr>
      <w:b/>
      <w:bCs/>
      <w:sz w:val="20"/>
      <w:szCs w:val="20"/>
    </w:rPr>
  </w:style>
  <w:style w:type="paragraph" w:styleId="Ballontekst">
    <w:name w:val="Balloon Text"/>
    <w:basedOn w:val="Standaard"/>
    <w:link w:val="BallontekstChar"/>
    <w:uiPriority w:val="99"/>
    <w:semiHidden/>
    <w:unhideWhenUsed/>
    <w:rsid w:val="004949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4928"/>
    <w:rPr>
      <w:rFonts w:ascii="Segoe UI" w:hAnsi="Segoe UI" w:cs="Segoe UI"/>
      <w:sz w:val="18"/>
      <w:szCs w:val="18"/>
    </w:rPr>
  </w:style>
  <w:style w:type="character" w:styleId="Hyperlink">
    <w:name w:val="Hyperlink"/>
    <w:basedOn w:val="Standaardalinea-lettertype"/>
    <w:uiPriority w:val="99"/>
    <w:unhideWhenUsed/>
    <w:rsid w:val="009F1F29"/>
    <w:rPr>
      <w:color w:val="0563C1" w:themeColor="hyperlink"/>
      <w:u w:val="single"/>
    </w:rPr>
  </w:style>
  <w:style w:type="character" w:customStyle="1" w:styleId="UnresolvedMention1">
    <w:name w:val="Unresolved Mention1"/>
    <w:basedOn w:val="Standaardalinea-lettertype"/>
    <w:uiPriority w:val="99"/>
    <w:semiHidden/>
    <w:unhideWhenUsed/>
    <w:rsid w:val="009F1F29"/>
    <w:rPr>
      <w:color w:val="605E5C"/>
      <w:shd w:val="clear" w:color="auto" w:fill="E1DFDD"/>
    </w:rPr>
  </w:style>
  <w:style w:type="paragraph" w:styleId="Eindnoottekst">
    <w:name w:val="endnote text"/>
    <w:basedOn w:val="Standaard"/>
    <w:link w:val="EindnoottekstChar"/>
    <w:uiPriority w:val="99"/>
    <w:semiHidden/>
    <w:unhideWhenUsed/>
    <w:rsid w:val="00123DD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23DDD"/>
    <w:rPr>
      <w:sz w:val="20"/>
      <w:szCs w:val="20"/>
    </w:rPr>
  </w:style>
  <w:style w:type="character" w:styleId="Eindnootmarkering">
    <w:name w:val="endnote reference"/>
    <w:basedOn w:val="Standaardalinea-lettertype"/>
    <w:uiPriority w:val="99"/>
    <w:semiHidden/>
    <w:unhideWhenUsed/>
    <w:rsid w:val="00123DDD"/>
    <w:rPr>
      <w:vertAlign w:val="superscript"/>
    </w:rPr>
  </w:style>
  <w:style w:type="character" w:customStyle="1" w:styleId="Kop2Char">
    <w:name w:val="Kop 2 Char"/>
    <w:basedOn w:val="Standaardalinea-lettertype"/>
    <w:link w:val="Kop2"/>
    <w:uiPriority w:val="9"/>
    <w:rsid w:val="004904D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904D5"/>
    <w:rPr>
      <w:rFonts w:asciiTheme="majorHAnsi" w:eastAsiaTheme="majorEastAsia" w:hAnsiTheme="majorHAnsi" w:cstheme="majorBidi"/>
      <w:color w:val="1F3763" w:themeColor="accent1" w:themeShade="7F"/>
      <w:sz w:val="24"/>
      <w:szCs w:val="24"/>
    </w:rPr>
  </w:style>
  <w:style w:type="paragraph" w:styleId="Bibliografie">
    <w:name w:val="Bibliography"/>
    <w:basedOn w:val="Standaard"/>
    <w:next w:val="Standaard"/>
    <w:uiPriority w:val="37"/>
    <w:unhideWhenUsed/>
    <w:rsid w:val="006C4E52"/>
    <w:pPr>
      <w:spacing w:after="0" w:line="480" w:lineRule="auto"/>
      <w:ind w:left="720" w:hanging="720"/>
    </w:pPr>
  </w:style>
  <w:style w:type="character" w:customStyle="1" w:styleId="Kop1Char">
    <w:name w:val="Kop 1 Char"/>
    <w:basedOn w:val="Standaardalinea-lettertype"/>
    <w:link w:val="Kop1"/>
    <w:uiPriority w:val="9"/>
    <w:rsid w:val="000275F7"/>
    <w:rPr>
      <w:rFonts w:asciiTheme="majorHAnsi" w:eastAsiaTheme="majorEastAsia" w:hAnsiTheme="majorHAnsi" w:cstheme="majorBidi"/>
      <w:color w:val="2F5496" w:themeColor="accent1" w:themeShade="BF"/>
      <w:sz w:val="32"/>
      <w:szCs w:val="32"/>
    </w:rPr>
  </w:style>
  <w:style w:type="paragraph" w:styleId="Bijschrift">
    <w:name w:val="caption"/>
    <w:basedOn w:val="Standaard"/>
    <w:next w:val="Standaard"/>
    <w:uiPriority w:val="35"/>
    <w:unhideWhenUsed/>
    <w:qFormat/>
    <w:rsid w:val="000275F7"/>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9D06C9"/>
    <w:pPr>
      <w:outlineLvl w:val="9"/>
    </w:pPr>
    <w:rPr>
      <w:lang w:val="en-US"/>
    </w:rPr>
  </w:style>
  <w:style w:type="paragraph" w:styleId="Inhopg1">
    <w:name w:val="toc 1"/>
    <w:basedOn w:val="Standaard"/>
    <w:next w:val="Standaard"/>
    <w:autoRedefine/>
    <w:uiPriority w:val="39"/>
    <w:unhideWhenUsed/>
    <w:rsid w:val="009D06C9"/>
    <w:pPr>
      <w:spacing w:after="100"/>
    </w:pPr>
  </w:style>
  <w:style w:type="paragraph" w:styleId="Inhopg3">
    <w:name w:val="toc 3"/>
    <w:basedOn w:val="Standaard"/>
    <w:next w:val="Standaard"/>
    <w:autoRedefine/>
    <w:uiPriority w:val="39"/>
    <w:unhideWhenUsed/>
    <w:rsid w:val="009D06C9"/>
    <w:pPr>
      <w:spacing w:after="100"/>
      <w:ind w:left="440"/>
    </w:pPr>
  </w:style>
  <w:style w:type="character" w:styleId="GevolgdeHyperlink">
    <w:name w:val="FollowedHyperlink"/>
    <w:basedOn w:val="Standaardalinea-lettertype"/>
    <w:uiPriority w:val="99"/>
    <w:semiHidden/>
    <w:unhideWhenUsed/>
    <w:rsid w:val="002003CC"/>
    <w:rPr>
      <w:color w:val="954F72" w:themeColor="followedHyperlink"/>
      <w:u w:val="single"/>
    </w:rPr>
  </w:style>
  <w:style w:type="paragraph" w:styleId="Normaalweb">
    <w:name w:val="Normal (Web)"/>
    <w:basedOn w:val="Standaard"/>
    <w:uiPriority w:val="99"/>
    <w:semiHidden/>
    <w:unhideWhenUsed/>
    <w:rsid w:val="00403E9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61F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F43"/>
  </w:style>
  <w:style w:type="paragraph" w:styleId="Voettekst">
    <w:name w:val="footer"/>
    <w:basedOn w:val="Standaard"/>
    <w:link w:val="VoettekstChar"/>
    <w:uiPriority w:val="99"/>
    <w:unhideWhenUsed/>
    <w:rsid w:val="00461F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853E-A0D0-4892-910E-3D8D6C70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5959</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Jilles Smids</dc:creator>
  <cp:keywords/>
  <dc:description/>
  <cp:lastModifiedBy>Charlotte Bomhof</cp:lastModifiedBy>
  <cp:revision>2</cp:revision>
  <cp:lastPrinted>2023-02-06T13:23:00Z</cp:lastPrinted>
  <dcterms:created xsi:type="dcterms:W3CDTF">2024-01-18T11:40:00Z</dcterms:created>
  <dcterms:modified xsi:type="dcterms:W3CDTF">2024-01-18T11:40:00Z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id="jwC9cNBk"/&gt;&lt;style id="http://www.zotero.org/styles/apa" locale="nl-NL" hasBibliography="1" bibliographyStyleHasBeenSet="1"/&gt;&lt;prefs&gt;&lt;pref name="fieldType" value="Field"/&gt;&lt;/prefs&gt;&lt;/data&gt;</vt:lpwstr>
  </property>
</Properties>
</file>