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5A56" w14:textId="77777777" w:rsidR="00E76D02" w:rsidRPr="00446052" w:rsidRDefault="00E76D02" w:rsidP="00E76D02">
      <w:pPr>
        <w:rPr>
          <w:rFonts w:eastAsia="MS Mincho"/>
          <w:sz w:val="20"/>
          <w:szCs w:val="20"/>
          <w:lang w:val="en-GB"/>
        </w:rPr>
      </w:pPr>
      <w:r w:rsidRPr="00446052">
        <w:rPr>
          <w:b/>
          <w:bCs/>
          <w:lang w:val="en-GB"/>
        </w:rPr>
        <w:t>Supplementary table 1.</w:t>
      </w:r>
      <w:r w:rsidRPr="00446052">
        <w:rPr>
          <w:lang w:val="en-GB"/>
        </w:rPr>
        <w:t xml:space="preserve"> Odds ratios and 95% CI for cause of death for dog owners compared with non-dog owners according to age quarters. Presented for cardiovascular disease (CVD) versus all other causes and cancer versus all other causes respectively. </w:t>
      </w:r>
    </w:p>
    <w:tbl>
      <w:tblPr>
        <w:tblStyle w:val="Tabellrutnt"/>
        <w:tblW w:w="0" w:type="auto"/>
        <w:tblBorders>
          <w:top w:val="none" w:sz="0" w:space="0" w:color="auto"/>
          <w:left w:val="none" w:sz="0" w:space="0" w:color="auto"/>
          <w:bottom w:val="none" w:sz="0" w:space="0" w:color="auto"/>
          <w:right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38"/>
        <w:gridCol w:w="1142"/>
        <w:gridCol w:w="1417"/>
        <w:gridCol w:w="851"/>
        <w:gridCol w:w="1417"/>
        <w:gridCol w:w="993"/>
        <w:gridCol w:w="1559"/>
        <w:gridCol w:w="850"/>
        <w:gridCol w:w="1701"/>
        <w:gridCol w:w="851"/>
        <w:gridCol w:w="1564"/>
        <w:gridCol w:w="765"/>
      </w:tblGrid>
      <w:tr w:rsidR="00E76D02" w:rsidRPr="00446052" w14:paraId="511ECFD2" w14:textId="77777777" w:rsidTr="003502A5">
        <w:tc>
          <w:tcPr>
            <w:tcW w:w="1980" w:type="dxa"/>
            <w:gridSpan w:val="2"/>
            <w:vMerge w:val="restart"/>
            <w:hideMark/>
          </w:tcPr>
          <w:p w14:paraId="6C548EC6" w14:textId="77777777" w:rsidR="00E76D02" w:rsidRPr="00446052" w:rsidRDefault="00E76D02" w:rsidP="003502A5">
            <w:pPr>
              <w:pStyle w:val="Tabell"/>
              <w:rPr>
                <w:rFonts w:eastAsiaTheme="minorHAnsi"/>
                <w:lang w:val="en-GB"/>
              </w:rPr>
            </w:pPr>
            <w:r w:rsidRPr="00446052">
              <w:rPr>
                <w:rFonts w:eastAsiaTheme="minorHAnsi"/>
                <w:lang w:val="en-GB"/>
              </w:rPr>
              <w:t> </w:t>
            </w:r>
          </w:p>
        </w:tc>
        <w:tc>
          <w:tcPr>
            <w:tcW w:w="9639" w:type="dxa"/>
            <w:gridSpan w:val="8"/>
            <w:hideMark/>
          </w:tcPr>
          <w:p w14:paraId="02F6339A" w14:textId="77777777" w:rsidR="00E76D02" w:rsidRPr="00446052" w:rsidRDefault="00E76D02" w:rsidP="003502A5">
            <w:pPr>
              <w:pStyle w:val="Tabell"/>
              <w:rPr>
                <w:rFonts w:eastAsiaTheme="minorHAnsi"/>
                <w:b/>
                <w:bCs/>
                <w:lang w:val="en-GB"/>
              </w:rPr>
            </w:pPr>
            <w:r w:rsidRPr="00446052">
              <w:rPr>
                <w:rFonts w:eastAsiaTheme="minorHAnsi"/>
                <w:b/>
                <w:bCs/>
                <w:lang w:val="en-GB"/>
              </w:rPr>
              <w:t>Age at diabetes diagnosis, quarters</w:t>
            </w:r>
          </w:p>
        </w:tc>
        <w:tc>
          <w:tcPr>
            <w:tcW w:w="2329" w:type="dxa"/>
            <w:gridSpan w:val="2"/>
            <w:vMerge w:val="restart"/>
          </w:tcPr>
          <w:p w14:paraId="3A263D30" w14:textId="77777777" w:rsidR="00E76D02" w:rsidRPr="00446052" w:rsidRDefault="00E76D02" w:rsidP="003502A5">
            <w:pPr>
              <w:pStyle w:val="Tabell"/>
              <w:rPr>
                <w:b/>
                <w:bCs/>
                <w:lang w:val="en-GB"/>
              </w:rPr>
            </w:pPr>
            <w:r w:rsidRPr="00446052">
              <w:rPr>
                <w:b/>
                <w:bCs/>
                <w:lang w:val="en-GB"/>
              </w:rPr>
              <w:t>All patients,</w:t>
            </w:r>
          </w:p>
          <w:p w14:paraId="680634A7" w14:textId="77777777" w:rsidR="00E76D02" w:rsidRPr="00446052" w:rsidRDefault="00E76D02" w:rsidP="003502A5">
            <w:pPr>
              <w:pStyle w:val="Tabell"/>
              <w:rPr>
                <w:rFonts w:eastAsiaTheme="minorHAnsi"/>
                <w:b/>
                <w:bCs/>
                <w:lang w:val="en-GB"/>
              </w:rPr>
            </w:pPr>
            <w:r w:rsidRPr="00446052">
              <w:rPr>
                <w:lang w:val="en-GB"/>
              </w:rPr>
              <w:t>N = 18,943</w:t>
            </w:r>
          </w:p>
        </w:tc>
      </w:tr>
      <w:tr w:rsidR="00E76D02" w:rsidRPr="00446052" w14:paraId="1073E421" w14:textId="77777777" w:rsidTr="003502A5">
        <w:tc>
          <w:tcPr>
            <w:tcW w:w="1980" w:type="dxa"/>
            <w:gridSpan w:val="2"/>
            <w:vMerge/>
            <w:hideMark/>
          </w:tcPr>
          <w:p w14:paraId="26178D5F" w14:textId="77777777" w:rsidR="00E76D02" w:rsidRPr="00446052" w:rsidRDefault="00E76D02" w:rsidP="003502A5">
            <w:pPr>
              <w:pStyle w:val="Tabell"/>
              <w:rPr>
                <w:lang w:val="en-GB"/>
              </w:rPr>
            </w:pPr>
          </w:p>
        </w:tc>
        <w:tc>
          <w:tcPr>
            <w:tcW w:w="2268" w:type="dxa"/>
            <w:gridSpan w:val="2"/>
            <w:hideMark/>
          </w:tcPr>
          <w:p w14:paraId="7097466E" w14:textId="77777777" w:rsidR="00E76D02" w:rsidRPr="00446052" w:rsidRDefault="00E76D02" w:rsidP="003502A5">
            <w:pPr>
              <w:pStyle w:val="Tabell"/>
              <w:rPr>
                <w:rFonts w:eastAsiaTheme="minorHAnsi"/>
                <w:b/>
                <w:bCs/>
                <w:lang w:val="en-GB"/>
              </w:rPr>
            </w:pPr>
            <w:r w:rsidRPr="00446052">
              <w:rPr>
                <w:rFonts w:eastAsiaTheme="minorHAnsi"/>
                <w:b/>
                <w:bCs/>
                <w:lang w:val="en-GB"/>
              </w:rPr>
              <w:t>1</w:t>
            </w:r>
            <w:r w:rsidRPr="00446052">
              <w:rPr>
                <w:rFonts w:eastAsiaTheme="minorHAnsi"/>
                <w:b/>
                <w:bCs/>
                <w:vertAlign w:val="superscript"/>
                <w:lang w:val="en-GB"/>
              </w:rPr>
              <w:t>st</w:t>
            </w:r>
            <w:r w:rsidRPr="00446052">
              <w:rPr>
                <w:rFonts w:eastAsiaTheme="minorHAnsi"/>
                <w:b/>
                <w:bCs/>
                <w:lang w:val="en-GB"/>
              </w:rPr>
              <w:t xml:space="preserve"> (21 – 54 y),</w:t>
            </w:r>
          </w:p>
          <w:p w14:paraId="7675F0C1" w14:textId="77777777" w:rsidR="00E76D02" w:rsidRPr="00446052" w:rsidRDefault="00E76D02" w:rsidP="003502A5">
            <w:pPr>
              <w:pStyle w:val="Tabell"/>
              <w:rPr>
                <w:rFonts w:eastAsiaTheme="minorHAnsi"/>
                <w:lang w:val="en-GB"/>
              </w:rPr>
            </w:pPr>
            <w:r w:rsidRPr="00446052">
              <w:rPr>
                <w:rFonts w:eastAsiaTheme="minorHAnsi"/>
                <w:lang w:val="en-GB"/>
              </w:rPr>
              <w:t>n = 924</w:t>
            </w:r>
          </w:p>
        </w:tc>
        <w:tc>
          <w:tcPr>
            <w:tcW w:w="2410" w:type="dxa"/>
            <w:gridSpan w:val="2"/>
            <w:hideMark/>
          </w:tcPr>
          <w:p w14:paraId="25A213A0" w14:textId="77777777" w:rsidR="00E76D02" w:rsidRPr="00446052" w:rsidRDefault="00E76D02" w:rsidP="003502A5">
            <w:pPr>
              <w:pStyle w:val="Tabell"/>
              <w:rPr>
                <w:rFonts w:eastAsiaTheme="minorHAnsi"/>
                <w:b/>
                <w:bCs/>
                <w:lang w:val="en-GB"/>
              </w:rPr>
            </w:pPr>
            <w:r w:rsidRPr="00446052">
              <w:rPr>
                <w:rFonts w:eastAsiaTheme="minorHAnsi"/>
                <w:b/>
                <w:bCs/>
                <w:lang w:val="en-GB"/>
              </w:rPr>
              <w:t>2</w:t>
            </w:r>
            <w:r w:rsidRPr="00446052">
              <w:rPr>
                <w:rFonts w:eastAsiaTheme="minorHAnsi"/>
                <w:b/>
                <w:bCs/>
                <w:vertAlign w:val="superscript"/>
                <w:lang w:val="en-GB"/>
              </w:rPr>
              <w:t>nd</w:t>
            </w:r>
            <w:r w:rsidRPr="00446052">
              <w:rPr>
                <w:rFonts w:eastAsiaTheme="minorHAnsi"/>
                <w:b/>
                <w:bCs/>
                <w:lang w:val="en-GB"/>
              </w:rPr>
              <w:t xml:space="preserve"> (54 – 63 y),</w:t>
            </w:r>
          </w:p>
          <w:p w14:paraId="55D7B02C" w14:textId="77777777" w:rsidR="00E76D02" w:rsidRPr="00446052" w:rsidRDefault="00E76D02" w:rsidP="003502A5">
            <w:pPr>
              <w:pStyle w:val="Tabell"/>
              <w:rPr>
                <w:rFonts w:eastAsiaTheme="minorHAnsi"/>
                <w:lang w:val="en-GB"/>
              </w:rPr>
            </w:pPr>
            <w:r w:rsidRPr="00446052">
              <w:rPr>
                <w:rFonts w:eastAsiaTheme="minorHAnsi"/>
                <w:lang w:val="en-GB"/>
              </w:rPr>
              <w:t>n = 2543</w:t>
            </w:r>
          </w:p>
        </w:tc>
        <w:tc>
          <w:tcPr>
            <w:tcW w:w="2409" w:type="dxa"/>
            <w:gridSpan w:val="2"/>
            <w:hideMark/>
          </w:tcPr>
          <w:p w14:paraId="4E8E7A06" w14:textId="77777777" w:rsidR="00E76D02" w:rsidRPr="00446052" w:rsidRDefault="00E76D02" w:rsidP="003502A5">
            <w:pPr>
              <w:pStyle w:val="Tabell"/>
              <w:rPr>
                <w:rFonts w:eastAsiaTheme="minorHAnsi"/>
                <w:b/>
                <w:bCs/>
                <w:lang w:val="en-GB"/>
              </w:rPr>
            </w:pPr>
            <w:r w:rsidRPr="00446052">
              <w:rPr>
                <w:rFonts w:eastAsiaTheme="minorHAnsi"/>
                <w:b/>
                <w:bCs/>
                <w:lang w:val="en-GB"/>
              </w:rPr>
              <w:t>3</w:t>
            </w:r>
            <w:r w:rsidRPr="00446052">
              <w:rPr>
                <w:rFonts w:eastAsiaTheme="minorHAnsi"/>
                <w:b/>
                <w:bCs/>
                <w:vertAlign w:val="superscript"/>
                <w:lang w:val="en-GB"/>
              </w:rPr>
              <w:t>rd</w:t>
            </w:r>
            <w:r w:rsidRPr="00446052">
              <w:rPr>
                <w:rFonts w:eastAsiaTheme="minorHAnsi"/>
                <w:b/>
                <w:bCs/>
                <w:lang w:val="en-GB"/>
              </w:rPr>
              <w:t xml:space="preserve"> (63 – 72 y),</w:t>
            </w:r>
          </w:p>
          <w:p w14:paraId="4AEC238D" w14:textId="77777777" w:rsidR="00E76D02" w:rsidRPr="00446052" w:rsidRDefault="00E76D02" w:rsidP="003502A5">
            <w:pPr>
              <w:pStyle w:val="Tabell"/>
              <w:rPr>
                <w:rFonts w:eastAsiaTheme="minorHAnsi"/>
                <w:lang w:val="en-GB"/>
              </w:rPr>
            </w:pPr>
            <w:r w:rsidRPr="00446052">
              <w:rPr>
                <w:rFonts w:eastAsiaTheme="minorHAnsi"/>
                <w:lang w:val="en-GB"/>
              </w:rPr>
              <w:t>n = 4308</w:t>
            </w:r>
          </w:p>
        </w:tc>
        <w:tc>
          <w:tcPr>
            <w:tcW w:w="2552" w:type="dxa"/>
            <w:gridSpan w:val="2"/>
            <w:hideMark/>
          </w:tcPr>
          <w:p w14:paraId="601CBD39" w14:textId="77777777" w:rsidR="00E76D02" w:rsidRPr="00446052" w:rsidRDefault="00E76D02" w:rsidP="003502A5">
            <w:pPr>
              <w:pStyle w:val="Tabell"/>
              <w:rPr>
                <w:rFonts w:eastAsiaTheme="minorHAnsi"/>
                <w:b/>
                <w:bCs/>
                <w:lang w:val="en-GB"/>
              </w:rPr>
            </w:pPr>
            <w:r w:rsidRPr="00446052">
              <w:rPr>
                <w:rFonts w:eastAsiaTheme="minorHAnsi"/>
                <w:b/>
                <w:bCs/>
                <w:lang w:val="en-GB"/>
              </w:rPr>
              <w:t>4</w:t>
            </w:r>
            <w:r w:rsidRPr="00446052">
              <w:rPr>
                <w:rFonts w:eastAsiaTheme="minorHAnsi"/>
                <w:b/>
                <w:bCs/>
                <w:vertAlign w:val="superscript"/>
                <w:lang w:val="en-GB"/>
              </w:rPr>
              <w:t>th</w:t>
            </w:r>
            <w:r w:rsidRPr="00446052">
              <w:rPr>
                <w:rFonts w:eastAsiaTheme="minorHAnsi"/>
                <w:b/>
                <w:bCs/>
                <w:lang w:val="en-GB"/>
              </w:rPr>
              <w:t xml:space="preserve"> (72 – 103 y),</w:t>
            </w:r>
          </w:p>
          <w:p w14:paraId="49942E37" w14:textId="77777777" w:rsidR="00E76D02" w:rsidRPr="00446052" w:rsidRDefault="00E76D02" w:rsidP="003502A5">
            <w:pPr>
              <w:pStyle w:val="Tabell"/>
              <w:rPr>
                <w:rFonts w:eastAsiaTheme="minorHAnsi"/>
                <w:lang w:val="en-GB"/>
              </w:rPr>
            </w:pPr>
            <w:r w:rsidRPr="00446052">
              <w:rPr>
                <w:rFonts w:eastAsiaTheme="minorHAnsi"/>
                <w:lang w:val="en-GB"/>
              </w:rPr>
              <w:t>n = 11,168</w:t>
            </w:r>
          </w:p>
        </w:tc>
        <w:tc>
          <w:tcPr>
            <w:tcW w:w="2329" w:type="dxa"/>
            <w:gridSpan w:val="2"/>
            <w:vMerge/>
          </w:tcPr>
          <w:p w14:paraId="54BDCD25" w14:textId="77777777" w:rsidR="00E76D02" w:rsidRPr="00446052" w:rsidRDefault="00E76D02" w:rsidP="003502A5">
            <w:pPr>
              <w:pStyle w:val="Tabell"/>
              <w:rPr>
                <w:rFonts w:eastAsiaTheme="minorHAnsi"/>
                <w:b/>
                <w:bCs/>
                <w:lang w:val="en-GB"/>
              </w:rPr>
            </w:pPr>
          </w:p>
        </w:tc>
      </w:tr>
      <w:tr w:rsidR="00E76D02" w:rsidRPr="00446052" w14:paraId="0FD07259" w14:textId="77777777" w:rsidTr="003502A5">
        <w:tc>
          <w:tcPr>
            <w:tcW w:w="1980" w:type="dxa"/>
            <w:gridSpan w:val="2"/>
            <w:vMerge/>
          </w:tcPr>
          <w:p w14:paraId="490377BE" w14:textId="77777777" w:rsidR="00E76D02" w:rsidRPr="00446052" w:rsidRDefault="00E76D02" w:rsidP="003502A5">
            <w:pPr>
              <w:pStyle w:val="Tabell"/>
              <w:rPr>
                <w:rFonts w:eastAsiaTheme="minorHAnsi"/>
                <w:b/>
                <w:bCs/>
                <w:lang w:val="en-GB"/>
              </w:rPr>
            </w:pPr>
          </w:p>
        </w:tc>
        <w:tc>
          <w:tcPr>
            <w:tcW w:w="1417" w:type="dxa"/>
          </w:tcPr>
          <w:p w14:paraId="25157EE1" w14:textId="77777777" w:rsidR="00E76D02" w:rsidRPr="00446052" w:rsidRDefault="00E76D02" w:rsidP="003502A5">
            <w:pPr>
              <w:pStyle w:val="Tabell"/>
              <w:rPr>
                <w:rFonts w:eastAsiaTheme="minorHAnsi"/>
                <w:lang w:val="en-GB"/>
              </w:rPr>
            </w:pPr>
            <w:r w:rsidRPr="00446052">
              <w:rPr>
                <w:rFonts w:eastAsiaTheme="minorHAnsi"/>
                <w:lang w:val="en-GB"/>
              </w:rPr>
              <w:t>OR (95% CI)</w:t>
            </w:r>
          </w:p>
        </w:tc>
        <w:tc>
          <w:tcPr>
            <w:tcW w:w="851" w:type="dxa"/>
          </w:tcPr>
          <w:p w14:paraId="44B142D2" w14:textId="77777777" w:rsidR="00E76D02" w:rsidRPr="00446052" w:rsidRDefault="00E76D02" w:rsidP="003502A5">
            <w:pPr>
              <w:pStyle w:val="Tabell"/>
              <w:rPr>
                <w:rFonts w:eastAsiaTheme="minorHAnsi"/>
                <w:lang w:val="en-GB"/>
              </w:rPr>
            </w:pPr>
            <w:r w:rsidRPr="00446052">
              <w:rPr>
                <w:rFonts w:eastAsiaTheme="minorHAnsi"/>
                <w:lang w:val="en-GB"/>
              </w:rPr>
              <w:t>p-value</w:t>
            </w:r>
          </w:p>
        </w:tc>
        <w:tc>
          <w:tcPr>
            <w:tcW w:w="1417" w:type="dxa"/>
          </w:tcPr>
          <w:p w14:paraId="5F5D5E42" w14:textId="77777777" w:rsidR="00E76D02" w:rsidRPr="00446052" w:rsidRDefault="00E76D02" w:rsidP="003502A5">
            <w:pPr>
              <w:pStyle w:val="Tabell"/>
              <w:rPr>
                <w:rFonts w:eastAsiaTheme="minorHAnsi"/>
                <w:lang w:val="en-GB"/>
              </w:rPr>
            </w:pPr>
            <w:r w:rsidRPr="00446052">
              <w:rPr>
                <w:rFonts w:eastAsiaTheme="minorHAnsi"/>
                <w:lang w:val="en-GB"/>
              </w:rPr>
              <w:t>OR (95% CI)</w:t>
            </w:r>
          </w:p>
        </w:tc>
        <w:tc>
          <w:tcPr>
            <w:tcW w:w="993" w:type="dxa"/>
          </w:tcPr>
          <w:p w14:paraId="1BF6005E" w14:textId="77777777" w:rsidR="00E76D02" w:rsidRPr="00446052" w:rsidRDefault="00E76D02" w:rsidP="003502A5">
            <w:pPr>
              <w:pStyle w:val="Tabell"/>
              <w:rPr>
                <w:rFonts w:eastAsiaTheme="minorHAnsi"/>
                <w:lang w:val="en-GB"/>
              </w:rPr>
            </w:pPr>
            <w:r w:rsidRPr="00446052">
              <w:rPr>
                <w:rFonts w:eastAsiaTheme="minorHAnsi"/>
                <w:lang w:val="en-GB"/>
              </w:rPr>
              <w:t>p-value</w:t>
            </w:r>
          </w:p>
        </w:tc>
        <w:tc>
          <w:tcPr>
            <w:tcW w:w="1559" w:type="dxa"/>
          </w:tcPr>
          <w:p w14:paraId="4778C953" w14:textId="77777777" w:rsidR="00E76D02" w:rsidRPr="00446052" w:rsidRDefault="00E76D02" w:rsidP="003502A5">
            <w:pPr>
              <w:pStyle w:val="Tabell"/>
              <w:rPr>
                <w:rFonts w:eastAsiaTheme="minorHAnsi"/>
                <w:lang w:val="en-GB"/>
              </w:rPr>
            </w:pPr>
            <w:r w:rsidRPr="00446052">
              <w:rPr>
                <w:rFonts w:eastAsiaTheme="minorHAnsi"/>
                <w:lang w:val="en-GB"/>
              </w:rPr>
              <w:t>OR (95% CI)</w:t>
            </w:r>
          </w:p>
        </w:tc>
        <w:tc>
          <w:tcPr>
            <w:tcW w:w="850" w:type="dxa"/>
          </w:tcPr>
          <w:p w14:paraId="7FD05150" w14:textId="77777777" w:rsidR="00E76D02" w:rsidRPr="00446052" w:rsidRDefault="00E76D02" w:rsidP="003502A5">
            <w:pPr>
              <w:pStyle w:val="Tabell"/>
              <w:rPr>
                <w:rFonts w:eastAsiaTheme="minorHAnsi"/>
                <w:lang w:val="en-GB"/>
              </w:rPr>
            </w:pPr>
            <w:r w:rsidRPr="00446052">
              <w:rPr>
                <w:rFonts w:eastAsiaTheme="minorHAnsi"/>
                <w:lang w:val="en-GB"/>
              </w:rPr>
              <w:t>p-value</w:t>
            </w:r>
          </w:p>
        </w:tc>
        <w:tc>
          <w:tcPr>
            <w:tcW w:w="1701" w:type="dxa"/>
          </w:tcPr>
          <w:p w14:paraId="75CC53EF" w14:textId="77777777" w:rsidR="00E76D02" w:rsidRPr="00446052" w:rsidRDefault="00E76D02" w:rsidP="003502A5">
            <w:pPr>
              <w:pStyle w:val="Tabell"/>
              <w:rPr>
                <w:rFonts w:eastAsiaTheme="minorHAnsi"/>
                <w:lang w:val="en-GB"/>
              </w:rPr>
            </w:pPr>
            <w:r w:rsidRPr="00446052">
              <w:rPr>
                <w:rFonts w:eastAsiaTheme="minorHAnsi"/>
                <w:lang w:val="en-GB"/>
              </w:rPr>
              <w:t>OR (95% CI)</w:t>
            </w:r>
          </w:p>
        </w:tc>
        <w:tc>
          <w:tcPr>
            <w:tcW w:w="851" w:type="dxa"/>
          </w:tcPr>
          <w:p w14:paraId="3ABCEAFD" w14:textId="77777777" w:rsidR="00E76D02" w:rsidRPr="00446052" w:rsidRDefault="00E76D02" w:rsidP="003502A5">
            <w:pPr>
              <w:pStyle w:val="Tabell"/>
              <w:rPr>
                <w:rFonts w:eastAsiaTheme="minorHAnsi"/>
                <w:lang w:val="en-GB"/>
              </w:rPr>
            </w:pPr>
            <w:r w:rsidRPr="00446052">
              <w:rPr>
                <w:rFonts w:eastAsiaTheme="minorHAnsi"/>
                <w:lang w:val="en-GB"/>
              </w:rPr>
              <w:t>p-value</w:t>
            </w:r>
          </w:p>
        </w:tc>
        <w:tc>
          <w:tcPr>
            <w:tcW w:w="1564" w:type="dxa"/>
          </w:tcPr>
          <w:p w14:paraId="7C8FCCCA" w14:textId="77777777" w:rsidR="00E76D02" w:rsidRPr="00446052" w:rsidRDefault="00E76D02" w:rsidP="003502A5">
            <w:pPr>
              <w:pStyle w:val="Tabell"/>
              <w:rPr>
                <w:rFonts w:eastAsiaTheme="minorHAnsi"/>
                <w:lang w:val="en-GB"/>
              </w:rPr>
            </w:pPr>
            <w:r w:rsidRPr="00446052">
              <w:rPr>
                <w:rFonts w:eastAsiaTheme="minorHAnsi"/>
                <w:lang w:val="en-GB"/>
              </w:rPr>
              <w:t>OR (95% CI)</w:t>
            </w:r>
          </w:p>
        </w:tc>
        <w:tc>
          <w:tcPr>
            <w:tcW w:w="765" w:type="dxa"/>
          </w:tcPr>
          <w:p w14:paraId="33B05C44" w14:textId="77777777" w:rsidR="00E76D02" w:rsidRPr="00446052" w:rsidRDefault="00E76D02" w:rsidP="003502A5">
            <w:pPr>
              <w:pStyle w:val="Tabell"/>
              <w:rPr>
                <w:rFonts w:eastAsiaTheme="minorHAnsi"/>
                <w:lang w:val="en-GB"/>
              </w:rPr>
            </w:pPr>
            <w:r w:rsidRPr="00446052">
              <w:rPr>
                <w:rFonts w:eastAsiaTheme="minorHAnsi"/>
                <w:lang w:val="en-GB"/>
              </w:rPr>
              <w:t>p-value</w:t>
            </w:r>
          </w:p>
        </w:tc>
      </w:tr>
      <w:tr w:rsidR="00E76D02" w:rsidRPr="00446052" w14:paraId="59A051CC" w14:textId="77777777" w:rsidTr="003502A5">
        <w:tc>
          <w:tcPr>
            <w:tcW w:w="838" w:type="dxa"/>
            <w:vMerge w:val="restart"/>
            <w:hideMark/>
          </w:tcPr>
          <w:p w14:paraId="4ABF8B69" w14:textId="77777777" w:rsidR="00E76D02" w:rsidRPr="00446052" w:rsidRDefault="00E76D02" w:rsidP="003502A5">
            <w:pPr>
              <w:pStyle w:val="Tabell"/>
              <w:rPr>
                <w:rFonts w:eastAsiaTheme="minorHAnsi"/>
                <w:b/>
                <w:bCs/>
                <w:lang w:val="en-GB"/>
              </w:rPr>
            </w:pPr>
            <w:r w:rsidRPr="00446052">
              <w:rPr>
                <w:rFonts w:eastAsiaTheme="minorHAnsi"/>
                <w:b/>
                <w:bCs/>
                <w:lang w:val="en-GB"/>
              </w:rPr>
              <w:t>CVD</w:t>
            </w:r>
          </w:p>
        </w:tc>
        <w:tc>
          <w:tcPr>
            <w:tcW w:w="1142" w:type="dxa"/>
          </w:tcPr>
          <w:p w14:paraId="31541522" w14:textId="77777777" w:rsidR="00E76D02" w:rsidRPr="00446052" w:rsidRDefault="00E76D02" w:rsidP="003502A5">
            <w:pPr>
              <w:pStyle w:val="Tabell"/>
              <w:rPr>
                <w:rFonts w:eastAsiaTheme="minorHAnsi"/>
                <w:b/>
                <w:bCs/>
                <w:lang w:val="en-GB"/>
              </w:rPr>
            </w:pPr>
            <w:r w:rsidRPr="00446052">
              <w:rPr>
                <w:rFonts w:eastAsiaTheme="minorHAnsi"/>
                <w:b/>
                <w:bCs/>
                <w:lang w:val="en-GB"/>
              </w:rPr>
              <w:t>Unadjusted</w:t>
            </w:r>
          </w:p>
        </w:tc>
        <w:tc>
          <w:tcPr>
            <w:tcW w:w="1417" w:type="dxa"/>
            <w:hideMark/>
          </w:tcPr>
          <w:p w14:paraId="01BB98F7" w14:textId="77777777" w:rsidR="00E76D02" w:rsidRPr="00446052" w:rsidRDefault="00E76D02" w:rsidP="003502A5">
            <w:pPr>
              <w:pStyle w:val="Tabell"/>
              <w:rPr>
                <w:rFonts w:eastAsiaTheme="minorHAnsi"/>
                <w:lang w:val="en-GB"/>
              </w:rPr>
            </w:pPr>
            <w:r w:rsidRPr="00446052">
              <w:rPr>
                <w:rFonts w:eastAsiaTheme="minorHAnsi"/>
                <w:lang w:val="en-GB"/>
              </w:rPr>
              <w:t>0.55 (0.24-1.30)</w:t>
            </w:r>
          </w:p>
        </w:tc>
        <w:tc>
          <w:tcPr>
            <w:tcW w:w="851" w:type="dxa"/>
          </w:tcPr>
          <w:p w14:paraId="14E7E684" w14:textId="77777777" w:rsidR="00E76D02" w:rsidRPr="00446052" w:rsidRDefault="00E76D02" w:rsidP="003502A5">
            <w:pPr>
              <w:pStyle w:val="Tabell"/>
              <w:rPr>
                <w:rFonts w:eastAsiaTheme="minorHAnsi"/>
                <w:lang w:val="en-GB"/>
              </w:rPr>
            </w:pPr>
            <w:r w:rsidRPr="00446052">
              <w:rPr>
                <w:rFonts w:eastAsiaTheme="minorHAnsi"/>
                <w:lang w:val="en-GB"/>
              </w:rPr>
              <w:t>0.174</w:t>
            </w:r>
          </w:p>
        </w:tc>
        <w:tc>
          <w:tcPr>
            <w:tcW w:w="1417" w:type="dxa"/>
            <w:hideMark/>
          </w:tcPr>
          <w:p w14:paraId="1F8324EF" w14:textId="77777777" w:rsidR="00E76D02" w:rsidRPr="00446052" w:rsidRDefault="00E76D02" w:rsidP="003502A5">
            <w:pPr>
              <w:pStyle w:val="Tabell"/>
              <w:rPr>
                <w:rFonts w:eastAsiaTheme="minorHAnsi"/>
                <w:lang w:val="en-GB"/>
              </w:rPr>
            </w:pPr>
            <w:r w:rsidRPr="00446052">
              <w:rPr>
                <w:rFonts w:eastAsiaTheme="minorHAnsi"/>
                <w:lang w:val="en-GB"/>
              </w:rPr>
              <w:t>0.97 (0.54-1.73)</w:t>
            </w:r>
          </w:p>
        </w:tc>
        <w:tc>
          <w:tcPr>
            <w:tcW w:w="993" w:type="dxa"/>
          </w:tcPr>
          <w:p w14:paraId="052C9A2D" w14:textId="77777777" w:rsidR="00E76D02" w:rsidRPr="00446052" w:rsidRDefault="00E76D02" w:rsidP="003502A5">
            <w:pPr>
              <w:pStyle w:val="Tabell"/>
              <w:rPr>
                <w:rFonts w:eastAsiaTheme="minorHAnsi"/>
                <w:lang w:val="en-GB"/>
              </w:rPr>
            </w:pPr>
            <w:r w:rsidRPr="00446052">
              <w:rPr>
                <w:rFonts w:eastAsiaTheme="minorHAnsi"/>
                <w:lang w:val="en-GB"/>
              </w:rPr>
              <w:t>0.911</w:t>
            </w:r>
          </w:p>
        </w:tc>
        <w:tc>
          <w:tcPr>
            <w:tcW w:w="1559" w:type="dxa"/>
            <w:hideMark/>
          </w:tcPr>
          <w:p w14:paraId="1B23706A" w14:textId="77777777" w:rsidR="00E76D02" w:rsidRPr="00446052" w:rsidRDefault="00E76D02" w:rsidP="003502A5">
            <w:pPr>
              <w:pStyle w:val="Tabell"/>
              <w:rPr>
                <w:rFonts w:eastAsiaTheme="minorHAnsi"/>
                <w:lang w:val="en-GB"/>
              </w:rPr>
            </w:pPr>
            <w:r w:rsidRPr="00446052">
              <w:rPr>
                <w:rFonts w:eastAsiaTheme="minorHAnsi"/>
                <w:lang w:val="en-GB"/>
              </w:rPr>
              <w:t>0.66 (0.38-1.15)</w:t>
            </w:r>
          </w:p>
        </w:tc>
        <w:tc>
          <w:tcPr>
            <w:tcW w:w="850" w:type="dxa"/>
          </w:tcPr>
          <w:p w14:paraId="399C5199" w14:textId="77777777" w:rsidR="00E76D02" w:rsidRPr="00446052" w:rsidRDefault="00E76D02" w:rsidP="003502A5">
            <w:pPr>
              <w:pStyle w:val="Tabell"/>
              <w:rPr>
                <w:rFonts w:eastAsiaTheme="minorHAnsi"/>
                <w:lang w:val="en-GB"/>
              </w:rPr>
            </w:pPr>
            <w:r w:rsidRPr="00446052">
              <w:rPr>
                <w:rFonts w:eastAsiaTheme="minorHAnsi"/>
                <w:lang w:val="en-GB"/>
              </w:rPr>
              <w:t>0.142</w:t>
            </w:r>
          </w:p>
        </w:tc>
        <w:tc>
          <w:tcPr>
            <w:tcW w:w="1701" w:type="dxa"/>
            <w:hideMark/>
          </w:tcPr>
          <w:p w14:paraId="3CF3322C" w14:textId="77777777" w:rsidR="00E76D02" w:rsidRPr="00446052" w:rsidRDefault="00E76D02" w:rsidP="003502A5">
            <w:pPr>
              <w:pStyle w:val="Tabell"/>
              <w:rPr>
                <w:rFonts w:eastAsiaTheme="minorHAnsi"/>
                <w:lang w:val="en-GB"/>
              </w:rPr>
            </w:pPr>
            <w:r w:rsidRPr="00446052">
              <w:rPr>
                <w:rFonts w:eastAsiaTheme="minorHAnsi"/>
                <w:lang w:val="en-GB"/>
              </w:rPr>
              <w:t>0.93 (0.53-1.64)</w:t>
            </w:r>
          </w:p>
        </w:tc>
        <w:tc>
          <w:tcPr>
            <w:tcW w:w="851" w:type="dxa"/>
          </w:tcPr>
          <w:p w14:paraId="58D8A8C9" w14:textId="77777777" w:rsidR="00E76D02" w:rsidRPr="00446052" w:rsidRDefault="00E76D02" w:rsidP="003502A5">
            <w:pPr>
              <w:pStyle w:val="Tabell"/>
              <w:rPr>
                <w:rFonts w:eastAsiaTheme="minorHAnsi"/>
                <w:lang w:val="en-GB"/>
              </w:rPr>
            </w:pPr>
            <w:r w:rsidRPr="00446052">
              <w:rPr>
                <w:rFonts w:eastAsiaTheme="minorHAnsi"/>
                <w:lang w:val="en-GB"/>
              </w:rPr>
              <w:t>0.798</w:t>
            </w:r>
          </w:p>
        </w:tc>
        <w:tc>
          <w:tcPr>
            <w:tcW w:w="1564" w:type="dxa"/>
          </w:tcPr>
          <w:p w14:paraId="0AD008F4" w14:textId="77777777" w:rsidR="00E76D02" w:rsidRPr="00446052" w:rsidRDefault="00E76D02" w:rsidP="003502A5">
            <w:pPr>
              <w:pStyle w:val="Tabell"/>
              <w:rPr>
                <w:rFonts w:eastAsiaTheme="minorHAnsi"/>
                <w:lang w:val="en-GB"/>
              </w:rPr>
            </w:pPr>
            <w:r w:rsidRPr="00446052">
              <w:rPr>
                <w:rFonts w:eastAsiaTheme="minorHAnsi"/>
                <w:lang w:val="en-GB"/>
              </w:rPr>
              <w:t>0.70 (0.52-0.94)</w:t>
            </w:r>
          </w:p>
        </w:tc>
        <w:tc>
          <w:tcPr>
            <w:tcW w:w="765" w:type="dxa"/>
          </w:tcPr>
          <w:p w14:paraId="69F43BA0" w14:textId="77777777" w:rsidR="00E76D02" w:rsidRPr="00446052" w:rsidRDefault="00E76D02" w:rsidP="003502A5">
            <w:pPr>
              <w:pStyle w:val="Tabell"/>
              <w:rPr>
                <w:rFonts w:eastAsiaTheme="minorHAnsi"/>
                <w:lang w:val="en-GB"/>
              </w:rPr>
            </w:pPr>
            <w:r w:rsidRPr="00446052">
              <w:rPr>
                <w:rFonts w:eastAsiaTheme="minorHAnsi"/>
                <w:lang w:val="en-GB"/>
              </w:rPr>
              <w:t>0.018</w:t>
            </w:r>
          </w:p>
        </w:tc>
      </w:tr>
      <w:tr w:rsidR="00E76D02" w:rsidRPr="00446052" w14:paraId="0AF749B4" w14:textId="77777777" w:rsidTr="003502A5">
        <w:tc>
          <w:tcPr>
            <w:tcW w:w="838" w:type="dxa"/>
            <w:vMerge/>
            <w:hideMark/>
          </w:tcPr>
          <w:p w14:paraId="766EF5CB" w14:textId="77777777" w:rsidR="00E76D02" w:rsidRPr="00446052" w:rsidRDefault="00E76D02" w:rsidP="003502A5">
            <w:pPr>
              <w:pStyle w:val="Tabell"/>
              <w:rPr>
                <w:rFonts w:eastAsiaTheme="minorHAnsi"/>
                <w:b/>
                <w:bCs/>
                <w:lang w:val="en-GB"/>
              </w:rPr>
            </w:pPr>
          </w:p>
        </w:tc>
        <w:tc>
          <w:tcPr>
            <w:tcW w:w="1142" w:type="dxa"/>
          </w:tcPr>
          <w:p w14:paraId="19D86229" w14:textId="77777777" w:rsidR="00E76D02" w:rsidRPr="00446052" w:rsidRDefault="00E76D02" w:rsidP="003502A5">
            <w:pPr>
              <w:pStyle w:val="Tabell"/>
              <w:rPr>
                <w:rFonts w:eastAsiaTheme="minorHAnsi"/>
                <w:b/>
                <w:bCs/>
                <w:lang w:val="en-GB"/>
              </w:rPr>
            </w:pPr>
            <w:r w:rsidRPr="00446052">
              <w:rPr>
                <w:rFonts w:eastAsiaTheme="minorHAnsi"/>
                <w:b/>
                <w:bCs/>
                <w:lang w:val="en-GB"/>
              </w:rPr>
              <w:t>Adjusted</w:t>
            </w:r>
          </w:p>
        </w:tc>
        <w:tc>
          <w:tcPr>
            <w:tcW w:w="1417" w:type="dxa"/>
            <w:hideMark/>
          </w:tcPr>
          <w:p w14:paraId="1D3A8AA6" w14:textId="77777777" w:rsidR="00E76D02" w:rsidRPr="00446052" w:rsidRDefault="00E76D02" w:rsidP="003502A5">
            <w:pPr>
              <w:pStyle w:val="Tabell"/>
              <w:rPr>
                <w:rFonts w:eastAsiaTheme="minorHAnsi"/>
                <w:lang w:val="en-GB"/>
              </w:rPr>
            </w:pPr>
            <w:r w:rsidRPr="00446052">
              <w:rPr>
                <w:rFonts w:eastAsiaTheme="minorHAnsi"/>
                <w:lang w:val="en-GB"/>
              </w:rPr>
              <w:t>0.56 (0.20-1.56)</w:t>
            </w:r>
          </w:p>
        </w:tc>
        <w:tc>
          <w:tcPr>
            <w:tcW w:w="851" w:type="dxa"/>
          </w:tcPr>
          <w:p w14:paraId="69E5CE48" w14:textId="77777777" w:rsidR="00E76D02" w:rsidRPr="00446052" w:rsidRDefault="00E76D02" w:rsidP="003502A5">
            <w:pPr>
              <w:pStyle w:val="Tabell"/>
              <w:rPr>
                <w:rFonts w:eastAsiaTheme="minorHAnsi"/>
                <w:lang w:val="en-GB"/>
              </w:rPr>
            </w:pPr>
            <w:r w:rsidRPr="00446052">
              <w:rPr>
                <w:rFonts w:eastAsiaTheme="minorHAnsi"/>
                <w:lang w:val="en-GB"/>
              </w:rPr>
              <w:t>0.265</w:t>
            </w:r>
          </w:p>
        </w:tc>
        <w:tc>
          <w:tcPr>
            <w:tcW w:w="1417" w:type="dxa"/>
            <w:hideMark/>
          </w:tcPr>
          <w:p w14:paraId="3027810A" w14:textId="77777777" w:rsidR="00E76D02" w:rsidRPr="00446052" w:rsidRDefault="00E76D02" w:rsidP="003502A5">
            <w:pPr>
              <w:pStyle w:val="Tabell"/>
              <w:rPr>
                <w:rFonts w:eastAsiaTheme="minorHAnsi"/>
                <w:lang w:val="en-GB"/>
              </w:rPr>
            </w:pPr>
            <w:r w:rsidRPr="00446052">
              <w:rPr>
                <w:rFonts w:eastAsiaTheme="minorHAnsi"/>
                <w:lang w:val="en-GB"/>
              </w:rPr>
              <w:t>0.89 (0.46-1.72)</w:t>
            </w:r>
          </w:p>
        </w:tc>
        <w:tc>
          <w:tcPr>
            <w:tcW w:w="993" w:type="dxa"/>
          </w:tcPr>
          <w:p w14:paraId="768E3126" w14:textId="77777777" w:rsidR="00E76D02" w:rsidRPr="00446052" w:rsidRDefault="00E76D02" w:rsidP="003502A5">
            <w:pPr>
              <w:pStyle w:val="Tabell"/>
              <w:rPr>
                <w:rFonts w:eastAsiaTheme="minorHAnsi"/>
                <w:lang w:val="en-GB"/>
              </w:rPr>
            </w:pPr>
            <w:r w:rsidRPr="00446052">
              <w:rPr>
                <w:rFonts w:eastAsiaTheme="minorHAnsi"/>
                <w:lang w:val="en-GB"/>
              </w:rPr>
              <w:t>0.736</w:t>
            </w:r>
          </w:p>
        </w:tc>
        <w:tc>
          <w:tcPr>
            <w:tcW w:w="1559" w:type="dxa"/>
            <w:hideMark/>
          </w:tcPr>
          <w:p w14:paraId="48007AD0" w14:textId="77777777" w:rsidR="00E76D02" w:rsidRPr="00446052" w:rsidRDefault="00E76D02" w:rsidP="003502A5">
            <w:pPr>
              <w:pStyle w:val="Tabell"/>
              <w:rPr>
                <w:rFonts w:eastAsiaTheme="minorHAnsi"/>
                <w:lang w:val="en-GB"/>
              </w:rPr>
            </w:pPr>
            <w:r w:rsidRPr="00446052">
              <w:rPr>
                <w:rFonts w:eastAsiaTheme="minorHAnsi"/>
                <w:lang w:val="en-GB"/>
              </w:rPr>
              <w:t>0.64 (0.35-1.19)</w:t>
            </w:r>
          </w:p>
        </w:tc>
        <w:tc>
          <w:tcPr>
            <w:tcW w:w="850" w:type="dxa"/>
          </w:tcPr>
          <w:p w14:paraId="557448B7" w14:textId="77777777" w:rsidR="00E76D02" w:rsidRPr="00446052" w:rsidRDefault="00E76D02" w:rsidP="003502A5">
            <w:pPr>
              <w:pStyle w:val="Tabell"/>
              <w:rPr>
                <w:rFonts w:eastAsiaTheme="minorHAnsi"/>
                <w:lang w:val="en-GB"/>
              </w:rPr>
            </w:pPr>
            <w:r w:rsidRPr="00446052">
              <w:rPr>
                <w:rFonts w:eastAsiaTheme="minorHAnsi"/>
                <w:lang w:val="en-GB"/>
              </w:rPr>
              <w:t>0.157</w:t>
            </w:r>
          </w:p>
        </w:tc>
        <w:tc>
          <w:tcPr>
            <w:tcW w:w="1701" w:type="dxa"/>
            <w:hideMark/>
          </w:tcPr>
          <w:p w14:paraId="6916756F" w14:textId="77777777" w:rsidR="00E76D02" w:rsidRPr="00446052" w:rsidRDefault="00E76D02" w:rsidP="003502A5">
            <w:pPr>
              <w:pStyle w:val="Tabell"/>
              <w:rPr>
                <w:rFonts w:eastAsiaTheme="minorHAnsi"/>
                <w:lang w:val="en-GB"/>
              </w:rPr>
            </w:pPr>
            <w:r w:rsidRPr="00446052">
              <w:rPr>
                <w:rFonts w:eastAsiaTheme="minorHAnsi"/>
                <w:lang w:val="en-GB"/>
              </w:rPr>
              <w:t>0.96 (0.51-1.84)</w:t>
            </w:r>
          </w:p>
        </w:tc>
        <w:tc>
          <w:tcPr>
            <w:tcW w:w="851" w:type="dxa"/>
          </w:tcPr>
          <w:p w14:paraId="1DA4252D" w14:textId="77777777" w:rsidR="00E76D02" w:rsidRPr="00446052" w:rsidRDefault="00E76D02" w:rsidP="003502A5">
            <w:pPr>
              <w:pStyle w:val="Tabell"/>
              <w:rPr>
                <w:rFonts w:eastAsiaTheme="minorHAnsi"/>
                <w:lang w:val="en-GB"/>
              </w:rPr>
            </w:pPr>
            <w:r w:rsidRPr="00446052">
              <w:rPr>
                <w:rFonts w:eastAsiaTheme="minorHAnsi"/>
                <w:lang w:val="en-GB"/>
              </w:rPr>
              <w:t>0.909</w:t>
            </w:r>
          </w:p>
        </w:tc>
        <w:tc>
          <w:tcPr>
            <w:tcW w:w="1564" w:type="dxa"/>
          </w:tcPr>
          <w:p w14:paraId="3D3300DF" w14:textId="77777777" w:rsidR="00E76D02" w:rsidRPr="00446052" w:rsidRDefault="00E76D02" w:rsidP="003502A5">
            <w:pPr>
              <w:pStyle w:val="Tabell"/>
              <w:rPr>
                <w:rFonts w:eastAsiaTheme="minorHAnsi"/>
                <w:lang w:val="en-GB"/>
              </w:rPr>
            </w:pPr>
            <w:r w:rsidRPr="00446052">
              <w:rPr>
                <w:rFonts w:eastAsiaTheme="minorHAnsi"/>
                <w:lang w:val="en-GB"/>
              </w:rPr>
              <w:t>0.82 (0.58-1.15)</w:t>
            </w:r>
          </w:p>
        </w:tc>
        <w:tc>
          <w:tcPr>
            <w:tcW w:w="765" w:type="dxa"/>
          </w:tcPr>
          <w:p w14:paraId="68B53676" w14:textId="77777777" w:rsidR="00E76D02" w:rsidRPr="00446052" w:rsidRDefault="00E76D02" w:rsidP="003502A5">
            <w:pPr>
              <w:pStyle w:val="Tabell"/>
              <w:rPr>
                <w:rFonts w:eastAsiaTheme="minorHAnsi"/>
                <w:lang w:val="en-GB"/>
              </w:rPr>
            </w:pPr>
            <w:r w:rsidRPr="00446052">
              <w:rPr>
                <w:rFonts w:eastAsiaTheme="minorHAnsi"/>
                <w:lang w:val="en-GB"/>
              </w:rPr>
              <w:t>0.245</w:t>
            </w:r>
          </w:p>
        </w:tc>
      </w:tr>
      <w:tr w:rsidR="00E76D02" w:rsidRPr="00446052" w14:paraId="532EE973" w14:textId="77777777" w:rsidTr="003502A5">
        <w:tc>
          <w:tcPr>
            <w:tcW w:w="838" w:type="dxa"/>
            <w:vMerge w:val="restart"/>
          </w:tcPr>
          <w:p w14:paraId="4BD32308" w14:textId="77777777" w:rsidR="00E76D02" w:rsidRPr="00446052" w:rsidRDefault="00E76D02" w:rsidP="003502A5">
            <w:pPr>
              <w:pStyle w:val="Tabell"/>
              <w:rPr>
                <w:rFonts w:eastAsiaTheme="minorHAnsi"/>
                <w:b/>
                <w:bCs/>
                <w:lang w:val="en-GB"/>
              </w:rPr>
            </w:pPr>
            <w:r w:rsidRPr="00446052">
              <w:rPr>
                <w:rFonts w:eastAsiaTheme="minorHAnsi"/>
                <w:b/>
                <w:bCs/>
                <w:lang w:val="en-GB"/>
              </w:rPr>
              <w:t>Cancer</w:t>
            </w:r>
          </w:p>
        </w:tc>
        <w:tc>
          <w:tcPr>
            <w:tcW w:w="1142" w:type="dxa"/>
          </w:tcPr>
          <w:p w14:paraId="7DF3BCEC" w14:textId="77777777" w:rsidR="00E76D02" w:rsidRPr="00446052" w:rsidRDefault="00E76D02" w:rsidP="003502A5">
            <w:pPr>
              <w:pStyle w:val="Tabell"/>
              <w:rPr>
                <w:rFonts w:eastAsiaTheme="minorHAnsi"/>
                <w:b/>
                <w:bCs/>
                <w:lang w:val="en-GB"/>
              </w:rPr>
            </w:pPr>
            <w:r w:rsidRPr="00446052">
              <w:rPr>
                <w:rFonts w:eastAsiaTheme="minorHAnsi"/>
                <w:b/>
                <w:bCs/>
                <w:lang w:val="en-GB"/>
              </w:rPr>
              <w:t>Unadjusted</w:t>
            </w:r>
          </w:p>
        </w:tc>
        <w:tc>
          <w:tcPr>
            <w:tcW w:w="1417" w:type="dxa"/>
          </w:tcPr>
          <w:p w14:paraId="0AA3B3D5" w14:textId="77777777" w:rsidR="00E76D02" w:rsidRPr="00446052" w:rsidRDefault="00E76D02" w:rsidP="003502A5">
            <w:pPr>
              <w:pStyle w:val="Tabell"/>
              <w:rPr>
                <w:rFonts w:eastAsiaTheme="minorHAnsi"/>
                <w:lang w:val="en-GB"/>
              </w:rPr>
            </w:pPr>
            <w:r w:rsidRPr="00446052">
              <w:rPr>
                <w:rFonts w:eastAsiaTheme="minorHAnsi"/>
                <w:lang w:val="en-GB"/>
              </w:rPr>
              <w:t>1.32 (0.74-2.35)</w:t>
            </w:r>
          </w:p>
        </w:tc>
        <w:tc>
          <w:tcPr>
            <w:tcW w:w="851" w:type="dxa"/>
          </w:tcPr>
          <w:p w14:paraId="45369CDD" w14:textId="77777777" w:rsidR="00E76D02" w:rsidRPr="00446052" w:rsidRDefault="00E76D02" w:rsidP="003502A5">
            <w:pPr>
              <w:pStyle w:val="Tabell"/>
              <w:rPr>
                <w:rFonts w:eastAsiaTheme="minorHAnsi"/>
                <w:lang w:val="en-GB"/>
              </w:rPr>
            </w:pPr>
            <w:r w:rsidRPr="00446052">
              <w:rPr>
                <w:rFonts w:eastAsiaTheme="minorHAnsi"/>
                <w:lang w:val="en-GB"/>
              </w:rPr>
              <w:t>0.341</w:t>
            </w:r>
          </w:p>
        </w:tc>
        <w:tc>
          <w:tcPr>
            <w:tcW w:w="1417" w:type="dxa"/>
          </w:tcPr>
          <w:p w14:paraId="5B2CA3C0" w14:textId="77777777" w:rsidR="00E76D02" w:rsidRPr="00446052" w:rsidRDefault="00E76D02" w:rsidP="003502A5">
            <w:pPr>
              <w:pStyle w:val="Tabell"/>
              <w:rPr>
                <w:rFonts w:eastAsiaTheme="minorHAnsi"/>
                <w:lang w:val="en-GB"/>
              </w:rPr>
            </w:pPr>
            <w:r w:rsidRPr="00446052">
              <w:rPr>
                <w:rFonts w:eastAsiaTheme="minorHAnsi"/>
                <w:lang w:val="en-GB"/>
              </w:rPr>
              <w:t>1.27 (0.78-2.05)</w:t>
            </w:r>
          </w:p>
        </w:tc>
        <w:tc>
          <w:tcPr>
            <w:tcW w:w="993" w:type="dxa"/>
          </w:tcPr>
          <w:p w14:paraId="5A92D1F1" w14:textId="77777777" w:rsidR="00E76D02" w:rsidRPr="00446052" w:rsidRDefault="00E76D02" w:rsidP="003502A5">
            <w:pPr>
              <w:pStyle w:val="Tabell"/>
              <w:rPr>
                <w:rFonts w:eastAsiaTheme="minorHAnsi"/>
                <w:lang w:val="en-GB"/>
              </w:rPr>
            </w:pPr>
            <w:r w:rsidRPr="00446052">
              <w:rPr>
                <w:rFonts w:eastAsiaTheme="minorHAnsi"/>
                <w:lang w:val="en-GB"/>
              </w:rPr>
              <w:t>0.334</w:t>
            </w:r>
          </w:p>
        </w:tc>
        <w:tc>
          <w:tcPr>
            <w:tcW w:w="1559" w:type="dxa"/>
          </w:tcPr>
          <w:p w14:paraId="4D8CF88C" w14:textId="77777777" w:rsidR="00E76D02" w:rsidRPr="00446052" w:rsidRDefault="00E76D02" w:rsidP="003502A5">
            <w:pPr>
              <w:pStyle w:val="Tabell"/>
              <w:rPr>
                <w:rFonts w:eastAsiaTheme="minorHAnsi"/>
                <w:lang w:val="en-GB"/>
              </w:rPr>
            </w:pPr>
            <w:r w:rsidRPr="00446052">
              <w:rPr>
                <w:rFonts w:eastAsiaTheme="minorHAnsi"/>
                <w:lang w:val="en-GB"/>
              </w:rPr>
              <w:t>0.86 (0.54-1.37)</w:t>
            </w:r>
          </w:p>
        </w:tc>
        <w:tc>
          <w:tcPr>
            <w:tcW w:w="850" w:type="dxa"/>
          </w:tcPr>
          <w:p w14:paraId="3427DF36" w14:textId="77777777" w:rsidR="00E76D02" w:rsidRPr="00446052" w:rsidRDefault="00E76D02" w:rsidP="003502A5">
            <w:pPr>
              <w:pStyle w:val="Tabell"/>
              <w:rPr>
                <w:rFonts w:eastAsiaTheme="minorHAnsi"/>
                <w:lang w:val="en-GB"/>
              </w:rPr>
            </w:pPr>
            <w:r w:rsidRPr="00446052">
              <w:rPr>
                <w:rFonts w:eastAsiaTheme="minorHAnsi"/>
                <w:lang w:val="en-GB"/>
              </w:rPr>
              <w:t>0.528</w:t>
            </w:r>
          </w:p>
        </w:tc>
        <w:tc>
          <w:tcPr>
            <w:tcW w:w="1701" w:type="dxa"/>
          </w:tcPr>
          <w:p w14:paraId="78AAF7FA" w14:textId="77777777" w:rsidR="00E76D02" w:rsidRPr="00446052" w:rsidRDefault="00E76D02" w:rsidP="003502A5">
            <w:pPr>
              <w:pStyle w:val="Tabell"/>
              <w:rPr>
                <w:rFonts w:eastAsiaTheme="minorHAnsi"/>
                <w:lang w:val="en-GB"/>
              </w:rPr>
            </w:pPr>
            <w:r w:rsidRPr="00446052">
              <w:rPr>
                <w:rFonts w:eastAsiaTheme="minorHAnsi"/>
                <w:lang w:val="en-GB"/>
              </w:rPr>
              <w:t>1.54 (0.89-2.67)</w:t>
            </w:r>
          </w:p>
        </w:tc>
        <w:tc>
          <w:tcPr>
            <w:tcW w:w="851" w:type="dxa"/>
          </w:tcPr>
          <w:p w14:paraId="51F81819" w14:textId="77777777" w:rsidR="00E76D02" w:rsidRPr="00446052" w:rsidRDefault="00E76D02" w:rsidP="003502A5">
            <w:pPr>
              <w:pStyle w:val="Tabell"/>
              <w:rPr>
                <w:rFonts w:eastAsiaTheme="minorHAnsi"/>
                <w:lang w:val="en-GB"/>
              </w:rPr>
            </w:pPr>
            <w:r w:rsidRPr="00446052">
              <w:rPr>
                <w:rFonts w:eastAsiaTheme="minorHAnsi"/>
                <w:lang w:val="en-GB"/>
              </w:rPr>
              <w:t>0.124</w:t>
            </w:r>
          </w:p>
        </w:tc>
        <w:tc>
          <w:tcPr>
            <w:tcW w:w="1564" w:type="dxa"/>
          </w:tcPr>
          <w:p w14:paraId="35C14EAD" w14:textId="77777777" w:rsidR="00E76D02" w:rsidRPr="00446052" w:rsidRDefault="00E76D02" w:rsidP="003502A5">
            <w:pPr>
              <w:pStyle w:val="Tabell"/>
              <w:rPr>
                <w:rFonts w:eastAsiaTheme="minorHAnsi"/>
                <w:lang w:val="en-GB"/>
              </w:rPr>
            </w:pPr>
            <w:r w:rsidRPr="00446052">
              <w:rPr>
                <w:rFonts w:eastAsiaTheme="minorHAnsi"/>
                <w:lang w:val="en-GB"/>
              </w:rPr>
              <w:t>1.37 (1.07-1.77)</w:t>
            </w:r>
          </w:p>
        </w:tc>
        <w:tc>
          <w:tcPr>
            <w:tcW w:w="765" w:type="dxa"/>
          </w:tcPr>
          <w:p w14:paraId="53F40349" w14:textId="77777777" w:rsidR="00E76D02" w:rsidRPr="00446052" w:rsidRDefault="00E76D02" w:rsidP="003502A5">
            <w:pPr>
              <w:pStyle w:val="Tabell"/>
              <w:rPr>
                <w:rFonts w:eastAsiaTheme="minorHAnsi"/>
                <w:lang w:val="en-GB"/>
              </w:rPr>
            </w:pPr>
            <w:r w:rsidRPr="00446052">
              <w:rPr>
                <w:rFonts w:eastAsiaTheme="minorHAnsi"/>
                <w:lang w:val="en-GB"/>
              </w:rPr>
              <w:t>0.014</w:t>
            </w:r>
          </w:p>
        </w:tc>
      </w:tr>
      <w:tr w:rsidR="00E76D02" w:rsidRPr="00446052" w14:paraId="73661B42" w14:textId="77777777" w:rsidTr="003502A5">
        <w:tc>
          <w:tcPr>
            <w:tcW w:w="838" w:type="dxa"/>
            <w:vMerge/>
          </w:tcPr>
          <w:p w14:paraId="49BECA20" w14:textId="77777777" w:rsidR="00E76D02" w:rsidRPr="00446052" w:rsidRDefault="00E76D02" w:rsidP="003502A5">
            <w:pPr>
              <w:pStyle w:val="Tabell"/>
              <w:rPr>
                <w:rFonts w:eastAsiaTheme="minorHAnsi"/>
                <w:b/>
                <w:bCs/>
                <w:lang w:val="en-GB"/>
              </w:rPr>
            </w:pPr>
          </w:p>
        </w:tc>
        <w:tc>
          <w:tcPr>
            <w:tcW w:w="1142" w:type="dxa"/>
          </w:tcPr>
          <w:p w14:paraId="375D164D" w14:textId="77777777" w:rsidR="00E76D02" w:rsidRPr="00446052" w:rsidRDefault="00E76D02" w:rsidP="003502A5">
            <w:pPr>
              <w:pStyle w:val="Tabell"/>
              <w:rPr>
                <w:rFonts w:eastAsiaTheme="minorHAnsi"/>
                <w:b/>
                <w:bCs/>
                <w:lang w:val="en-GB"/>
              </w:rPr>
            </w:pPr>
            <w:r w:rsidRPr="00446052">
              <w:rPr>
                <w:rFonts w:eastAsiaTheme="minorHAnsi"/>
                <w:b/>
                <w:bCs/>
                <w:lang w:val="en-GB"/>
              </w:rPr>
              <w:t>Adjusted</w:t>
            </w:r>
          </w:p>
        </w:tc>
        <w:tc>
          <w:tcPr>
            <w:tcW w:w="1417" w:type="dxa"/>
          </w:tcPr>
          <w:p w14:paraId="092D584D" w14:textId="77777777" w:rsidR="00E76D02" w:rsidRPr="00446052" w:rsidRDefault="00E76D02" w:rsidP="003502A5">
            <w:pPr>
              <w:pStyle w:val="Tabell"/>
              <w:rPr>
                <w:rFonts w:eastAsiaTheme="minorHAnsi"/>
                <w:lang w:val="en-GB"/>
              </w:rPr>
            </w:pPr>
            <w:r w:rsidRPr="00446052">
              <w:rPr>
                <w:rFonts w:eastAsiaTheme="minorHAnsi"/>
                <w:lang w:val="en-GB"/>
              </w:rPr>
              <w:t>1.03 (0.51-2.09)</w:t>
            </w:r>
          </w:p>
        </w:tc>
        <w:tc>
          <w:tcPr>
            <w:tcW w:w="851" w:type="dxa"/>
          </w:tcPr>
          <w:p w14:paraId="2BA12AA9" w14:textId="77777777" w:rsidR="00E76D02" w:rsidRPr="00446052" w:rsidRDefault="00E76D02" w:rsidP="003502A5">
            <w:pPr>
              <w:pStyle w:val="Tabell"/>
              <w:rPr>
                <w:rFonts w:eastAsiaTheme="minorHAnsi"/>
                <w:lang w:val="en-GB"/>
              </w:rPr>
            </w:pPr>
            <w:r w:rsidRPr="00446052">
              <w:rPr>
                <w:rFonts w:eastAsiaTheme="minorHAnsi"/>
                <w:lang w:val="en-GB"/>
              </w:rPr>
              <w:t>0.924</w:t>
            </w:r>
          </w:p>
        </w:tc>
        <w:tc>
          <w:tcPr>
            <w:tcW w:w="1417" w:type="dxa"/>
          </w:tcPr>
          <w:p w14:paraId="60EE6112" w14:textId="77777777" w:rsidR="00E76D02" w:rsidRPr="00446052" w:rsidRDefault="00E76D02" w:rsidP="003502A5">
            <w:pPr>
              <w:pStyle w:val="Tabell"/>
              <w:rPr>
                <w:rFonts w:eastAsiaTheme="minorHAnsi"/>
                <w:lang w:val="en-GB"/>
              </w:rPr>
            </w:pPr>
            <w:r w:rsidRPr="00446052">
              <w:rPr>
                <w:rFonts w:eastAsiaTheme="minorHAnsi"/>
                <w:lang w:val="en-GB"/>
              </w:rPr>
              <w:t>1.17 (0.68-2.02)</w:t>
            </w:r>
          </w:p>
        </w:tc>
        <w:tc>
          <w:tcPr>
            <w:tcW w:w="993" w:type="dxa"/>
          </w:tcPr>
          <w:p w14:paraId="340EDAEA" w14:textId="77777777" w:rsidR="00E76D02" w:rsidRPr="00446052" w:rsidRDefault="00E76D02" w:rsidP="003502A5">
            <w:pPr>
              <w:pStyle w:val="Tabell"/>
              <w:rPr>
                <w:rFonts w:eastAsiaTheme="minorHAnsi"/>
                <w:lang w:val="en-GB"/>
              </w:rPr>
            </w:pPr>
            <w:r w:rsidRPr="00446052">
              <w:rPr>
                <w:rFonts w:eastAsiaTheme="minorHAnsi"/>
                <w:lang w:val="en-GB"/>
              </w:rPr>
              <w:t>0.566</w:t>
            </w:r>
          </w:p>
        </w:tc>
        <w:tc>
          <w:tcPr>
            <w:tcW w:w="1559" w:type="dxa"/>
          </w:tcPr>
          <w:p w14:paraId="38F101A6" w14:textId="77777777" w:rsidR="00E76D02" w:rsidRPr="00446052" w:rsidRDefault="00E76D02" w:rsidP="003502A5">
            <w:pPr>
              <w:pStyle w:val="Tabell"/>
              <w:rPr>
                <w:rFonts w:eastAsiaTheme="minorHAnsi"/>
                <w:lang w:val="en-GB"/>
              </w:rPr>
            </w:pPr>
            <w:r w:rsidRPr="00446052">
              <w:rPr>
                <w:rFonts w:eastAsiaTheme="minorHAnsi"/>
                <w:lang w:val="en-GB"/>
              </w:rPr>
              <w:t>0.82 (0.49-1.37)</w:t>
            </w:r>
          </w:p>
        </w:tc>
        <w:tc>
          <w:tcPr>
            <w:tcW w:w="850" w:type="dxa"/>
          </w:tcPr>
          <w:p w14:paraId="10D91174" w14:textId="77777777" w:rsidR="00E76D02" w:rsidRPr="00446052" w:rsidRDefault="00E76D02" w:rsidP="003502A5">
            <w:pPr>
              <w:pStyle w:val="Tabell"/>
              <w:rPr>
                <w:rFonts w:eastAsiaTheme="minorHAnsi"/>
                <w:lang w:val="en-GB"/>
              </w:rPr>
            </w:pPr>
            <w:r w:rsidRPr="00446052">
              <w:rPr>
                <w:rFonts w:eastAsiaTheme="minorHAnsi"/>
                <w:lang w:val="en-GB"/>
              </w:rPr>
              <w:t>0.445</w:t>
            </w:r>
          </w:p>
        </w:tc>
        <w:tc>
          <w:tcPr>
            <w:tcW w:w="1701" w:type="dxa"/>
          </w:tcPr>
          <w:p w14:paraId="727F41F0" w14:textId="77777777" w:rsidR="00E76D02" w:rsidRPr="00446052" w:rsidRDefault="00E76D02" w:rsidP="003502A5">
            <w:pPr>
              <w:pStyle w:val="Tabell"/>
              <w:rPr>
                <w:rFonts w:eastAsiaTheme="minorHAnsi"/>
                <w:lang w:val="en-GB"/>
              </w:rPr>
            </w:pPr>
            <w:r w:rsidRPr="00446052">
              <w:rPr>
                <w:rFonts w:eastAsiaTheme="minorHAnsi"/>
                <w:lang w:val="en-GB"/>
              </w:rPr>
              <w:t>1.35 (0.72-2.53)</w:t>
            </w:r>
          </w:p>
        </w:tc>
        <w:tc>
          <w:tcPr>
            <w:tcW w:w="851" w:type="dxa"/>
          </w:tcPr>
          <w:p w14:paraId="17119A3D" w14:textId="77777777" w:rsidR="00E76D02" w:rsidRPr="00446052" w:rsidRDefault="00E76D02" w:rsidP="003502A5">
            <w:pPr>
              <w:pStyle w:val="Tabell"/>
              <w:rPr>
                <w:rFonts w:eastAsiaTheme="minorHAnsi"/>
                <w:lang w:val="en-GB"/>
              </w:rPr>
            </w:pPr>
            <w:r w:rsidRPr="00446052">
              <w:rPr>
                <w:rFonts w:eastAsiaTheme="minorHAnsi"/>
                <w:lang w:val="en-GB"/>
              </w:rPr>
              <w:t>0.342</w:t>
            </w:r>
          </w:p>
        </w:tc>
        <w:tc>
          <w:tcPr>
            <w:tcW w:w="1564" w:type="dxa"/>
          </w:tcPr>
          <w:p w14:paraId="1956C7FD" w14:textId="77777777" w:rsidR="00E76D02" w:rsidRPr="00446052" w:rsidRDefault="00E76D02" w:rsidP="003502A5">
            <w:pPr>
              <w:pStyle w:val="Tabell"/>
              <w:rPr>
                <w:rFonts w:eastAsiaTheme="minorHAnsi"/>
                <w:lang w:val="en-GB"/>
              </w:rPr>
            </w:pPr>
            <w:r w:rsidRPr="00446052">
              <w:rPr>
                <w:rFonts w:eastAsiaTheme="minorHAnsi"/>
                <w:lang w:val="en-GB"/>
              </w:rPr>
              <w:t>1.12 (0.85-1.50)</w:t>
            </w:r>
          </w:p>
        </w:tc>
        <w:tc>
          <w:tcPr>
            <w:tcW w:w="765" w:type="dxa"/>
          </w:tcPr>
          <w:p w14:paraId="314306BC" w14:textId="77777777" w:rsidR="00E76D02" w:rsidRPr="00446052" w:rsidRDefault="00E76D02" w:rsidP="003502A5">
            <w:pPr>
              <w:pStyle w:val="Tabell"/>
              <w:rPr>
                <w:rFonts w:eastAsiaTheme="minorHAnsi"/>
                <w:lang w:val="en-GB"/>
              </w:rPr>
            </w:pPr>
            <w:r w:rsidRPr="00446052">
              <w:rPr>
                <w:rFonts w:eastAsiaTheme="minorHAnsi"/>
                <w:lang w:val="en-GB"/>
              </w:rPr>
              <w:t>0.419</w:t>
            </w:r>
          </w:p>
        </w:tc>
      </w:tr>
    </w:tbl>
    <w:p w14:paraId="300449BB" w14:textId="06B5A99A" w:rsidR="00E76D02" w:rsidRPr="00446052" w:rsidRDefault="00E76D02" w:rsidP="003975FC">
      <w:pPr>
        <w:pStyle w:val="Tabelltext"/>
        <w:spacing w:after="0"/>
        <w:rPr>
          <w:rFonts w:eastAsiaTheme="minorHAnsi"/>
          <w:lang w:val="en-GB"/>
        </w:rPr>
      </w:pPr>
      <w:r w:rsidRPr="00446052">
        <w:rPr>
          <w:rFonts w:eastAsiaTheme="minorHAnsi"/>
          <w:lang w:val="en-GB"/>
        </w:rPr>
        <w:t>Linear regression of participants that died during follow-up. The model was adjusted for sex, age at diabetes diagnosis, current smoking status, first glycated haemoglobin value, time to first recorded HbA1c from diabetes diagnosis, diabetes treatment, antihypertensive treatment, systolic blood pressure, body mass index, low-density lipoprotein, lipid-lowering treatment, physical activity, income quartile, education, and rural/urban area of living. CVD, cardiovascular disease.</w:t>
      </w:r>
    </w:p>
    <w:p w14:paraId="32D20C8A" w14:textId="77777777" w:rsidR="00AA7DDC" w:rsidRPr="00446052" w:rsidRDefault="00AA7DDC" w:rsidP="003975FC">
      <w:pPr>
        <w:pStyle w:val="Tabelltext"/>
        <w:spacing w:after="0"/>
        <w:rPr>
          <w:lang w:val="en-GB"/>
        </w:rPr>
        <w:sectPr w:rsidR="00AA7DDC" w:rsidRPr="00446052" w:rsidSect="00F926A0">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pPr>
    </w:p>
    <w:p w14:paraId="3141C5D7" w14:textId="089040D0" w:rsidR="00AA7DDC" w:rsidRPr="00446052" w:rsidRDefault="00AA7DDC" w:rsidP="00AA7DDC">
      <w:pPr>
        <w:rPr>
          <w:lang w:val="en-GB"/>
        </w:rPr>
      </w:pPr>
      <w:r w:rsidRPr="00446052">
        <w:rPr>
          <w:b/>
          <w:bCs/>
          <w:lang w:val="en-GB"/>
        </w:rPr>
        <w:lastRenderedPageBreak/>
        <w:t>Supplementary table 2.</w:t>
      </w:r>
      <w:r w:rsidRPr="00446052">
        <w:rPr>
          <w:lang w:val="en-GB"/>
        </w:rPr>
        <w:t xml:space="preserve"> Baseline characteristics of dog owners and non-owners among newly diagnosed patients with type 2 diabetes in Sweden 2006-2016 after matching.</w:t>
      </w: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9"/>
        <w:gridCol w:w="1759"/>
        <w:gridCol w:w="1968"/>
      </w:tblGrid>
      <w:tr w:rsidR="00AA7DDC" w:rsidRPr="00446052" w14:paraId="3741B0C2" w14:textId="77777777" w:rsidTr="00250031">
        <w:trPr>
          <w:trHeight w:val="300"/>
        </w:trPr>
        <w:tc>
          <w:tcPr>
            <w:tcW w:w="2935" w:type="pct"/>
            <w:tcBorders>
              <w:top w:val="single" w:sz="4" w:space="0" w:color="auto"/>
              <w:bottom w:val="single" w:sz="4" w:space="0" w:color="auto"/>
            </w:tcBorders>
            <w:noWrap/>
          </w:tcPr>
          <w:p w14:paraId="434F857F" w14:textId="77777777" w:rsidR="00AA7DDC" w:rsidRPr="00446052" w:rsidRDefault="00AA7DDC" w:rsidP="00250031">
            <w:pPr>
              <w:pStyle w:val="Tabell"/>
              <w:rPr>
                <w:lang w:val="en-GB"/>
              </w:rPr>
            </w:pPr>
          </w:p>
        </w:tc>
        <w:tc>
          <w:tcPr>
            <w:tcW w:w="975" w:type="pct"/>
            <w:tcBorders>
              <w:top w:val="single" w:sz="4" w:space="0" w:color="auto"/>
              <w:bottom w:val="single" w:sz="4" w:space="0" w:color="auto"/>
            </w:tcBorders>
            <w:noWrap/>
          </w:tcPr>
          <w:p w14:paraId="5CC14269" w14:textId="77777777" w:rsidR="00AA7DDC" w:rsidRPr="00446052" w:rsidRDefault="00AA7DDC" w:rsidP="00250031">
            <w:pPr>
              <w:pStyle w:val="Tabell"/>
              <w:rPr>
                <w:b/>
                <w:bCs/>
                <w:lang w:val="en-GB"/>
              </w:rPr>
            </w:pPr>
            <w:r w:rsidRPr="00446052">
              <w:rPr>
                <w:b/>
                <w:bCs/>
                <w:lang w:val="en-GB"/>
              </w:rPr>
              <w:t xml:space="preserve">Dog owners </w:t>
            </w:r>
          </w:p>
          <w:p w14:paraId="7D1D97D9" w14:textId="77777777" w:rsidR="00AA7DDC" w:rsidRPr="00446052" w:rsidRDefault="00AA7DDC" w:rsidP="00250031">
            <w:pPr>
              <w:pStyle w:val="Tabell"/>
              <w:rPr>
                <w:b/>
                <w:bCs/>
                <w:lang w:val="en-GB"/>
              </w:rPr>
            </w:pPr>
            <w:r w:rsidRPr="00446052">
              <w:rPr>
                <w:b/>
                <w:bCs/>
                <w:lang w:val="en-GB"/>
              </w:rPr>
              <w:t>(n = 6928)</w:t>
            </w:r>
          </w:p>
        </w:tc>
        <w:tc>
          <w:tcPr>
            <w:tcW w:w="1090" w:type="pct"/>
            <w:tcBorders>
              <w:top w:val="single" w:sz="4" w:space="0" w:color="auto"/>
              <w:bottom w:val="single" w:sz="4" w:space="0" w:color="auto"/>
            </w:tcBorders>
            <w:noWrap/>
          </w:tcPr>
          <w:p w14:paraId="73575AA3" w14:textId="77777777" w:rsidR="00AA7DDC" w:rsidRPr="00446052" w:rsidRDefault="00AA7DDC" w:rsidP="00250031">
            <w:pPr>
              <w:pStyle w:val="Tabell"/>
              <w:rPr>
                <w:b/>
                <w:bCs/>
                <w:lang w:val="en-GB"/>
              </w:rPr>
            </w:pPr>
            <w:r w:rsidRPr="00446052">
              <w:rPr>
                <w:b/>
                <w:bCs/>
                <w:lang w:val="en-GB"/>
              </w:rPr>
              <w:t xml:space="preserve">Non-dog owners </w:t>
            </w:r>
          </w:p>
          <w:p w14:paraId="793D1453" w14:textId="77777777" w:rsidR="00AA7DDC" w:rsidRPr="00446052" w:rsidRDefault="00AA7DDC" w:rsidP="00250031">
            <w:pPr>
              <w:pStyle w:val="Tabell"/>
              <w:rPr>
                <w:b/>
                <w:bCs/>
                <w:lang w:val="en-GB"/>
              </w:rPr>
            </w:pPr>
            <w:r w:rsidRPr="00446052">
              <w:rPr>
                <w:b/>
                <w:bCs/>
                <w:lang w:val="en-GB"/>
              </w:rPr>
              <w:t>(n = 13,850)</w:t>
            </w:r>
          </w:p>
        </w:tc>
      </w:tr>
      <w:tr w:rsidR="00AA7DDC" w:rsidRPr="00446052" w14:paraId="328D187C" w14:textId="77777777" w:rsidTr="00250031">
        <w:trPr>
          <w:trHeight w:val="300"/>
        </w:trPr>
        <w:tc>
          <w:tcPr>
            <w:tcW w:w="2935" w:type="pct"/>
            <w:tcBorders>
              <w:top w:val="single" w:sz="4" w:space="0" w:color="auto"/>
            </w:tcBorders>
            <w:noWrap/>
            <w:hideMark/>
          </w:tcPr>
          <w:p w14:paraId="6E26DF03" w14:textId="77777777" w:rsidR="00AA7DDC" w:rsidRPr="00446052" w:rsidRDefault="00AA7DDC" w:rsidP="00250031">
            <w:pPr>
              <w:pStyle w:val="Tabell"/>
              <w:rPr>
                <w:lang w:val="en-GB"/>
              </w:rPr>
            </w:pPr>
            <w:r w:rsidRPr="00446052">
              <w:rPr>
                <w:lang w:val="en-GB"/>
              </w:rPr>
              <w:t>Age at diabetes diagnosis, y – mean (SD)</w:t>
            </w:r>
          </w:p>
        </w:tc>
        <w:tc>
          <w:tcPr>
            <w:tcW w:w="975" w:type="pct"/>
            <w:tcBorders>
              <w:top w:val="single" w:sz="4" w:space="0" w:color="auto"/>
            </w:tcBorders>
            <w:noWrap/>
            <w:hideMark/>
          </w:tcPr>
          <w:p w14:paraId="64465C71" w14:textId="77777777" w:rsidR="00AA7DDC" w:rsidRPr="00446052" w:rsidRDefault="00AA7DDC" w:rsidP="00250031">
            <w:pPr>
              <w:pStyle w:val="Tabell"/>
              <w:rPr>
                <w:lang w:val="en-GB"/>
              </w:rPr>
            </w:pPr>
            <w:r w:rsidRPr="00446052">
              <w:t>55.2 (10.6)</w:t>
            </w:r>
          </w:p>
        </w:tc>
        <w:tc>
          <w:tcPr>
            <w:tcW w:w="1090" w:type="pct"/>
            <w:tcBorders>
              <w:top w:val="single" w:sz="4" w:space="0" w:color="auto"/>
            </w:tcBorders>
            <w:noWrap/>
            <w:hideMark/>
          </w:tcPr>
          <w:p w14:paraId="7A553988" w14:textId="77777777" w:rsidR="00AA7DDC" w:rsidRPr="00446052" w:rsidRDefault="00AA7DDC" w:rsidP="00250031">
            <w:pPr>
              <w:pStyle w:val="Tabell"/>
              <w:rPr>
                <w:lang w:val="en-GB"/>
              </w:rPr>
            </w:pPr>
            <w:r w:rsidRPr="00446052">
              <w:t>55.2 (10.5)</w:t>
            </w:r>
          </w:p>
        </w:tc>
      </w:tr>
      <w:tr w:rsidR="00AA7DDC" w:rsidRPr="00446052" w14:paraId="10D19049" w14:textId="77777777" w:rsidTr="00250031">
        <w:trPr>
          <w:trHeight w:val="300"/>
        </w:trPr>
        <w:tc>
          <w:tcPr>
            <w:tcW w:w="2935" w:type="pct"/>
            <w:noWrap/>
            <w:hideMark/>
          </w:tcPr>
          <w:p w14:paraId="69F10D1C" w14:textId="77777777" w:rsidR="00AA7DDC" w:rsidRPr="00446052" w:rsidRDefault="00AA7DDC" w:rsidP="00250031">
            <w:pPr>
              <w:pStyle w:val="Tabell"/>
              <w:rPr>
                <w:lang w:val="en-GB"/>
              </w:rPr>
            </w:pPr>
            <w:r w:rsidRPr="00446052">
              <w:rPr>
                <w:lang w:val="en-GB"/>
              </w:rPr>
              <w:t>Men – no. (%)</w:t>
            </w:r>
          </w:p>
        </w:tc>
        <w:tc>
          <w:tcPr>
            <w:tcW w:w="975" w:type="pct"/>
            <w:noWrap/>
            <w:hideMark/>
          </w:tcPr>
          <w:p w14:paraId="5F90D0A0" w14:textId="77777777" w:rsidR="00AA7DDC" w:rsidRPr="00446052" w:rsidRDefault="00AA7DDC" w:rsidP="00250031">
            <w:pPr>
              <w:pStyle w:val="Tabell"/>
              <w:rPr>
                <w:lang w:val="en-GB"/>
              </w:rPr>
            </w:pPr>
            <w:r w:rsidRPr="00446052">
              <w:t>3514 (50.7)</w:t>
            </w:r>
          </w:p>
        </w:tc>
        <w:tc>
          <w:tcPr>
            <w:tcW w:w="1090" w:type="pct"/>
            <w:noWrap/>
            <w:hideMark/>
          </w:tcPr>
          <w:p w14:paraId="51A061B7" w14:textId="77777777" w:rsidR="00AA7DDC" w:rsidRPr="00446052" w:rsidRDefault="00AA7DDC" w:rsidP="00250031">
            <w:pPr>
              <w:pStyle w:val="Tabell"/>
              <w:rPr>
                <w:lang w:val="en-GB"/>
              </w:rPr>
            </w:pPr>
            <w:r w:rsidRPr="00446052">
              <w:t>7196 (52.0)</w:t>
            </w:r>
          </w:p>
        </w:tc>
      </w:tr>
      <w:tr w:rsidR="00AA7DDC" w:rsidRPr="00446052" w14:paraId="65280D7A" w14:textId="77777777" w:rsidTr="00250031">
        <w:trPr>
          <w:trHeight w:val="300"/>
        </w:trPr>
        <w:tc>
          <w:tcPr>
            <w:tcW w:w="2935" w:type="pct"/>
            <w:noWrap/>
            <w:hideMark/>
          </w:tcPr>
          <w:p w14:paraId="5298FC16" w14:textId="77777777" w:rsidR="00AA7DDC" w:rsidRPr="00446052" w:rsidRDefault="00AA7DDC" w:rsidP="00250031">
            <w:pPr>
              <w:pStyle w:val="Tabell"/>
              <w:rPr>
                <w:lang w:val="en-GB"/>
              </w:rPr>
            </w:pPr>
            <w:r w:rsidRPr="00446052">
              <w:rPr>
                <w:lang w:val="en-GB"/>
              </w:rPr>
              <w:t>Systolic blood pressure, mmHg – mean (SD)</w:t>
            </w:r>
          </w:p>
        </w:tc>
        <w:tc>
          <w:tcPr>
            <w:tcW w:w="975" w:type="pct"/>
            <w:noWrap/>
            <w:hideMark/>
          </w:tcPr>
          <w:p w14:paraId="520BC157" w14:textId="77777777" w:rsidR="00AA7DDC" w:rsidRPr="00446052" w:rsidRDefault="00AA7DDC" w:rsidP="00250031">
            <w:pPr>
              <w:pStyle w:val="Tabell"/>
              <w:rPr>
                <w:lang w:val="en-GB"/>
              </w:rPr>
            </w:pPr>
            <w:r w:rsidRPr="00446052">
              <w:t>134.8 (15.9)</w:t>
            </w:r>
          </w:p>
        </w:tc>
        <w:tc>
          <w:tcPr>
            <w:tcW w:w="1090" w:type="pct"/>
            <w:noWrap/>
            <w:hideMark/>
          </w:tcPr>
          <w:p w14:paraId="28050F48" w14:textId="77777777" w:rsidR="00AA7DDC" w:rsidRPr="00446052" w:rsidRDefault="00AA7DDC" w:rsidP="00250031">
            <w:pPr>
              <w:pStyle w:val="Tabell"/>
              <w:rPr>
                <w:lang w:val="en-GB"/>
              </w:rPr>
            </w:pPr>
            <w:r w:rsidRPr="00446052">
              <w:t>135.2 (16.4)</w:t>
            </w:r>
          </w:p>
        </w:tc>
      </w:tr>
      <w:tr w:rsidR="00AA7DDC" w:rsidRPr="00446052" w14:paraId="54E4D605" w14:textId="77777777" w:rsidTr="00250031">
        <w:trPr>
          <w:trHeight w:val="300"/>
        </w:trPr>
        <w:tc>
          <w:tcPr>
            <w:tcW w:w="2935" w:type="pct"/>
            <w:noWrap/>
            <w:hideMark/>
          </w:tcPr>
          <w:p w14:paraId="4C99F6BC" w14:textId="77777777" w:rsidR="00AA7DDC" w:rsidRPr="00446052" w:rsidRDefault="00AA7DDC" w:rsidP="00250031">
            <w:pPr>
              <w:pStyle w:val="Tabell"/>
              <w:rPr>
                <w:lang w:val="en-GB"/>
              </w:rPr>
            </w:pPr>
            <w:r w:rsidRPr="00446052">
              <w:rPr>
                <w:lang w:val="en-GB"/>
              </w:rPr>
              <w:t>Diastolic blood pressure, mmHg – mean (SD)</w:t>
            </w:r>
          </w:p>
        </w:tc>
        <w:tc>
          <w:tcPr>
            <w:tcW w:w="975" w:type="pct"/>
            <w:noWrap/>
            <w:hideMark/>
          </w:tcPr>
          <w:p w14:paraId="499B55F9" w14:textId="77777777" w:rsidR="00AA7DDC" w:rsidRPr="00446052" w:rsidRDefault="00AA7DDC" w:rsidP="00250031">
            <w:pPr>
              <w:pStyle w:val="Tabell"/>
              <w:rPr>
                <w:lang w:val="en-GB"/>
              </w:rPr>
            </w:pPr>
            <w:r w:rsidRPr="00446052">
              <w:t>81.0 (9.8)</w:t>
            </w:r>
          </w:p>
        </w:tc>
        <w:tc>
          <w:tcPr>
            <w:tcW w:w="1090" w:type="pct"/>
            <w:noWrap/>
            <w:hideMark/>
          </w:tcPr>
          <w:p w14:paraId="673E1CD4" w14:textId="77777777" w:rsidR="00AA7DDC" w:rsidRPr="00446052" w:rsidRDefault="00AA7DDC" w:rsidP="00250031">
            <w:pPr>
              <w:pStyle w:val="Tabell"/>
              <w:rPr>
                <w:lang w:val="en-GB"/>
              </w:rPr>
            </w:pPr>
            <w:r w:rsidRPr="00446052">
              <w:t>81.1 (10.1)</w:t>
            </w:r>
          </w:p>
        </w:tc>
      </w:tr>
      <w:tr w:rsidR="00AA7DDC" w:rsidRPr="00446052" w14:paraId="29396279" w14:textId="77777777" w:rsidTr="00250031">
        <w:trPr>
          <w:trHeight w:val="300"/>
        </w:trPr>
        <w:tc>
          <w:tcPr>
            <w:tcW w:w="2935" w:type="pct"/>
            <w:noWrap/>
            <w:hideMark/>
          </w:tcPr>
          <w:p w14:paraId="69F351F5" w14:textId="77777777" w:rsidR="00AA7DDC" w:rsidRPr="00446052" w:rsidRDefault="00AA7DDC" w:rsidP="00250031">
            <w:pPr>
              <w:pStyle w:val="Tabell"/>
              <w:rPr>
                <w:lang w:val="en-GB"/>
              </w:rPr>
            </w:pPr>
            <w:r w:rsidRPr="00446052">
              <w:rPr>
                <w:lang w:val="en-GB"/>
              </w:rPr>
              <w:t>HbA1c, mmol/mol – median (Q1-Q3)</w:t>
            </w:r>
          </w:p>
        </w:tc>
        <w:tc>
          <w:tcPr>
            <w:tcW w:w="975" w:type="pct"/>
            <w:noWrap/>
            <w:hideMark/>
          </w:tcPr>
          <w:p w14:paraId="369C2388" w14:textId="77777777" w:rsidR="00AA7DDC" w:rsidRPr="00446052" w:rsidRDefault="00AA7DDC" w:rsidP="00250031">
            <w:pPr>
              <w:pStyle w:val="Tabell"/>
              <w:rPr>
                <w:lang w:val="en-GB"/>
              </w:rPr>
            </w:pPr>
            <w:r w:rsidRPr="00446052">
              <w:t>50 (44-59)</w:t>
            </w:r>
          </w:p>
        </w:tc>
        <w:tc>
          <w:tcPr>
            <w:tcW w:w="1090" w:type="pct"/>
            <w:noWrap/>
            <w:hideMark/>
          </w:tcPr>
          <w:p w14:paraId="1F0BF818" w14:textId="77777777" w:rsidR="00AA7DDC" w:rsidRPr="00446052" w:rsidRDefault="00AA7DDC" w:rsidP="00250031">
            <w:pPr>
              <w:pStyle w:val="Tabell"/>
              <w:rPr>
                <w:lang w:val="en-GB"/>
              </w:rPr>
            </w:pPr>
            <w:r w:rsidRPr="00446052">
              <w:t>50 (44-60)</w:t>
            </w:r>
          </w:p>
        </w:tc>
      </w:tr>
      <w:tr w:rsidR="00AA7DDC" w:rsidRPr="00446052" w14:paraId="164BE009" w14:textId="77777777" w:rsidTr="00250031">
        <w:trPr>
          <w:trHeight w:val="300"/>
        </w:trPr>
        <w:tc>
          <w:tcPr>
            <w:tcW w:w="2935" w:type="pct"/>
            <w:noWrap/>
          </w:tcPr>
          <w:p w14:paraId="198386D0" w14:textId="77777777" w:rsidR="00AA7DDC" w:rsidRPr="00446052" w:rsidRDefault="00AA7DDC" w:rsidP="00250031">
            <w:pPr>
              <w:pStyle w:val="Tabell"/>
              <w:rPr>
                <w:lang w:val="en-GB"/>
              </w:rPr>
            </w:pPr>
            <w:r w:rsidRPr="00446052">
              <w:rPr>
                <w:lang w:val="en-GB"/>
              </w:rPr>
              <w:t>HbA1c, % – median (Q1-Q3)</w:t>
            </w:r>
          </w:p>
        </w:tc>
        <w:tc>
          <w:tcPr>
            <w:tcW w:w="975" w:type="pct"/>
            <w:noWrap/>
            <w:vAlign w:val="center"/>
          </w:tcPr>
          <w:p w14:paraId="65D79EA5" w14:textId="77777777" w:rsidR="00AA7DDC" w:rsidRPr="00446052" w:rsidRDefault="00AA7DDC" w:rsidP="00250031">
            <w:pPr>
              <w:pStyle w:val="Tabell"/>
              <w:rPr>
                <w:lang w:val="en-GB"/>
              </w:rPr>
            </w:pPr>
            <w:r w:rsidRPr="00446052">
              <w:rPr>
                <w:lang w:val="en-GB"/>
              </w:rPr>
              <w:t>6.7 (6.2-7.5)</w:t>
            </w:r>
          </w:p>
        </w:tc>
        <w:tc>
          <w:tcPr>
            <w:tcW w:w="1090" w:type="pct"/>
            <w:noWrap/>
            <w:vAlign w:val="center"/>
          </w:tcPr>
          <w:p w14:paraId="1BEE0BEA" w14:textId="77777777" w:rsidR="00AA7DDC" w:rsidRPr="00446052" w:rsidRDefault="00AA7DDC" w:rsidP="00250031">
            <w:pPr>
              <w:pStyle w:val="Tabell"/>
              <w:rPr>
                <w:lang w:val="en-GB"/>
              </w:rPr>
            </w:pPr>
            <w:r w:rsidRPr="00446052">
              <w:rPr>
                <w:lang w:val="en-GB"/>
              </w:rPr>
              <w:t>6.7 (6.2-7.6)</w:t>
            </w:r>
          </w:p>
        </w:tc>
      </w:tr>
      <w:tr w:rsidR="00AA7DDC" w:rsidRPr="00446052" w14:paraId="7AB65284" w14:textId="77777777" w:rsidTr="00250031">
        <w:trPr>
          <w:trHeight w:val="300"/>
        </w:trPr>
        <w:tc>
          <w:tcPr>
            <w:tcW w:w="2935" w:type="pct"/>
            <w:noWrap/>
            <w:hideMark/>
          </w:tcPr>
          <w:p w14:paraId="77DE6C71" w14:textId="77777777" w:rsidR="00AA7DDC" w:rsidRPr="00446052" w:rsidRDefault="00AA7DDC" w:rsidP="00250031">
            <w:pPr>
              <w:pStyle w:val="Tabell"/>
              <w:rPr>
                <w:lang w:val="en-GB"/>
              </w:rPr>
            </w:pPr>
            <w:r w:rsidRPr="00446052">
              <w:rPr>
                <w:lang w:val="en-GB"/>
              </w:rPr>
              <w:t>Cholesterol, mmol/L – median (Q1-Q3)</w:t>
            </w:r>
          </w:p>
        </w:tc>
        <w:tc>
          <w:tcPr>
            <w:tcW w:w="975" w:type="pct"/>
            <w:noWrap/>
            <w:hideMark/>
          </w:tcPr>
          <w:p w14:paraId="2AF32D94" w14:textId="77777777" w:rsidR="00AA7DDC" w:rsidRPr="00446052" w:rsidRDefault="00AA7DDC" w:rsidP="00250031">
            <w:pPr>
              <w:pStyle w:val="Tabell"/>
              <w:rPr>
                <w:lang w:val="en-GB"/>
              </w:rPr>
            </w:pPr>
            <w:r w:rsidRPr="00446052">
              <w:t>5.2 (4.4-6.0)</w:t>
            </w:r>
          </w:p>
        </w:tc>
        <w:tc>
          <w:tcPr>
            <w:tcW w:w="1090" w:type="pct"/>
            <w:noWrap/>
            <w:hideMark/>
          </w:tcPr>
          <w:p w14:paraId="4E284A47" w14:textId="77777777" w:rsidR="00AA7DDC" w:rsidRPr="00446052" w:rsidRDefault="00AA7DDC" w:rsidP="00250031">
            <w:pPr>
              <w:pStyle w:val="Tabell"/>
              <w:rPr>
                <w:lang w:val="en-GB"/>
              </w:rPr>
            </w:pPr>
            <w:r w:rsidRPr="00446052">
              <w:t>5.2 (4.5-5.9)</w:t>
            </w:r>
          </w:p>
        </w:tc>
      </w:tr>
      <w:tr w:rsidR="00AA7DDC" w:rsidRPr="00446052" w14:paraId="0B45C047" w14:textId="77777777" w:rsidTr="00250031">
        <w:trPr>
          <w:trHeight w:val="300"/>
        </w:trPr>
        <w:tc>
          <w:tcPr>
            <w:tcW w:w="2935" w:type="pct"/>
            <w:noWrap/>
            <w:hideMark/>
          </w:tcPr>
          <w:p w14:paraId="3F889228" w14:textId="77777777" w:rsidR="00AA7DDC" w:rsidRPr="00446052" w:rsidRDefault="00AA7DDC" w:rsidP="00250031">
            <w:pPr>
              <w:pStyle w:val="Tabell"/>
              <w:rPr>
                <w:lang w:val="en-GB"/>
              </w:rPr>
            </w:pPr>
            <w:r w:rsidRPr="00446052">
              <w:rPr>
                <w:lang w:val="en-GB"/>
              </w:rPr>
              <w:t>LDL, mmol/L – median (Q1-Q3)</w:t>
            </w:r>
          </w:p>
        </w:tc>
        <w:tc>
          <w:tcPr>
            <w:tcW w:w="975" w:type="pct"/>
            <w:noWrap/>
            <w:hideMark/>
          </w:tcPr>
          <w:p w14:paraId="755BDA46" w14:textId="77777777" w:rsidR="00AA7DDC" w:rsidRPr="00446052" w:rsidRDefault="00AA7DDC" w:rsidP="00250031">
            <w:pPr>
              <w:pStyle w:val="Tabell"/>
              <w:rPr>
                <w:lang w:val="en-GB"/>
              </w:rPr>
            </w:pPr>
            <w:r w:rsidRPr="00446052">
              <w:t>3.0 (2.3-3.8)</w:t>
            </w:r>
          </w:p>
        </w:tc>
        <w:tc>
          <w:tcPr>
            <w:tcW w:w="1090" w:type="pct"/>
            <w:noWrap/>
            <w:hideMark/>
          </w:tcPr>
          <w:p w14:paraId="5FD1B626" w14:textId="77777777" w:rsidR="00AA7DDC" w:rsidRPr="00446052" w:rsidRDefault="00AA7DDC" w:rsidP="00250031">
            <w:pPr>
              <w:pStyle w:val="Tabell"/>
              <w:rPr>
                <w:lang w:val="en-GB"/>
              </w:rPr>
            </w:pPr>
            <w:r w:rsidRPr="00446052">
              <w:t>3.1 (2.5-3.7)</w:t>
            </w:r>
          </w:p>
        </w:tc>
      </w:tr>
      <w:tr w:rsidR="00AA7DDC" w:rsidRPr="00446052" w14:paraId="2C5342D8" w14:textId="77777777" w:rsidTr="00250031">
        <w:trPr>
          <w:trHeight w:val="300"/>
        </w:trPr>
        <w:tc>
          <w:tcPr>
            <w:tcW w:w="2935" w:type="pct"/>
            <w:noWrap/>
            <w:hideMark/>
          </w:tcPr>
          <w:p w14:paraId="0DEE098F" w14:textId="77777777" w:rsidR="00AA7DDC" w:rsidRPr="00446052" w:rsidRDefault="00AA7DDC" w:rsidP="00250031">
            <w:pPr>
              <w:pStyle w:val="Tabell"/>
              <w:rPr>
                <w:lang w:val="en-GB"/>
              </w:rPr>
            </w:pPr>
            <w:r w:rsidRPr="00446052">
              <w:rPr>
                <w:lang w:val="en-GB"/>
              </w:rPr>
              <w:t>HDL, mmol/L – median (Q1-Q3)</w:t>
            </w:r>
          </w:p>
        </w:tc>
        <w:tc>
          <w:tcPr>
            <w:tcW w:w="975" w:type="pct"/>
            <w:noWrap/>
            <w:hideMark/>
          </w:tcPr>
          <w:p w14:paraId="7FF17B67" w14:textId="77777777" w:rsidR="00AA7DDC" w:rsidRPr="00446052" w:rsidRDefault="00AA7DDC" w:rsidP="00250031">
            <w:pPr>
              <w:pStyle w:val="Tabell"/>
              <w:rPr>
                <w:lang w:val="en-GB"/>
              </w:rPr>
            </w:pPr>
            <w:r w:rsidRPr="00446052">
              <w:t>1.1 (1.0-1.4)</w:t>
            </w:r>
          </w:p>
        </w:tc>
        <w:tc>
          <w:tcPr>
            <w:tcW w:w="1090" w:type="pct"/>
            <w:noWrap/>
            <w:hideMark/>
          </w:tcPr>
          <w:p w14:paraId="6E18110E" w14:textId="77777777" w:rsidR="00AA7DDC" w:rsidRPr="00446052" w:rsidRDefault="00AA7DDC" w:rsidP="00250031">
            <w:pPr>
              <w:pStyle w:val="Tabell"/>
              <w:rPr>
                <w:lang w:val="en-GB"/>
              </w:rPr>
            </w:pPr>
            <w:r w:rsidRPr="00446052">
              <w:t>1.1 (1.0-1.4)</w:t>
            </w:r>
          </w:p>
        </w:tc>
      </w:tr>
      <w:tr w:rsidR="00AA7DDC" w:rsidRPr="00446052" w14:paraId="023E1458" w14:textId="77777777" w:rsidTr="00250031">
        <w:trPr>
          <w:trHeight w:val="300"/>
        </w:trPr>
        <w:tc>
          <w:tcPr>
            <w:tcW w:w="2935" w:type="pct"/>
            <w:noWrap/>
            <w:hideMark/>
          </w:tcPr>
          <w:p w14:paraId="11381C95" w14:textId="77777777" w:rsidR="00AA7DDC" w:rsidRPr="00446052" w:rsidRDefault="00AA7DDC" w:rsidP="00250031">
            <w:pPr>
              <w:pStyle w:val="Tabell"/>
              <w:rPr>
                <w:lang w:val="en-GB"/>
              </w:rPr>
            </w:pPr>
            <w:r w:rsidRPr="00446052">
              <w:rPr>
                <w:lang w:val="en-GB"/>
              </w:rPr>
              <w:t>Triglycerides, mmol/L – median (Q1-Q3)</w:t>
            </w:r>
          </w:p>
        </w:tc>
        <w:tc>
          <w:tcPr>
            <w:tcW w:w="975" w:type="pct"/>
            <w:noWrap/>
            <w:hideMark/>
          </w:tcPr>
          <w:p w14:paraId="30AD37E0" w14:textId="77777777" w:rsidR="00AA7DDC" w:rsidRPr="00446052" w:rsidRDefault="00AA7DDC" w:rsidP="00250031">
            <w:pPr>
              <w:pStyle w:val="Tabell"/>
              <w:rPr>
                <w:lang w:val="en-GB"/>
              </w:rPr>
            </w:pPr>
            <w:r w:rsidRPr="00446052">
              <w:t>1.8 (1.2-2.6)</w:t>
            </w:r>
          </w:p>
        </w:tc>
        <w:tc>
          <w:tcPr>
            <w:tcW w:w="1090" w:type="pct"/>
            <w:noWrap/>
            <w:hideMark/>
          </w:tcPr>
          <w:p w14:paraId="00456B9D" w14:textId="77777777" w:rsidR="00AA7DDC" w:rsidRPr="00446052" w:rsidRDefault="00AA7DDC" w:rsidP="00250031">
            <w:pPr>
              <w:pStyle w:val="Tabell"/>
              <w:rPr>
                <w:lang w:val="en-GB"/>
              </w:rPr>
            </w:pPr>
            <w:r w:rsidRPr="00446052">
              <w:t>1.8 (1.3-2.5)</w:t>
            </w:r>
          </w:p>
        </w:tc>
      </w:tr>
      <w:tr w:rsidR="00AA7DDC" w:rsidRPr="00446052" w14:paraId="05654CB0" w14:textId="77777777" w:rsidTr="00250031">
        <w:trPr>
          <w:trHeight w:val="300"/>
        </w:trPr>
        <w:tc>
          <w:tcPr>
            <w:tcW w:w="2935" w:type="pct"/>
            <w:noWrap/>
            <w:hideMark/>
          </w:tcPr>
          <w:p w14:paraId="229F3130" w14:textId="77777777" w:rsidR="00AA7DDC" w:rsidRPr="00446052" w:rsidRDefault="00AA7DDC" w:rsidP="00250031">
            <w:pPr>
              <w:pStyle w:val="Tabell"/>
              <w:rPr>
                <w:lang w:val="en-GB"/>
              </w:rPr>
            </w:pPr>
            <w:r w:rsidRPr="00446052">
              <w:rPr>
                <w:lang w:val="en-GB"/>
              </w:rPr>
              <w:t xml:space="preserve">Creatinine, μmol/L – median (Q1-Q3) </w:t>
            </w:r>
          </w:p>
        </w:tc>
        <w:tc>
          <w:tcPr>
            <w:tcW w:w="975" w:type="pct"/>
            <w:noWrap/>
            <w:hideMark/>
          </w:tcPr>
          <w:p w14:paraId="502ECFA6" w14:textId="77777777" w:rsidR="00AA7DDC" w:rsidRPr="00446052" w:rsidRDefault="00AA7DDC" w:rsidP="00250031">
            <w:pPr>
              <w:pStyle w:val="Tabell"/>
              <w:rPr>
                <w:lang w:val="en-GB"/>
              </w:rPr>
            </w:pPr>
            <w:r w:rsidRPr="00446052">
              <w:t>69 (60-80)</w:t>
            </w:r>
          </w:p>
        </w:tc>
        <w:tc>
          <w:tcPr>
            <w:tcW w:w="1090" w:type="pct"/>
            <w:noWrap/>
            <w:hideMark/>
          </w:tcPr>
          <w:p w14:paraId="2EE0E95C" w14:textId="77777777" w:rsidR="00AA7DDC" w:rsidRPr="00446052" w:rsidRDefault="00AA7DDC" w:rsidP="00250031">
            <w:pPr>
              <w:pStyle w:val="Tabell"/>
              <w:rPr>
                <w:lang w:val="en-GB"/>
              </w:rPr>
            </w:pPr>
            <w:r w:rsidRPr="00446052">
              <w:t>69 (60-80)</w:t>
            </w:r>
          </w:p>
        </w:tc>
      </w:tr>
      <w:tr w:rsidR="00AA7DDC" w:rsidRPr="00446052" w14:paraId="4108E53E" w14:textId="77777777" w:rsidTr="00250031">
        <w:trPr>
          <w:trHeight w:val="300"/>
        </w:trPr>
        <w:tc>
          <w:tcPr>
            <w:tcW w:w="2935" w:type="pct"/>
            <w:noWrap/>
            <w:hideMark/>
          </w:tcPr>
          <w:p w14:paraId="1A3B9C62" w14:textId="77777777" w:rsidR="00AA7DDC" w:rsidRPr="00446052" w:rsidRDefault="00AA7DDC" w:rsidP="00250031">
            <w:pPr>
              <w:pStyle w:val="Tabell"/>
              <w:rPr>
                <w:lang w:val="sv-SE"/>
              </w:rPr>
            </w:pPr>
            <w:r w:rsidRPr="00446052">
              <w:rPr>
                <w:lang w:val="sv-SE"/>
              </w:rPr>
              <w:t>eGFR, mL/min/1.73 m</w:t>
            </w:r>
            <w:r w:rsidRPr="00446052">
              <w:rPr>
                <w:vertAlign w:val="superscript"/>
                <w:lang w:val="sv-SE"/>
              </w:rPr>
              <w:t>2</w:t>
            </w:r>
            <w:r w:rsidRPr="00446052">
              <w:rPr>
                <w:lang w:val="sv-SE"/>
              </w:rPr>
              <w:t xml:space="preserve"> – median (Q1-Q3)</w:t>
            </w:r>
          </w:p>
        </w:tc>
        <w:tc>
          <w:tcPr>
            <w:tcW w:w="975" w:type="pct"/>
            <w:noWrap/>
            <w:hideMark/>
          </w:tcPr>
          <w:p w14:paraId="7BEB2806" w14:textId="77777777" w:rsidR="00AA7DDC" w:rsidRPr="00446052" w:rsidRDefault="00AA7DDC" w:rsidP="00250031">
            <w:pPr>
              <w:pStyle w:val="Tabell"/>
              <w:rPr>
                <w:lang w:val="en-GB"/>
              </w:rPr>
            </w:pPr>
            <w:r w:rsidRPr="00446052">
              <w:t>88.9 (76.7-102.2)</w:t>
            </w:r>
          </w:p>
        </w:tc>
        <w:tc>
          <w:tcPr>
            <w:tcW w:w="1090" w:type="pct"/>
            <w:noWrap/>
            <w:hideMark/>
          </w:tcPr>
          <w:p w14:paraId="076B78E0" w14:textId="77777777" w:rsidR="00AA7DDC" w:rsidRPr="00446052" w:rsidRDefault="00AA7DDC" w:rsidP="00250031">
            <w:pPr>
              <w:pStyle w:val="Tabell"/>
              <w:rPr>
                <w:lang w:val="en-GB"/>
              </w:rPr>
            </w:pPr>
            <w:r w:rsidRPr="00446052">
              <w:t>89.2 (76.6-103.6)</w:t>
            </w:r>
          </w:p>
        </w:tc>
      </w:tr>
      <w:tr w:rsidR="00AA7DDC" w:rsidRPr="00446052" w14:paraId="280A8C01" w14:textId="77777777" w:rsidTr="00250031">
        <w:trPr>
          <w:trHeight w:val="300"/>
        </w:trPr>
        <w:tc>
          <w:tcPr>
            <w:tcW w:w="2935" w:type="pct"/>
            <w:noWrap/>
            <w:hideMark/>
          </w:tcPr>
          <w:p w14:paraId="0D4F5A63" w14:textId="77777777" w:rsidR="00AA7DDC" w:rsidRPr="00446052" w:rsidRDefault="00AA7DDC" w:rsidP="00250031">
            <w:pPr>
              <w:pStyle w:val="Tabell"/>
              <w:rPr>
                <w:lang w:val="en-GB"/>
              </w:rPr>
            </w:pPr>
            <w:r w:rsidRPr="00446052">
              <w:rPr>
                <w:lang w:val="en-GB"/>
              </w:rPr>
              <w:t xml:space="preserve">Moderately increased albuminuria – no. (%) </w:t>
            </w:r>
          </w:p>
        </w:tc>
        <w:tc>
          <w:tcPr>
            <w:tcW w:w="975" w:type="pct"/>
            <w:noWrap/>
            <w:hideMark/>
          </w:tcPr>
          <w:p w14:paraId="384B39CB" w14:textId="77777777" w:rsidR="00AA7DDC" w:rsidRPr="00446052" w:rsidRDefault="00AA7DDC" w:rsidP="00250031">
            <w:pPr>
              <w:pStyle w:val="Tabell"/>
              <w:rPr>
                <w:lang w:val="en-GB"/>
              </w:rPr>
            </w:pPr>
            <w:r w:rsidRPr="00446052">
              <w:t>753 (10.9)</w:t>
            </w:r>
          </w:p>
        </w:tc>
        <w:tc>
          <w:tcPr>
            <w:tcW w:w="1090" w:type="pct"/>
            <w:noWrap/>
            <w:hideMark/>
          </w:tcPr>
          <w:p w14:paraId="38F4F292" w14:textId="77777777" w:rsidR="00AA7DDC" w:rsidRPr="00446052" w:rsidRDefault="00AA7DDC" w:rsidP="00250031">
            <w:pPr>
              <w:pStyle w:val="Tabell"/>
              <w:rPr>
                <w:lang w:val="en-GB"/>
              </w:rPr>
            </w:pPr>
            <w:r w:rsidRPr="00446052">
              <w:t>1472 (10.6)</w:t>
            </w:r>
          </w:p>
        </w:tc>
      </w:tr>
      <w:tr w:rsidR="00AA7DDC" w:rsidRPr="00446052" w14:paraId="256422E2" w14:textId="77777777" w:rsidTr="00250031">
        <w:trPr>
          <w:trHeight w:val="300"/>
        </w:trPr>
        <w:tc>
          <w:tcPr>
            <w:tcW w:w="2935" w:type="pct"/>
            <w:noWrap/>
            <w:hideMark/>
          </w:tcPr>
          <w:p w14:paraId="37A9C859" w14:textId="77777777" w:rsidR="00AA7DDC" w:rsidRPr="00446052" w:rsidRDefault="00AA7DDC" w:rsidP="00250031">
            <w:pPr>
              <w:pStyle w:val="Tabell"/>
              <w:rPr>
                <w:lang w:val="en-GB"/>
              </w:rPr>
            </w:pPr>
            <w:r w:rsidRPr="00446052">
              <w:rPr>
                <w:lang w:val="en-GB"/>
              </w:rPr>
              <w:t>Severely increased albuminuria – no. (%)</w:t>
            </w:r>
          </w:p>
        </w:tc>
        <w:tc>
          <w:tcPr>
            <w:tcW w:w="975" w:type="pct"/>
            <w:noWrap/>
            <w:hideMark/>
          </w:tcPr>
          <w:p w14:paraId="0777CAD6" w14:textId="77777777" w:rsidR="00AA7DDC" w:rsidRPr="00446052" w:rsidRDefault="00AA7DDC" w:rsidP="00250031">
            <w:pPr>
              <w:pStyle w:val="Tabell"/>
              <w:rPr>
                <w:lang w:val="en-GB"/>
              </w:rPr>
            </w:pPr>
            <w:r w:rsidRPr="00446052">
              <w:t>214 (3.1)</w:t>
            </w:r>
          </w:p>
        </w:tc>
        <w:tc>
          <w:tcPr>
            <w:tcW w:w="1090" w:type="pct"/>
            <w:noWrap/>
            <w:hideMark/>
          </w:tcPr>
          <w:p w14:paraId="19AD38AE" w14:textId="77777777" w:rsidR="00AA7DDC" w:rsidRPr="00446052" w:rsidRDefault="00AA7DDC" w:rsidP="00250031">
            <w:pPr>
              <w:pStyle w:val="Tabell"/>
              <w:rPr>
                <w:lang w:val="en-GB"/>
              </w:rPr>
            </w:pPr>
            <w:r w:rsidRPr="00446052">
              <w:t>434 (3.1)</w:t>
            </w:r>
          </w:p>
        </w:tc>
      </w:tr>
      <w:tr w:rsidR="00AA7DDC" w:rsidRPr="00446052" w14:paraId="1099490D" w14:textId="77777777" w:rsidTr="00250031">
        <w:trPr>
          <w:trHeight w:val="300"/>
        </w:trPr>
        <w:tc>
          <w:tcPr>
            <w:tcW w:w="2935" w:type="pct"/>
            <w:noWrap/>
            <w:hideMark/>
          </w:tcPr>
          <w:p w14:paraId="0D9B105F" w14:textId="77777777" w:rsidR="00AA7DDC" w:rsidRPr="00446052" w:rsidRDefault="00AA7DDC" w:rsidP="00250031">
            <w:pPr>
              <w:pStyle w:val="Tabell"/>
              <w:rPr>
                <w:lang w:val="en-GB"/>
              </w:rPr>
            </w:pPr>
            <w:r w:rsidRPr="00446052">
              <w:rPr>
                <w:lang w:val="en-GB"/>
              </w:rPr>
              <w:t>Weight, kg – median (Q1-Q3)</w:t>
            </w:r>
          </w:p>
        </w:tc>
        <w:tc>
          <w:tcPr>
            <w:tcW w:w="975" w:type="pct"/>
            <w:noWrap/>
            <w:hideMark/>
          </w:tcPr>
          <w:p w14:paraId="10CFBEF1" w14:textId="77777777" w:rsidR="00AA7DDC" w:rsidRPr="00446052" w:rsidRDefault="00AA7DDC" w:rsidP="00250031">
            <w:pPr>
              <w:pStyle w:val="Tabell"/>
              <w:rPr>
                <w:lang w:val="en-GB"/>
              </w:rPr>
            </w:pPr>
            <w:r w:rsidRPr="00446052">
              <w:t>93.0 (81.7-106.0)</w:t>
            </w:r>
          </w:p>
        </w:tc>
        <w:tc>
          <w:tcPr>
            <w:tcW w:w="1090" w:type="pct"/>
            <w:noWrap/>
            <w:hideMark/>
          </w:tcPr>
          <w:p w14:paraId="0CDCE065" w14:textId="77777777" w:rsidR="00AA7DDC" w:rsidRPr="00446052" w:rsidRDefault="00AA7DDC" w:rsidP="00250031">
            <w:pPr>
              <w:pStyle w:val="Tabell"/>
              <w:rPr>
                <w:lang w:val="en-GB"/>
              </w:rPr>
            </w:pPr>
            <w:r w:rsidRPr="00446052">
              <w:t>92.9 (81.0-106.2)</w:t>
            </w:r>
          </w:p>
        </w:tc>
      </w:tr>
      <w:tr w:rsidR="00AA7DDC" w:rsidRPr="00446052" w14:paraId="3B68D5CA" w14:textId="77777777" w:rsidTr="00250031">
        <w:trPr>
          <w:trHeight w:val="300"/>
        </w:trPr>
        <w:tc>
          <w:tcPr>
            <w:tcW w:w="2935" w:type="pct"/>
            <w:noWrap/>
            <w:hideMark/>
          </w:tcPr>
          <w:p w14:paraId="639440B3" w14:textId="77777777" w:rsidR="00AA7DDC" w:rsidRPr="00446052" w:rsidRDefault="00AA7DDC" w:rsidP="00250031">
            <w:pPr>
              <w:pStyle w:val="Tabell"/>
              <w:rPr>
                <w:lang w:val="en-GB"/>
              </w:rPr>
            </w:pPr>
            <w:r w:rsidRPr="00446052">
              <w:rPr>
                <w:lang w:val="en-GB"/>
              </w:rPr>
              <w:t>Body mass index, kg/m</w:t>
            </w:r>
            <w:r w:rsidRPr="00446052">
              <w:rPr>
                <w:vertAlign w:val="superscript"/>
                <w:lang w:val="en-GB"/>
              </w:rPr>
              <w:t>2</w:t>
            </w:r>
            <w:r w:rsidRPr="00446052">
              <w:rPr>
                <w:lang w:val="en-GB"/>
              </w:rPr>
              <w:t xml:space="preserve"> – median (Q1-Q3)</w:t>
            </w:r>
          </w:p>
        </w:tc>
        <w:tc>
          <w:tcPr>
            <w:tcW w:w="975" w:type="pct"/>
            <w:noWrap/>
            <w:hideMark/>
          </w:tcPr>
          <w:p w14:paraId="49831015" w14:textId="77777777" w:rsidR="00AA7DDC" w:rsidRPr="00446052" w:rsidRDefault="00AA7DDC" w:rsidP="00250031">
            <w:pPr>
              <w:pStyle w:val="Tabell"/>
              <w:rPr>
                <w:lang w:val="en-GB"/>
              </w:rPr>
            </w:pPr>
            <w:r w:rsidRPr="00446052">
              <w:t>31.4 (28.0-35.4)</w:t>
            </w:r>
          </w:p>
        </w:tc>
        <w:tc>
          <w:tcPr>
            <w:tcW w:w="1090" w:type="pct"/>
            <w:noWrap/>
            <w:hideMark/>
          </w:tcPr>
          <w:p w14:paraId="440CD58A" w14:textId="77777777" w:rsidR="00AA7DDC" w:rsidRPr="00446052" w:rsidRDefault="00AA7DDC" w:rsidP="00250031">
            <w:pPr>
              <w:pStyle w:val="Tabell"/>
              <w:rPr>
                <w:lang w:val="en-GB"/>
              </w:rPr>
            </w:pPr>
            <w:r w:rsidRPr="00446052">
              <w:t>31.3 (28.1-35.4)</w:t>
            </w:r>
          </w:p>
        </w:tc>
      </w:tr>
      <w:tr w:rsidR="00AA7DDC" w:rsidRPr="00446052" w14:paraId="297F5286" w14:textId="77777777" w:rsidTr="00250031">
        <w:trPr>
          <w:trHeight w:val="300"/>
        </w:trPr>
        <w:tc>
          <w:tcPr>
            <w:tcW w:w="2935" w:type="pct"/>
            <w:noWrap/>
            <w:hideMark/>
          </w:tcPr>
          <w:p w14:paraId="3FDE8B3D" w14:textId="77777777" w:rsidR="00AA7DDC" w:rsidRPr="00446052" w:rsidRDefault="00AA7DDC" w:rsidP="00250031">
            <w:pPr>
              <w:pStyle w:val="Tabell"/>
              <w:rPr>
                <w:lang w:val="en-GB"/>
              </w:rPr>
            </w:pPr>
            <w:r w:rsidRPr="00446052">
              <w:rPr>
                <w:lang w:val="en-GB"/>
              </w:rPr>
              <w:t>Current cigarette smoking – no. (%)</w:t>
            </w:r>
          </w:p>
        </w:tc>
        <w:tc>
          <w:tcPr>
            <w:tcW w:w="975" w:type="pct"/>
            <w:noWrap/>
            <w:hideMark/>
          </w:tcPr>
          <w:p w14:paraId="5790695E" w14:textId="77777777" w:rsidR="00AA7DDC" w:rsidRPr="00446052" w:rsidRDefault="00AA7DDC" w:rsidP="00250031">
            <w:pPr>
              <w:pStyle w:val="Tabell"/>
              <w:rPr>
                <w:lang w:val="en-GB"/>
              </w:rPr>
            </w:pPr>
            <w:r w:rsidRPr="00446052">
              <w:t>1367 (19.7)</w:t>
            </w:r>
          </w:p>
        </w:tc>
        <w:tc>
          <w:tcPr>
            <w:tcW w:w="1090" w:type="pct"/>
            <w:noWrap/>
            <w:hideMark/>
          </w:tcPr>
          <w:p w14:paraId="5A271C8E" w14:textId="77777777" w:rsidR="00AA7DDC" w:rsidRPr="00446052" w:rsidRDefault="00AA7DDC" w:rsidP="00250031">
            <w:pPr>
              <w:pStyle w:val="Tabell"/>
              <w:rPr>
                <w:lang w:val="en-GB"/>
              </w:rPr>
            </w:pPr>
            <w:r w:rsidRPr="00446052">
              <w:t>2827 (20.4)</w:t>
            </w:r>
          </w:p>
        </w:tc>
      </w:tr>
      <w:tr w:rsidR="00AA7DDC" w:rsidRPr="00446052" w14:paraId="184294C8" w14:textId="77777777" w:rsidTr="00250031">
        <w:trPr>
          <w:trHeight w:val="300"/>
        </w:trPr>
        <w:tc>
          <w:tcPr>
            <w:tcW w:w="2935" w:type="pct"/>
            <w:noWrap/>
            <w:hideMark/>
          </w:tcPr>
          <w:p w14:paraId="148D977A" w14:textId="77777777" w:rsidR="00AA7DDC" w:rsidRPr="00446052" w:rsidRDefault="00AA7DDC" w:rsidP="00250031">
            <w:pPr>
              <w:pStyle w:val="Tabell"/>
              <w:rPr>
                <w:lang w:val="en-GB"/>
              </w:rPr>
            </w:pPr>
            <w:r w:rsidRPr="00446052">
              <w:rPr>
                <w:lang w:val="en-GB"/>
              </w:rPr>
              <w:t>Physically active on a daily basis – no. (%)</w:t>
            </w:r>
          </w:p>
        </w:tc>
        <w:tc>
          <w:tcPr>
            <w:tcW w:w="975" w:type="pct"/>
            <w:noWrap/>
          </w:tcPr>
          <w:p w14:paraId="16F8F106" w14:textId="77777777" w:rsidR="00AA7DDC" w:rsidRPr="00446052" w:rsidRDefault="00AA7DDC" w:rsidP="00250031">
            <w:pPr>
              <w:pStyle w:val="Tabell"/>
              <w:rPr>
                <w:lang w:val="en-GB"/>
              </w:rPr>
            </w:pPr>
            <w:r w:rsidRPr="00446052">
              <w:t>2976 (43.0)</w:t>
            </w:r>
          </w:p>
        </w:tc>
        <w:tc>
          <w:tcPr>
            <w:tcW w:w="1090" w:type="pct"/>
            <w:noWrap/>
          </w:tcPr>
          <w:p w14:paraId="67433484" w14:textId="77777777" w:rsidR="00AA7DDC" w:rsidRPr="00446052" w:rsidRDefault="00AA7DDC" w:rsidP="00250031">
            <w:pPr>
              <w:pStyle w:val="Tabell"/>
              <w:rPr>
                <w:lang w:val="en-GB"/>
              </w:rPr>
            </w:pPr>
            <w:r w:rsidRPr="00446052">
              <w:t>5979 (43.2)</w:t>
            </w:r>
          </w:p>
        </w:tc>
      </w:tr>
      <w:tr w:rsidR="00AA7DDC" w:rsidRPr="00446052" w14:paraId="0700783B" w14:textId="77777777" w:rsidTr="00250031">
        <w:trPr>
          <w:trHeight w:val="300"/>
        </w:trPr>
        <w:tc>
          <w:tcPr>
            <w:tcW w:w="2935" w:type="pct"/>
            <w:noWrap/>
            <w:hideMark/>
          </w:tcPr>
          <w:p w14:paraId="4D52748D" w14:textId="77777777" w:rsidR="00AA7DDC" w:rsidRPr="00446052" w:rsidRDefault="00AA7DDC" w:rsidP="00250031">
            <w:pPr>
              <w:pStyle w:val="Tabell"/>
              <w:rPr>
                <w:lang w:val="en-GB"/>
              </w:rPr>
            </w:pPr>
            <w:r w:rsidRPr="00446052">
              <w:rPr>
                <w:b/>
                <w:bCs/>
                <w:lang w:val="en-GB"/>
              </w:rPr>
              <w:t>Baseline treatment</w:t>
            </w:r>
            <w:r w:rsidRPr="00446052">
              <w:rPr>
                <w:lang w:val="en-GB"/>
              </w:rPr>
              <w:t xml:space="preserve"> – no. (%)</w:t>
            </w:r>
          </w:p>
        </w:tc>
        <w:tc>
          <w:tcPr>
            <w:tcW w:w="975" w:type="pct"/>
            <w:noWrap/>
            <w:hideMark/>
          </w:tcPr>
          <w:p w14:paraId="6F4E3264" w14:textId="77777777" w:rsidR="00AA7DDC" w:rsidRPr="00446052" w:rsidRDefault="00AA7DDC" w:rsidP="00250031">
            <w:pPr>
              <w:pStyle w:val="Tabell"/>
              <w:rPr>
                <w:lang w:val="en-GB"/>
              </w:rPr>
            </w:pPr>
          </w:p>
        </w:tc>
        <w:tc>
          <w:tcPr>
            <w:tcW w:w="1090" w:type="pct"/>
            <w:noWrap/>
            <w:hideMark/>
          </w:tcPr>
          <w:p w14:paraId="25F0191F" w14:textId="77777777" w:rsidR="00AA7DDC" w:rsidRPr="00446052" w:rsidRDefault="00AA7DDC" w:rsidP="00250031">
            <w:pPr>
              <w:pStyle w:val="Tabell"/>
              <w:rPr>
                <w:lang w:val="en-GB"/>
              </w:rPr>
            </w:pPr>
          </w:p>
        </w:tc>
      </w:tr>
      <w:tr w:rsidR="00AA7DDC" w:rsidRPr="00446052" w14:paraId="71EAB8A8" w14:textId="77777777" w:rsidTr="00250031">
        <w:trPr>
          <w:trHeight w:val="300"/>
        </w:trPr>
        <w:tc>
          <w:tcPr>
            <w:tcW w:w="2935" w:type="pct"/>
            <w:noWrap/>
            <w:hideMark/>
          </w:tcPr>
          <w:p w14:paraId="38112B3A" w14:textId="77777777" w:rsidR="00AA7DDC" w:rsidRPr="00446052" w:rsidRDefault="00AA7DDC" w:rsidP="00250031">
            <w:pPr>
              <w:pStyle w:val="Tabell"/>
              <w:rPr>
                <w:lang w:val="en-GB"/>
              </w:rPr>
            </w:pPr>
            <w:r w:rsidRPr="00446052">
              <w:rPr>
                <w:lang w:val="en-GB"/>
              </w:rPr>
              <w:t xml:space="preserve">   Blood pressure lowering treatment</w:t>
            </w:r>
          </w:p>
        </w:tc>
        <w:tc>
          <w:tcPr>
            <w:tcW w:w="975" w:type="pct"/>
            <w:noWrap/>
            <w:hideMark/>
          </w:tcPr>
          <w:p w14:paraId="05B427F7" w14:textId="77777777" w:rsidR="00AA7DDC" w:rsidRPr="00446052" w:rsidRDefault="00AA7DDC" w:rsidP="00250031">
            <w:pPr>
              <w:pStyle w:val="Tabell"/>
              <w:rPr>
                <w:lang w:val="en-GB"/>
              </w:rPr>
            </w:pPr>
            <w:r w:rsidRPr="00446052">
              <w:t>3951 (57.0)</w:t>
            </w:r>
          </w:p>
        </w:tc>
        <w:tc>
          <w:tcPr>
            <w:tcW w:w="1090" w:type="pct"/>
            <w:noWrap/>
            <w:hideMark/>
          </w:tcPr>
          <w:p w14:paraId="6B6DE4AD" w14:textId="77777777" w:rsidR="00AA7DDC" w:rsidRPr="00446052" w:rsidRDefault="00AA7DDC" w:rsidP="00250031">
            <w:pPr>
              <w:pStyle w:val="Tabell"/>
              <w:rPr>
                <w:lang w:val="en-GB"/>
              </w:rPr>
            </w:pPr>
            <w:r w:rsidRPr="00446052">
              <w:t>8080 (58.3)</w:t>
            </w:r>
          </w:p>
        </w:tc>
      </w:tr>
      <w:tr w:rsidR="00AA7DDC" w:rsidRPr="00446052" w14:paraId="7FFCA613" w14:textId="77777777" w:rsidTr="00250031">
        <w:trPr>
          <w:trHeight w:val="300"/>
        </w:trPr>
        <w:tc>
          <w:tcPr>
            <w:tcW w:w="2935" w:type="pct"/>
            <w:noWrap/>
            <w:hideMark/>
          </w:tcPr>
          <w:p w14:paraId="54BAEFF4" w14:textId="77777777" w:rsidR="00AA7DDC" w:rsidRPr="00446052" w:rsidRDefault="00AA7DDC" w:rsidP="00250031">
            <w:pPr>
              <w:pStyle w:val="Tabell"/>
              <w:rPr>
                <w:lang w:val="en-GB"/>
              </w:rPr>
            </w:pPr>
            <w:r w:rsidRPr="00446052">
              <w:rPr>
                <w:lang w:val="en-GB"/>
              </w:rPr>
              <w:t xml:space="preserve">   Diabetes treatment </w:t>
            </w:r>
          </w:p>
        </w:tc>
        <w:tc>
          <w:tcPr>
            <w:tcW w:w="975" w:type="pct"/>
            <w:noWrap/>
            <w:hideMark/>
          </w:tcPr>
          <w:p w14:paraId="22944546" w14:textId="77777777" w:rsidR="00AA7DDC" w:rsidRPr="00446052" w:rsidRDefault="00AA7DDC" w:rsidP="00250031">
            <w:pPr>
              <w:pStyle w:val="Tabell"/>
              <w:rPr>
                <w:lang w:val="en-GB"/>
              </w:rPr>
            </w:pPr>
          </w:p>
        </w:tc>
        <w:tc>
          <w:tcPr>
            <w:tcW w:w="1090" w:type="pct"/>
            <w:noWrap/>
            <w:hideMark/>
          </w:tcPr>
          <w:p w14:paraId="2D325BE8" w14:textId="77777777" w:rsidR="00AA7DDC" w:rsidRPr="00446052" w:rsidRDefault="00AA7DDC" w:rsidP="00250031">
            <w:pPr>
              <w:pStyle w:val="Tabell"/>
              <w:rPr>
                <w:lang w:val="en-GB"/>
              </w:rPr>
            </w:pPr>
          </w:p>
        </w:tc>
      </w:tr>
      <w:tr w:rsidR="00AA7DDC" w:rsidRPr="00446052" w14:paraId="73960951" w14:textId="77777777" w:rsidTr="00250031">
        <w:trPr>
          <w:trHeight w:val="300"/>
        </w:trPr>
        <w:tc>
          <w:tcPr>
            <w:tcW w:w="2935" w:type="pct"/>
            <w:noWrap/>
            <w:hideMark/>
          </w:tcPr>
          <w:p w14:paraId="1A7C1C18" w14:textId="77777777" w:rsidR="00AA7DDC" w:rsidRPr="00446052" w:rsidRDefault="00AA7DDC" w:rsidP="00250031">
            <w:pPr>
              <w:pStyle w:val="Tabell"/>
              <w:rPr>
                <w:lang w:val="en-GB"/>
              </w:rPr>
            </w:pPr>
            <w:r w:rsidRPr="00446052">
              <w:rPr>
                <w:lang w:val="en-GB"/>
              </w:rPr>
              <w:t xml:space="preserve">     Lifestyle</w:t>
            </w:r>
          </w:p>
        </w:tc>
        <w:tc>
          <w:tcPr>
            <w:tcW w:w="975" w:type="pct"/>
            <w:noWrap/>
            <w:hideMark/>
          </w:tcPr>
          <w:p w14:paraId="264E7B7E" w14:textId="77777777" w:rsidR="00AA7DDC" w:rsidRPr="00446052" w:rsidRDefault="00AA7DDC" w:rsidP="00250031">
            <w:pPr>
              <w:pStyle w:val="Tabell"/>
              <w:rPr>
                <w:lang w:val="en-GB"/>
              </w:rPr>
            </w:pPr>
            <w:r w:rsidRPr="00446052">
              <w:rPr>
                <w:lang w:val="sv-SE"/>
              </w:rPr>
              <w:t>2870 (41.4)</w:t>
            </w:r>
          </w:p>
        </w:tc>
        <w:tc>
          <w:tcPr>
            <w:tcW w:w="1090" w:type="pct"/>
            <w:noWrap/>
            <w:hideMark/>
          </w:tcPr>
          <w:p w14:paraId="2BE46226" w14:textId="77777777" w:rsidR="00AA7DDC" w:rsidRPr="00446052" w:rsidRDefault="00AA7DDC" w:rsidP="00250031">
            <w:pPr>
              <w:pStyle w:val="Tabell"/>
              <w:rPr>
                <w:lang w:val="en-GB"/>
              </w:rPr>
            </w:pPr>
            <w:r w:rsidRPr="00446052">
              <w:rPr>
                <w:lang w:val="sv-SE"/>
              </w:rPr>
              <w:t>5783 (41.8)</w:t>
            </w:r>
          </w:p>
        </w:tc>
      </w:tr>
      <w:tr w:rsidR="00AA7DDC" w:rsidRPr="00446052" w14:paraId="1CB06BED" w14:textId="77777777" w:rsidTr="00250031">
        <w:trPr>
          <w:trHeight w:val="300"/>
        </w:trPr>
        <w:tc>
          <w:tcPr>
            <w:tcW w:w="2935" w:type="pct"/>
            <w:noWrap/>
            <w:hideMark/>
          </w:tcPr>
          <w:p w14:paraId="5DF06D7F" w14:textId="77777777" w:rsidR="00AA7DDC" w:rsidRPr="00446052" w:rsidRDefault="00AA7DDC" w:rsidP="00250031">
            <w:pPr>
              <w:pStyle w:val="Tabell"/>
              <w:rPr>
                <w:lang w:val="en-GB"/>
              </w:rPr>
            </w:pPr>
            <w:r w:rsidRPr="00446052">
              <w:rPr>
                <w:lang w:val="en-GB"/>
              </w:rPr>
              <w:t xml:space="preserve">     Oral treatment</w:t>
            </w:r>
          </w:p>
        </w:tc>
        <w:tc>
          <w:tcPr>
            <w:tcW w:w="975" w:type="pct"/>
            <w:noWrap/>
            <w:hideMark/>
          </w:tcPr>
          <w:p w14:paraId="6BA591C0" w14:textId="77777777" w:rsidR="00AA7DDC" w:rsidRPr="00446052" w:rsidRDefault="00AA7DDC" w:rsidP="00250031">
            <w:pPr>
              <w:pStyle w:val="Tabell"/>
              <w:rPr>
                <w:lang w:val="en-GB"/>
              </w:rPr>
            </w:pPr>
            <w:r w:rsidRPr="00446052">
              <w:rPr>
                <w:lang w:val="sv-SE"/>
              </w:rPr>
              <w:t>3421 (49.4)</w:t>
            </w:r>
          </w:p>
        </w:tc>
        <w:tc>
          <w:tcPr>
            <w:tcW w:w="1090" w:type="pct"/>
            <w:noWrap/>
            <w:hideMark/>
          </w:tcPr>
          <w:p w14:paraId="49D5732D" w14:textId="77777777" w:rsidR="00AA7DDC" w:rsidRPr="00446052" w:rsidRDefault="00AA7DDC" w:rsidP="00250031">
            <w:pPr>
              <w:pStyle w:val="Tabell"/>
              <w:rPr>
                <w:lang w:val="en-GB"/>
              </w:rPr>
            </w:pPr>
            <w:r w:rsidRPr="00446052">
              <w:rPr>
                <w:lang w:val="sv-SE"/>
              </w:rPr>
              <w:t>6911 (49.9)</w:t>
            </w:r>
          </w:p>
        </w:tc>
      </w:tr>
      <w:tr w:rsidR="00AA7DDC" w:rsidRPr="00446052" w14:paraId="676D599D" w14:textId="77777777" w:rsidTr="00250031">
        <w:trPr>
          <w:trHeight w:val="300"/>
        </w:trPr>
        <w:tc>
          <w:tcPr>
            <w:tcW w:w="2935" w:type="pct"/>
            <w:noWrap/>
            <w:hideMark/>
          </w:tcPr>
          <w:p w14:paraId="37293020" w14:textId="77777777" w:rsidR="00AA7DDC" w:rsidRPr="00446052" w:rsidRDefault="00AA7DDC" w:rsidP="00250031">
            <w:pPr>
              <w:pStyle w:val="Tabell"/>
              <w:rPr>
                <w:lang w:val="en-GB"/>
              </w:rPr>
            </w:pPr>
            <w:r w:rsidRPr="00446052">
              <w:rPr>
                <w:lang w:val="en-GB"/>
              </w:rPr>
              <w:t xml:space="preserve">     Insulin</w:t>
            </w:r>
          </w:p>
        </w:tc>
        <w:tc>
          <w:tcPr>
            <w:tcW w:w="975" w:type="pct"/>
            <w:noWrap/>
            <w:hideMark/>
          </w:tcPr>
          <w:p w14:paraId="42280AF9" w14:textId="77777777" w:rsidR="00AA7DDC" w:rsidRPr="00446052" w:rsidRDefault="00AA7DDC" w:rsidP="00250031">
            <w:pPr>
              <w:pStyle w:val="Tabell"/>
              <w:rPr>
                <w:lang w:val="en-GB"/>
              </w:rPr>
            </w:pPr>
            <w:r w:rsidRPr="00446052">
              <w:rPr>
                <w:lang w:val="sv-SE"/>
              </w:rPr>
              <w:t>259 (3.7)</w:t>
            </w:r>
          </w:p>
        </w:tc>
        <w:tc>
          <w:tcPr>
            <w:tcW w:w="1090" w:type="pct"/>
            <w:noWrap/>
            <w:hideMark/>
          </w:tcPr>
          <w:p w14:paraId="1539DA03" w14:textId="77777777" w:rsidR="00AA7DDC" w:rsidRPr="00446052" w:rsidRDefault="00AA7DDC" w:rsidP="00250031">
            <w:pPr>
              <w:pStyle w:val="Tabell"/>
              <w:rPr>
                <w:lang w:val="en-GB"/>
              </w:rPr>
            </w:pPr>
            <w:r w:rsidRPr="00446052">
              <w:rPr>
                <w:lang w:val="sv-SE"/>
              </w:rPr>
              <w:t>449 (3.2)</w:t>
            </w:r>
          </w:p>
        </w:tc>
      </w:tr>
      <w:tr w:rsidR="00AA7DDC" w:rsidRPr="00446052" w14:paraId="5EA7BB3E" w14:textId="77777777" w:rsidTr="00250031">
        <w:trPr>
          <w:trHeight w:val="300"/>
        </w:trPr>
        <w:tc>
          <w:tcPr>
            <w:tcW w:w="2935" w:type="pct"/>
            <w:noWrap/>
            <w:hideMark/>
          </w:tcPr>
          <w:p w14:paraId="6913C289" w14:textId="77777777" w:rsidR="00AA7DDC" w:rsidRPr="00446052" w:rsidRDefault="00AA7DDC" w:rsidP="00250031">
            <w:pPr>
              <w:pStyle w:val="Tabell"/>
              <w:rPr>
                <w:lang w:val="en-GB"/>
              </w:rPr>
            </w:pPr>
            <w:r w:rsidRPr="00446052">
              <w:rPr>
                <w:lang w:val="en-GB"/>
              </w:rPr>
              <w:t xml:space="preserve">     Oral treatment and insulin</w:t>
            </w:r>
          </w:p>
        </w:tc>
        <w:tc>
          <w:tcPr>
            <w:tcW w:w="975" w:type="pct"/>
            <w:noWrap/>
            <w:hideMark/>
          </w:tcPr>
          <w:p w14:paraId="361AEE31" w14:textId="77777777" w:rsidR="00AA7DDC" w:rsidRPr="00446052" w:rsidRDefault="00AA7DDC" w:rsidP="00250031">
            <w:pPr>
              <w:pStyle w:val="Tabell"/>
              <w:rPr>
                <w:lang w:val="en-GB"/>
              </w:rPr>
            </w:pPr>
            <w:r w:rsidRPr="00446052">
              <w:rPr>
                <w:lang w:val="sv-SE"/>
              </w:rPr>
              <w:t>358 (5.2)</w:t>
            </w:r>
          </w:p>
        </w:tc>
        <w:tc>
          <w:tcPr>
            <w:tcW w:w="1090" w:type="pct"/>
            <w:noWrap/>
            <w:hideMark/>
          </w:tcPr>
          <w:p w14:paraId="4230A145" w14:textId="77777777" w:rsidR="00AA7DDC" w:rsidRPr="00446052" w:rsidRDefault="00AA7DDC" w:rsidP="00250031">
            <w:pPr>
              <w:pStyle w:val="Tabell"/>
              <w:rPr>
                <w:lang w:val="en-GB"/>
              </w:rPr>
            </w:pPr>
            <w:r w:rsidRPr="00446052">
              <w:rPr>
                <w:lang w:val="sv-SE"/>
              </w:rPr>
              <w:t>680 (4.9)</w:t>
            </w:r>
          </w:p>
        </w:tc>
      </w:tr>
      <w:tr w:rsidR="00AA7DDC" w:rsidRPr="00446052" w14:paraId="6B0760C8" w14:textId="77777777" w:rsidTr="00250031">
        <w:trPr>
          <w:trHeight w:val="300"/>
        </w:trPr>
        <w:tc>
          <w:tcPr>
            <w:tcW w:w="2935" w:type="pct"/>
            <w:noWrap/>
            <w:hideMark/>
          </w:tcPr>
          <w:p w14:paraId="63C717EE" w14:textId="77777777" w:rsidR="00AA7DDC" w:rsidRPr="00446052" w:rsidRDefault="00AA7DDC" w:rsidP="00250031">
            <w:pPr>
              <w:pStyle w:val="Tabell"/>
              <w:ind w:left="599" w:hanging="599"/>
              <w:rPr>
                <w:lang w:val="en-GB"/>
              </w:rPr>
            </w:pPr>
            <w:r w:rsidRPr="00446052">
              <w:rPr>
                <w:lang w:val="en-GB"/>
              </w:rPr>
              <w:lastRenderedPageBreak/>
              <w:t xml:space="preserve">     GLP-1 analogues in addition to oral treatment and/or insulin</w:t>
            </w:r>
          </w:p>
        </w:tc>
        <w:tc>
          <w:tcPr>
            <w:tcW w:w="975" w:type="pct"/>
            <w:noWrap/>
            <w:hideMark/>
          </w:tcPr>
          <w:p w14:paraId="67EE0091" w14:textId="77777777" w:rsidR="00AA7DDC" w:rsidRPr="00446052" w:rsidRDefault="00AA7DDC" w:rsidP="00250031">
            <w:pPr>
              <w:pStyle w:val="Tabell"/>
              <w:rPr>
                <w:lang w:val="en-GB"/>
              </w:rPr>
            </w:pPr>
            <w:r w:rsidRPr="00446052">
              <w:rPr>
                <w:lang w:val="sv-SE"/>
              </w:rPr>
              <w:t>20 (0.3)</w:t>
            </w:r>
          </w:p>
        </w:tc>
        <w:tc>
          <w:tcPr>
            <w:tcW w:w="1090" w:type="pct"/>
            <w:noWrap/>
            <w:hideMark/>
          </w:tcPr>
          <w:p w14:paraId="3098A53A" w14:textId="77777777" w:rsidR="00AA7DDC" w:rsidRPr="00446052" w:rsidRDefault="00AA7DDC" w:rsidP="00250031">
            <w:pPr>
              <w:pStyle w:val="Tabell"/>
              <w:rPr>
                <w:lang w:val="en-GB"/>
              </w:rPr>
            </w:pPr>
            <w:r w:rsidRPr="00446052">
              <w:rPr>
                <w:lang w:val="sv-SE"/>
              </w:rPr>
              <w:t>23 (0.2)</w:t>
            </w:r>
          </w:p>
        </w:tc>
      </w:tr>
      <w:tr w:rsidR="00AA7DDC" w:rsidRPr="00446052" w14:paraId="6E7AAB57" w14:textId="77777777" w:rsidTr="00250031">
        <w:trPr>
          <w:trHeight w:val="300"/>
        </w:trPr>
        <w:tc>
          <w:tcPr>
            <w:tcW w:w="2935" w:type="pct"/>
            <w:noWrap/>
            <w:hideMark/>
          </w:tcPr>
          <w:p w14:paraId="1518DA23" w14:textId="77777777" w:rsidR="00AA7DDC" w:rsidRPr="00446052" w:rsidRDefault="00AA7DDC" w:rsidP="00250031">
            <w:pPr>
              <w:pStyle w:val="Tabell"/>
              <w:rPr>
                <w:lang w:val="en-GB"/>
              </w:rPr>
            </w:pPr>
            <w:r w:rsidRPr="00446052">
              <w:rPr>
                <w:lang w:val="en-GB"/>
              </w:rPr>
              <w:t xml:space="preserve">   Lipid-lowering treatment</w:t>
            </w:r>
          </w:p>
        </w:tc>
        <w:tc>
          <w:tcPr>
            <w:tcW w:w="975" w:type="pct"/>
            <w:noWrap/>
            <w:hideMark/>
          </w:tcPr>
          <w:p w14:paraId="75751F64" w14:textId="77777777" w:rsidR="00AA7DDC" w:rsidRPr="00446052" w:rsidRDefault="00AA7DDC" w:rsidP="00250031">
            <w:pPr>
              <w:pStyle w:val="Tabell"/>
              <w:rPr>
                <w:lang w:val="en-GB"/>
              </w:rPr>
            </w:pPr>
            <w:r w:rsidRPr="00446052">
              <w:t>2652 (38.3)</w:t>
            </w:r>
          </w:p>
        </w:tc>
        <w:tc>
          <w:tcPr>
            <w:tcW w:w="1090" w:type="pct"/>
            <w:noWrap/>
            <w:hideMark/>
          </w:tcPr>
          <w:p w14:paraId="294245C0" w14:textId="77777777" w:rsidR="00AA7DDC" w:rsidRPr="00446052" w:rsidRDefault="00AA7DDC" w:rsidP="00250031">
            <w:pPr>
              <w:pStyle w:val="Tabell"/>
              <w:rPr>
                <w:lang w:val="en-GB"/>
              </w:rPr>
            </w:pPr>
            <w:r w:rsidRPr="00446052">
              <w:t>5367 (38.8)</w:t>
            </w:r>
          </w:p>
        </w:tc>
      </w:tr>
      <w:tr w:rsidR="00AA7DDC" w:rsidRPr="00446052" w14:paraId="65F33704" w14:textId="77777777" w:rsidTr="00250031">
        <w:trPr>
          <w:trHeight w:val="300"/>
        </w:trPr>
        <w:tc>
          <w:tcPr>
            <w:tcW w:w="2935" w:type="pct"/>
            <w:noWrap/>
          </w:tcPr>
          <w:p w14:paraId="730C2B94" w14:textId="77777777" w:rsidR="00AA7DDC" w:rsidRPr="00446052" w:rsidRDefault="00AA7DDC" w:rsidP="00250031">
            <w:pPr>
              <w:pStyle w:val="Tabell"/>
              <w:rPr>
                <w:b/>
                <w:bCs/>
                <w:lang w:val="en-GB"/>
              </w:rPr>
            </w:pPr>
            <w:r w:rsidRPr="00446052">
              <w:rPr>
                <w:b/>
                <w:bCs/>
                <w:lang w:val="en-GB"/>
              </w:rPr>
              <w:t>Socioeconomics</w:t>
            </w:r>
          </w:p>
        </w:tc>
        <w:tc>
          <w:tcPr>
            <w:tcW w:w="975" w:type="pct"/>
            <w:noWrap/>
          </w:tcPr>
          <w:p w14:paraId="34F0BA16" w14:textId="77777777" w:rsidR="00AA7DDC" w:rsidRPr="00446052" w:rsidRDefault="00AA7DDC" w:rsidP="00250031">
            <w:pPr>
              <w:pStyle w:val="Tabell"/>
              <w:rPr>
                <w:lang w:val="en-GB"/>
              </w:rPr>
            </w:pPr>
          </w:p>
        </w:tc>
        <w:tc>
          <w:tcPr>
            <w:tcW w:w="1090" w:type="pct"/>
            <w:noWrap/>
          </w:tcPr>
          <w:p w14:paraId="121FB86F" w14:textId="77777777" w:rsidR="00AA7DDC" w:rsidRPr="00446052" w:rsidRDefault="00AA7DDC" w:rsidP="00250031">
            <w:pPr>
              <w:pStyle w:val="Tabell"/>
              <w:rPr>
                <w:lang w:val="en-GB"/>
              </w:rPr>
            </w:pPr>
          </w:p>
        </w:tc>
      </w:tr>
      <w:tr w:rsidR="00AA7DDC" w:rsidRPr="00446052" w14:paraId="3AB1A873" w14:textId="77777777" w:rsidTr="00250031">
        <w:trPr>
          <w:trHeight w:val="300"/>
        </w:trPr>
        <w:tc>
          <w:tcPr>
            <w:tcW w:w="2935" w:type="pct"/>
            <w:noWrap/>
            <w:hideMark/>
          </w:tcPr>
          <w:p w14:paraId="3E92733D" w14:textId="77777777" w:rsidR="00AA7DDC" w:rsidRPr="00446052" w:rsidRDefault="00AA7DDC" w:rsidP="00250031">
            <w:pPr>
              <w:pStyle w:val="Tabell"/>
              <w:rPr>
                <w:lang w:val="en-GB"/>
              </w:rPr>
            </w:pPr>
            <w:r w:rsidRPr="00446052">
              <w:rPr>
                <w:lang w:val="en-GB"/>
              </w:rPr>
              <w:t>Education – no. (%)</w:t>
            </w:r>
            <w:r w:rsidRPr="00446052">
              <w:rPr>
                <w:vertAlign w:val="superscript"/>
                <w:lang w:val="en-GB"/>
              </w:rPr>
              <w:t>§</w:t>
            </w:r>
          </w:p>
        </w:tc>
        <w:tc>
          <w:tcPr>
            <w:tcW w:w="975" w:type="pct"/>
            <w:noWrap/>
            <w:hideMark/>
          </w:tcPr>
          <w:p w14:paraId="135BBC63" w14:textId="77777777" w:rsidR="00AA7DDC" w:rsidRPr="00446052" w:rsidRDefault="00AA7DDC" w:rsidP="00250031">
            <w:pPr>
              <w:pStyle w:val="Tabell"/>
              <w:rPr>
                <w:lang w:val="en-GB"/>
              </w:rPr>
            </w:pPr>
          </w:p>
        </w:tc>
        <w:tc>
          <w:tcPr>
            <w:tcW w:w="1090" w:type="pct"/>
            <w:noWrap/>
            <w:hideMark/>
          </w:tcPr>
          <w:p w14:paraId="4156D18B" w14:textId="77777777" w:rsidR="00AA7DDC" w:rsidRPr="00446052" w:rsidRDefault="00AA7DDC" w:rsidP="00250031">
            <w:pPr>
              <w:pStyle w:val="Tabell"/>
              <w:rPr>
                <w:lang w:val="en-GB"/>
              </w:rPr>
            </w:pPr>
          </w:p>
        </w:tc>
      </w:tr>
      <w:tr w:rsidR="00AA7DDC" w:rsidRPr="00446052" w14:paraId="2E86F37C" w14:textId="77777777" w:rsidTr="00250031">
        <w:trPr>
          <w:trHeight w:val="300"/>
        </w:trPr>
        <w:tc>
          <w:tcPr>
            <w:tcW w:w="2935" w:type="pct"/>
            <w:noWrap/>
            <w:hideMark/>
          </w:tcPr>
          <w:p w14:paraId="4C980D48" w14:textId="77777777" w:rsidR="00AA7DDC" w:rsidRPr="00446052" w:rsidRDefault="00AA7DDC" w:rsidP="00250031">
            <w:pPr>
              <w:pStyle w:val="Tabell"/>
              <w:rPr>
                <w:lang w:val="en-GB"/>
              </w:rPr>
            </w:pPr>
            <w:r w:rsidRPr="00446052">
              <w:rPr>
                <w:lang w:val="en-GB"/>
              </w:rPr>
              <w:t xml:space="preserve">   Primary (year 1 to 9)</w:t>
            </w:r>
          </w:p>
        </w:tc>
        <w:tc>
          <w:tcPr>
            <w:tcW w:w="975" w:type="pct"/>
            <w:noWrap/>
          </w:tcPr>
          <w:p w14:paraId="00426444" w14:textId="77777777" w:rsidR="00AA7DDC" w:rsidRPr="00446052" w:rsidRDefault="00AA7DDC" w:rsidP="00250031">
            <w:pPr>
              <w:pStyle w:val="Tabell"/>
              <w:rPr>
                <w:lang w:val="en-GB"/>
              </w:rPr>
            </w:pPr>
            <w:r w:rsidRPr="00446052">
              <w:rPr>
                <w:lang w:val="sv-SE"/>
              </w:rPr>
              <w:t>1758 (25.4)</w:t>
            </w:r>
          </w:p>
        </w:tc>
        <w:tc>
          <w:tcPr>
            <w:tcW w:w="1090" w:type="pct"/>
            <w:noWrap/>
          </w:tcPr>
          <w:p w14:paraId="0E0D47C4" w14:textId="77777777" w:rsidR="00AA7DDC" w:rsidRPr="00446052" w:rsidRDefault="00AA7DDC" w:rsidP="00250031">
            <w:pPr>
              <w:pStyle w:val="Tabell"/>
              <w:rPr>
                <w:lang w:val="en-GB"/>
              </w:rPr>
            </w:pPr>
            <w:r w:rsidRPr="00446052">
              <w:rPr>
                <w:lang w:val="sv-SE"/>
              </w:rPr>
              <w:t>3785 (27.3)</w:t>
            </w:r>
          </w:p>
        </w:tc>
      </w:tr>
      <w:tr w:rsidR="00AA7DDC" w:rsidRPr="00446052" w14:paraId="392FC97C" w14:textId="77777777" w:rsidTr="00250031">
        <w:trPr>
          <w:trHeight w:val="300"/>
        </w:trPr>
        <w:tc>
          <w:tcPr>
            <w:tcW w:w="2935" w:type="pct"/>
            <w:noWrap/>
            <w:hideMark/>
          </w:tcPr>
          <w:p w14:paraId="0A37B69F" w14:textId="77777777" w:rsidR="00AA7DDC" w:rsidRPr="00446052" w:rsidRDefault="00AA7DDC" w:rsidP="00250031">
            <w:pPr>
              <w:pStyle w:val="Tabell"/>
              <w:rPr>
                <w:lang w:val="en-GB"/>
              </w:rPr>
            </w:pPr>
            <w:r w:rsidRPr="00446052">
              <w:rPr>
                <w:lang w:val="en-GB"/>
              </w:rPr>
              <w:t xml:space="preserve">   Secondary (year 10-11/12)</w:t>
            </w:r>
          </w:p>
        </w:tc>
        <w:tc>
          <w:tcPr>
            <w:tcW w:w="975" w:type="pct"/>
            <w:noWrap/>
          </w:tcPr>
          <w:p w14:paraId="16659DE6" w14:textId="77777777" w:rsidR="00AA7DDC" w:rsidRPr="00446052" w:rsidRDefault="00AA7DDC" w:rsidP="00250031">
            <w:pPr>
              <w:pStyle w:val="Tabell"/>
              <w:rPr>
                <w:lang w:val="en-GB"/>
              </w:rPr>
            </w:pPr>
            <w:r w:rsidRPr="00446052">
              <w:rPr>
                <w:lang w:val="sv-SE"/>
              </w:rPr>
              <w:t>3836 (55.4)</w:t>
            </w:r>
          </w:p>
        </w:tc>
        <w:tc>
          <w:tcPr>
            <w:tcW w:w="1090" w:type="pct"/>
            <w:noWrap/>
          </w:tcPr>
          <w:p w14:paraId="53673381" w14:textId="77777777" w:rsidR="00AA7DDC" w:rsidRPr="00446052" w:rsidRDefault="00AA7DDC" w:rsidP="00250031">
            <w:pPr>
              <w:pStyle w:val="Tabell"/>
              <w:rPr>
                <w:lang w:val="en-GB"/>
              </w:rPr>
            </w:pPr>
            <w:r w:rsidRPr="00446052">
              <w:rPr>
                <w:lang w:val="sv-SE"/>
              </w:rPr>
              <w:t>6777 (48.9)</w:t>
            </w:r>
          </w:p>
        </w:tc>
      </w:tr>
      <w:tr w:rsidR="00AA7DDC" w:rsidRPr="00446052" w14:paraId="48C40BF0" w14:textId="77777777" w:rsidTr="00250031">
        <w:trPr>
          <w:trHeight w:val="300"/>
        </w:trPr>
        <w:tc>
          <w:tcPr>
            <w:tcW w:w="2935" w:type="pct"/>
            <w:noWrap/>
            <w:hideMark/>
          </w:tcPr>
          <w:p w14:paraId="795169EB" w14:textId="77777777" w:rsidR="00AA7DDC" w:rsidRPr="00446052" w:rsidRDefault="00AA7DDC" w:rsidP="00250031">
            <w:pPr>
              <w:pStyle w:val="Tabell"/>
              <w:rPr>
                <w:lang w:val="en-GB"/>
              </w:rPr>
            </w:pPr>
            <w:r w:rsidRPr="00446052">
              <w:rPr>
                <w:lang w:val="en-GB"/>
              </w:rPr>
              <w:t xml:space="preserve">   Tertiary (university)</w:t>
            </w:r>
          </w:p>
        </w:tc>
        <w:tc>
          <w:tcPr>
            <w:tcW w:w="975" w:type="pct"/>
            <w:noWrap/>
          </w:tcPr>
          <w:p w14:paraId="43594E56" w14:textId="77777777" w:rsidR="00AA7DDC" w:rsidRPr="00446052" w:rsidRDefault="00AA7DDC" w:rsidP="00250031">
            <w:pPr>
              <w:pStyle w:val="Tabell"/>
              <w:rPr>
                <w:lang w:val="en-GB"/>
              </w:rPr>
            </w:pPr>
            <w:r w:rsidRPr="00446052">
              <w:rPr>
                <w:lang w:val="sv-SE"/>
              </w:rPr>
              <w:t>1290 (18.6)</w:t>
            </w:r>
          </w:p>
        </w:tc>
        <w:tc>
          <w:tcPr>
            <w:tcW w:w="1090" w:type="pct"/>
            <w:noWrap/>
          </w:tcPr>
          <w:p w14:paraId="541F1DB8" w14:textId="77777777" w:rsidR="00AA7DDC" w:rsidRPr="00446052" w:rsidRDefault="00AA7DDC" w:rsidP="00250031">
            <w:pPr>
              <w:pStyle w:val="Tabell"/>
              <w:rPr>
                <w:lang w:val="en-GB"/>
              </w:rPr>
            </w:pPr>
            <w:r w:rsidRPr="00446052">
              <w:rPr>
                <w:lang w:val="sv-SE"/>
              </w:rPr>
              <w:t>2891 (20.9)</w:t>
            </w:r>
          </w:p>
        </w:tc>
      </w:tr>
      <w:tr w:rsidR="00AA7DDC" w:rsidRPr="00446052" w14:paraId="0623282A" w14:textId="77777777" w:rsidTr="00250031">
        <w:trPr>
          <w:trHeight w:val="300"/>
        </w:trPr>
        <w:tc>
          <w:tcPr>
            <w:tcW w:w="2935" w:type="pct"/>
            <w:noWrap/>
            <w:hideMark/>
          </w:tcPr>
          <w:p w14:paraId="240AC5D7" w14:textId="77777777" w:rsidR="00AA7DDC" w:rsidRPr="00446052" w:rsidRDefault="00AA7DDC" w:rsidP="00250031">
            <w:pPr>
              <w:pStyle w:val="Tabell"/>
              <w:rPr>
                <w:lang w:val="en-GB"/>
              </w:rPr>
            </w:pPr>
            <w:r w:rsidRPr="00446052">
              <w:rPr>
                <w:lang w:val="en-GB"/>
              </w:rPr>
              <w:t>Income quarters – no. (%)</w:t>
            </w:r>
          </w:p>
        </w:tc>
        <w:tc>
          <w:tcPr>
            <w:tcW w:w="975" w:type="pct"/>
            <w:noWrap/>
          </w:tcPr>
          <w:p w14:paraId="4C547FCD" w14:textId="77777777" w:rsidR="00AA7DDC" w:rsidRPr="00446052" w:rsidRDefault="00AA7DDC" w:rsidP="00250031">
            <w:pPr>
              <w:pStyle w:val="Tabell"/>
              <w:rPr>
                <w:lang w:val="en-GB"/>
              </w:rPr>
            </w:pPr>
          </w:p>
        </w:tc>
        <w:tc>
          <w:tcPr>
            <w:tcW w:w="1090" w:type="pct"/>
            <w:noWrap/>
          </w:tcPr>
          <w:p w14:paraId="60B7CC3D" w14:textId="77777777" w:rsidR="00AA7DDC" w:rsidRPr="00446052" w:rsidRDefault="00AA7DDC" w:rsidP="00250031">
            <w:pPr>
              <w:pStyle w:val="Tabell"/>
              <w:rPr>
                <w:lang w:val="en-GB"/>
              </w:rPr>
            </w:pPr>
          </w:p>
        </w:tc>
      </w:tr>
      <w:tr w:rsidR="00AA7DDC" w:rsidRPr="00446052" w14:paraId="67318970" w14:textId="77777777" w:rsidTr="00250031">
        <w:trPr>
          <w:trHeight w:val="300"/>
        </w:trPr>
        <w:tc>
          <w:tcPr>
            <w:tcW w:w="2935" w:type="pct"/>
            <w:noWrap/>
            <w:hideMark/>
          </w:tcPr>
          <w:p w14:paraId="0DC88B3C" w14:textId="77777777" w:rsidR="00AA7DDC" w:rsidRPr="00446052" w:rsidRDefault="00AA7DDC" w:rsidP="00250031">
            <w:pPr>
              <w:pStyle w:val="Tabell"/>
              <w:rPr>
                <w:lang w:val="en-GB"/>
              </w:rPr>
            </w:pPr>
            <w:r w:rsidRPr="00446052">
              <w:rPr>
                <w:lang w:val="en-GB"/>
              </w:rPr>
              <w:t xml:space="preserve">   q1 (lowest)</w:t>
            </w:r>
          </w:p>
        </w:tc>
        <w:tc>
          <w:tcPr>
            <w:tcW w:w="975" w:type="pct"/>
            <w:noWrap/>
          </w:tcPr>
          <w:p w14:paraId="61922435" w14:textId="77777777" w:rsidR="00AA7DDC" w:rsidRPr="00446052" w:rsidRDefault="00AA7DDC" w:rsidP="00250031">
            <w:pPr>
              <w:pStyle w:val="Tabell"/>
              <w:rPr>
                <w:lang w:val="en-GB"/>
              </w:rPr>
            </w:pPr>
            <w:r w:rsidRPr="00446052">
              <w:rPr>
                <w:lang w:val="sv-SE"/>
              </w:rPr>
              <w:t>1659 (23.9)</w:t>
            </w:r>
          </w:p>
        </w:tc>
        <w:tc>
          <w:tcPr>
            <w:tcW w:w="1090" w:type="pct"/>
            <w:noWrap/>
          </w:tcPr>
          <w:p w14:paraId="3E83F3EC" w14:textId="77777777" w:rsidR="00AA7DDC" w:rsidRPr="00446052" w:rsidRDefault="00AA7DDC" w:rsidP="00250031">
            <w:pPr>
              <w:pStyle w:val="Tabell"/>
              <w:rPr>
                <w:lang w:val="en-GB"/>
              </w:rPr>
            </w:pPr>
            <w:r w:rsidRPr="00446052">
              <w:rPr>
                <w:lang w:val="sv-SE"/>
              </w:rPr>
              <w:t>3627 (26.2)</w:t>
            </w:r>
          </w:p>
        </w:tc>
      </w:tr>
      <w:tr w:rsidR="00AA7DDC" w:rsidRPr="00446052" w14:paraId="6EA3C636" w14:textId="77777777" w:rsidTr="00250031">
        <w:trPr>
          <w:trHeight w:val="300"/>
        </w:trPr>
        <w:tc>
          <w:tcPr>
            <w:tcW w:w="2935" w:type="pct"/>
            <w:noWrap/>
            <w:hideMark/>
          </w:tcPr>
          <w:p w14:paraId="72726C52" w14:textId="77777777" w:rsidR="00AA7DDC" w:rsidRPr="00446052" w:rsidRDefault="00AA7DDC" w:rsidP="00250031">
            <w:pPr>
              <w:pStyle w:val="Tabell"/>
              <w:rPr>
                <w:lang w:val="en-GB"/>
              </w:rPr>
            </w:pPr>
            <w:r w:rsidRPr="00446052">
              <w:rPr>
                <w:lang w:val="en-GB"/>
              </w:rPr>
              <w:t xml:space="preserve">   q2</w:t>
            </w:r>
          </w:p>
        </w:tc>
        <w:tc>
          <w:tcPr>
            <w:tcW w:w="975" w:type="pct"/>
            <w:noWrap/>
          </w:tcPr>
          <w:p w14:paraId="2AB26F71" w14:textId="77777777" w:rsidR="00AA7DDC" w:rsidRPr="00446052" w:rsidRDefault="00AA7DDC" w:rsidP="00250031">
            <w:pPr>
              <w:pStyle w:val="Tabell"/>
              <w:rPr>
                <w:lang w:val="en-GB"/>
              </w:rPr>
            </w:pPr>
            <w:r w:rsidRPr="00446052">
              <w:rPr>
                <w:lang w:val="sv-SE"/>
              </w:rPr>
              <w:t>1566 (22.6)</w:t>
            </w:r>
          </w:p>
        </w:tc>
        <w:tc>
          <w:tcPr>
            <w:tcW w:w="1090" w:type="pct"/>
            <w:noWrap/>
          </w:tcPr>
          <w:p w14:paraId="1A69F9E0" w14:textId="77777777" w:rsidR="00AA7DDC" w:rsidRPr="00446052" w:rsidRDefault="00AA7DDC" w:rsidP="00250031">
            <w:pPr>
              <w:pStyle w:val="Tabell"/>
              <w:rPr>
                <w:lang w:val="en-GB"/>
              </w:rPr>
            </w:pPr>
            <w:r w:rsidRPr="00446052">
              <w:rPr>
                <w:lang w:val="sv-SE"/>
              </w:rPr>
              <w:t>3071 (22.2)</w:t>
            </w:r>
          </w:p>
        </w:tc>
      </w:tr>
      <w:tr w:rsidR="00AA7DDC" w:rsidRPr="00446052" w14:paraId="1FF6F974" w14:textId="77777777" w:rsidTr="00250031">
        <w:trPr>
          <w:trHeight w:val="300"/>
        </w:trPr>
        <w:tc>
          <w:tcPr>
            <w:tcW w:w="2935" w:type="pct"/>
            <w:noWrap/>
            <w:hideMark/>
          </w:tcPr>
          <w:p w14:paraId="1BF7FC88" w14:textId="77777777" w:rsidR="00AA7DDC" w:rsidRPr="00446052" w:rsidRDefault="00AA7DDC" w:rsidP="00250031">
            <w:pPr>
              <w:pStyle w:val="Tabell"/>
              <w:rPr>
                <w:lang w:val="en-GB"/>
              </w:rPr>
            </w:pPr>
            <w:r w:rsidRPr="00446052">
              <w:rPr>
                <w:lang w:val="en-GB"/>
              </w:rPr>
              <w:t xml:space="preserve">   q3</w:t>
            </w:r>
          </w:p>
        </w:tc>
        <w:tc>
          <w:tcPr>
            <w:tcW w:w="975" w:type="pct"/>
            <w:noWrap/>
          </w:tcPr>
          <w:p w14:paraId="139FAB13" w14:textId="77777777" w:rsidR="00AA7DDC" w:rsidRPr="00446052" w:rsidRDefault="00AA7DDC" w:rsidP="00250031">
            <w:pPr>
              <w:pStyle w:val="Tabell"/>
              <w:rPr>
                <w:lang w:val="en-GB"/>
              </w:rPr>
            </w:pPr>
            <w:r w:rsidRPr="00446052">
              <w:rPr>
                <w:lang w:val="sv-SE"/>
              </w:rPr>
              <w:t>1831 (26.4)</w:t>
            </w:r>
          </w:p>
        </w:tc>
        <w:tc>
          <w:tcPr>
            <w:tcW w:w="1090" w:type="pct"/>
            <w:noWrap/>
          </w:tcPr>
          <w:p w14:paraId="6F72BE2F" w14:textId="77777777" w:rsidR="00AA7DDC" w:rsidRPr="00446052" w:rsidRDefault="00AA7DDC" w:rsidP="00250031">
            <w:pPr>
              <w:pStyle w:val="Tabell"/>
              <w:rPr>
                <w:lang w:val="en-GB"/>
              </w:rPr>
            </w:pPr>
            <w:r w:rsidRPr="00446052">
              <w:rPr>
                <w:lang w:val="sv-SE"/>
              </w:rPr>
              <w:t>3465 (25.0)</w:t>
            </w:r>
          </w:p>
        </w:tc>
      </w:tr>
      <w:tr w:rsidR="00AA7DDC" w:rsidRPr="00446052" w14:paraId="5CDDC386" w14:textId="77777777" w:rsidTr="00250031">
        <w:trPr>
          <w:trHeight w:val="300"/>
        </w:trPr>
        <w:tc>
          <w:tcPr>
            <w:tcW w:w="2935" w:type="pct"/>
            <w:noWrap/>
            <w:hideMark/>
          </w:tcPr>
          <w:p w14:paraId="60CC8BAA" w14:textId="77777777" w:rsidR="00AA7DDC" w:rsidRPr="00446052" w:rsidRDefault="00AA7DDC" w:rsidP="00250031">
            <w:pPr>
              <w:pStyle w:val="Tabell"/>
              <w:rPr>
                <w:lang w:val="en-GB"/>
              </w:rPr>
            </w:pPr>
            <w:r w:rsidRPr="00446052">
              <w:rPr>
                <w:lang w:val="en-GB"/>
              </w:rPr>
              <w:t xml:space="preserve">   q4</w:t>
            </w:r>
          </w:p>
        </w:tc>
        <w:tc>
          <w:tcPr>
            <w:tcW w:w="975" w:type="pct"/>
            <w:noWrap/>
          </w:tcPr>
          <w:p w14:paraId="2216DF43" w14:textId="77777777" w:rsidR="00AA7DDC" w:rsidRPr="00446052" w:rsidRDefault="00AA7DDC" w:rsidP="00250031">
            <w:pPr>
              <w:pStyle w:val="Tabell"/>
              <w:rPr>
                <w:lang w:val="en-GB"/>
              </w:rPr>
            </w:pPr>
            <w:r w:rsidRPr="00446052">
              <w:rPr>
                <w:lang w:val="sv-SE"/>
              </w:rPr>
              <w:t>1855 (26.8)</w:t>
            </w:r>
          </w:p>
        </w:tc>
        <w:tc>
          <w:tcPr>
            <w:tcW w:w="1090" w:type="pct"/>
            <w:noWrap/>
          </w:tcPr>
          <w:p w14:paraId="627FD365" w14:textId="77777777" w:rsidR="00AA7DDC" w:rsidRPr="00446052" w:rsidRDefault="00AA7DDC" w:rsidP="00250031">
            <w:pPr>
              <w:pStyle w:val="Tabell"/>
              <w:rPr>
                <w:lang w:val="en-GB"/>
              </w:rPr>
            </w:pPr>
            <w:r w:rsidRPr="00446052">
              <w:rPr>
                <w:lang w:val="sv-SE"/>
              </w:rPr>
              <w:t>3464 (25.0)</w:t>
            </w:r>
          </w:p>
        </w:tc>
      </w:tr>
      <w:tr w:rsidR="00AA7DDC" w:rsidRPr="00446052" w14:paraId="2159C35E" w14:textId="77777777" w:rsidTr="00250031">
        <w:trPr>
          <w:trHeight w:val="300"/>
        </w:trPr>
        <w:tc>
          <w:tcPr>
            <w:tcW w:w="2935" w:type="pct"/>
            <w:noWrap/>
            <w:hideMark/>
          </w:tcPr>
          <w:p w14:paraId="42A2D2DB" w14:textId="77777777" w:rsidR="00AA7DDC" w:rsidRPr="00446052" w:rsidRDefault="00AA7DDC" w:rsidP="00250031">
            <w:pPr>
              <w:pStyle w:val="Tabell"/>
              <w:rPr>
                <w:lang w:val="en-GB"/>
              </w:rPr>
            </w:pPr>
            <w:r w:rsidRPr="00446052">
              <w:rPr>
                <w:lang w:val="en-GB"/>
              </w:rPr>
              <w:t>Area of living – no. (%)</w:t>
            </w:r>
            <w:r w:rsidRPr="00446052">
              <w:rPr>
                <w:vertAlign w:val="superscript"/>
                <w:lang w:val="en-GB"/>
              </w:rPr>
              <w:t>¥</w:t>
            </w:r>
          </w:p>
        </w:tc>
        <w:tc>
          <w:tcPr>
            <w:tcW w:w="975" w:type="pct"/>
            <w:noWrap/>
          </w:tcPr>
          <w:p w14:paraId="7B7FF9F7" w14:textId="77777777" w:rsidR="00AA7DDC" w:rsidRPr="00446052" w:rsidRDefault="00AA7DDC" w:rsidP="00250031">
            <w:pPr>
              <w:pStyle w:val="Tabell"/>
              <w:rPr>
                <w:lang w:val="en-GB"/>
              </w:rPr>
            </w:pPr>
          </w:p>
        </w:tc>
        <w:tc>
          <w:tcPr>
            <w:tcW w:w="1090" w:type="pct"/>
            <w:noWrap/>
          </w:tcPr>
          <w:p w14:paraId="77A573D6" w14:textId="77777777" w:rsidR="00AA7DDC" w:rsidRPr="00446052" w:rsidRDefault="00AA7DDC" w:rsidP="00250031">
            <w:pPr>
              <w:pStyle w:val="Tabell"/>
              <w:rPr>
                <w:lang w:val="en-GB"/>
              </w:rPr>
            </w:pPr>
          </w:p>
        </w:tc>
      </w:tr>
      <w:tr w:rsidR="00AA7DDC" w:rsidRPr="00446052" w14:paraId="5691D033" w14:textId="77777777" w:rsidTr="00250031">
        <w:trPr>
          <w:trHeight w:val="300"/>
        </w:trPr>
        <w:tc>
          <w:tcPr>
            <w:tcW w:w="2935" w:type="pct"/>
            <w:noWrap/>
            <w:hideMark/>
          </w:tcPr>
          <w:p w14:paraId="0BA8B2E9" w14:textId="77777777" w:rsidR="00AA7DDC" w:rsidRPr="00446052" w:rsidRDefault="00AA7DDC" w:rsidP="00250031">
            <w:pPr>
              <w:pStyle w:val="Tabell"/>
              <w:rPr>
                <w:lang w:val="en-GB"/>
              </w:rPr>
            </w:pPr>
            <w:r w:rsidRPr="00446052">
              <w:rPr>
                <w:lang w:val="en-GB"/>
              </w:rPr>
              <w:t xml:space="preserve">   Rural areas</w:t>
            </w:r>
          </w:p>
        </w:tc>
        <w:tc>
          <w:tcPr>
            <w:tcW w:w="975" w:type="pct"/>
            <w:noWrap/>
          </w:tcPr>
          <w:p w14:paraId="61E44C3D" w14:textId="77777777" w:rsidR="00AA7DDC" w:rsidRPr="00446052" w:rsidRDefault="00AA7DDC" w:rsidP="00250031">
            <w:pPr>
              <w:pStyle w:val="Tabell"/>
              <w:rPr>
                <w:lang w:val="en-GB"/>
              </w:rPr>
            </w:pPr>
            <w:r w:rsidRPr="00446052">
              <w:rPr>
                <w:lang w:val="sv-SE"/>
              </w:rPr>
              <w:t>4314 (62.3)</w:t>
            </w:r>
          </w:p>
        </w:tc>
        <w:tc>
          <w:tcPr>
            <w:tcW w:w="1090" w:type="pct"/>
            <w:noWrap/>
          </w:tcPr>
          <w:p w14:paraId="0E4DB7D3" w14:textId="77777777" w:rsidR="00AA7DDC" w:rsidRPr="00446052" w:rsidRDefault="00AA7DDC" w:rsidP="00250031">
            <w:pPr>
              <w:pStyle w:val="Tabell"/>
              <w:rPr>
                <w:lang w:val="en-GB"/>
              </w:rPr>
            </w:pPr>
            <w:r w:rsidRPr="00446052">
              <w:rPr>
                <w:lang w:val="sv-SE"/>
              </w:rPr>
              <w:t>6646 (48.0)</w:t>
            </w:r>
          </w:p>
        </w:tc>
      </w:tr>
      <w:tr w:rsidR="00AA7DDC" w:rsidRPr="00446052" w14:paraId="53478BC4" w14:textId="77777777" w:rsidTr="00250031">
        <w:trPr>
          <w:trHeight w:val="300"/>
        </w:trPr>
        <w:tc>
          <w:tcPr>
            <w:tcW w:w="2935" w:type="pct"/>
            <w:noWrap/>
            <w:hideMark/>
          </w:tcPr>
          <w:p w14:paraId="32ED175C" w14:textId="77777777" w:rsidR="00AA7DDC" w:rsidRPr="00446052" w:rsidRDefault="00AA7DDC" w:rsidP="00250031">
            <w:pPr>
              <w:pStyle w:val="Tabell"/>
              <w:rPr>
                <w:lang w:val="en-GB"/>
              </w:rPr>
            </w:pPr>
            <w:r w:rsidRPr="00446052">
              <w:rPr>
                <w:lang w:val="en-GB"/>
              </w:rPr>
              <w:t xml:space="preserve">   Urban areas</w:t>
            </w:r>
          </w:p>
        </w:tc>
        <w:tc>
          <w:tcPr>
            <w:tcW w:w="975" w:type="pct"/>
            <w:noWrap/>
          </w:tcPr>
          <w:p w14:paraId="4CA5EE4D" w14:textId="77777777" w:rsidR="00AA7DDC" w:rsidRPr="00446052" w:rsidRDefault="00AA7DDC" w:rsidP="00250031">
            <w:pPr>
              <w:pStyle w:val="Tabell"/>
              <w:rPr>
                <w:lang w:val="en-GB"/>
              </w:rPr>
            </w:pPr>
            <w:r w:rsidRPr="00446052">
              <w:rPr>
                <w:lang w:val="sv-SE"/>
              </w:rPr>
              <w:t>2597 (37.5)</w:t>
            </w:r>
          </w:p>
        </w:tc>
        <w:tc>
          <w:tcPr>
            <w:tcW w:w="1090" w:type="pct"/>
            <w:noWrap/>
          </w:tcPr>
          <w:p w14:paraId="14B3DD90" w14:textId="77777777" w:rsidR="00AA7DDC" w:rsidRPr="00446052" w:rsidRDefault="00AA7DDC" w:rsidP="00250031">
            <w:pPr>
              <w:pStyle w:val="Tabell"/>
              <w:rPr>
                <w:lang w:val="en-GB"/>
              </w:rPr>
            </w:pPr>
            <w:r w:rsidRPr="00446052">
              <w:rPr>
                <w:lang w:val="sv-SE"/>
              </w:rPr>
              <w:t>6981 (50.4)</w:t>
            </w:r>
          </w:p>
        </w:tc>
      </w:tr>
      <w:tr w:rsidR="00AA7DDC" w:rsidRPr="00446052" w14:paraId="1B2A6BE4" w14:textId="77777777" w:rsidTr="00250031">
        <w:trPr>
          <w:trHeight w:val="300"/>
        </w:trPr>
        <w:tc>
          <w:tcPr>
            <w:tcW w:w="2935" w:type="pct"/>
            <w:tcBorders>
              <w:top w:val="nil"/>
              <w:left w:val="nil"/>
              <w:bottom w:val="nil"/>
              <w:right w:val="nil"/>
            </w:tcBorders>
            <w:shd w:val="clear" w:color="auto" w:fill="auto"/>
            <w:noWrap/>
            <w:vAlign w:val="bottom"/>
          </w:tcPr>
          <w:p w14:paraId="7AC9CFB7" w14:textId="77777777" w:rsidR="00AA7DDC" w:rsidRPr="00446052" w:rsidRDefault="00AA7DDC" w:rsidP="00250031">
            <w:pPr>
              <w:pStyle w:val="Tabell"/>
              <w:rPr>
                <w:lang w:val="en-GB"/>
              </w:rPr>
            </w:pPr>
            <w:r w:rsidRPr="00446052">
              <w:rPr>
                <w:b/>
                <w:bCs/>
                <w:lang w:val="en-GB"/>
              </w:rPr>
              <w:t>Number of dogs in the household</w:t>
            </w:r>
            <w:r w:rsidRPr="00446052">
              <w:rPr>
                <w:lang w:val="en-GB"/>
              </w:rPr>
              <w:t xml:space="preserve"> – no. (%)</w:t>
            </w:r>
          </w:p>
        </w:tc>
        <w:tc>
          <w:tcPr>
            <w:tcW w:w="975" w:type="pct"/>
            <w:tcBorders>
              <w:top w:val="nil"/>
              <w:left w:val="nil"/>
              <w:bottom w:val="nil"/>
              <w:right w:val="nil"/>
            </w:tcBorders>
            <w:shd w:val="clear" w:color="auto" w:fill="auto"/>
            <w:noWrap/>
            <w:vAlign w:val="bottom"/>
          </w:tcPr>
          <w:p w14:paraId="2B32A6CD" w14:textId="77777777" w:rsidR="00AA7DDC" w:rsidRPr="00446052" w:rsidRDefault="00AA7DDC" w:rsidP="00250031">
            <w:pPr>
              <w:pStyle w:val="Tabell"/>
              <w:rPr>
                <w:lang w:val="en-GB"/>
              </w:rPr>
            </w:pPr>
          </w:p>
        </w:tc>
        <w:tc>
          <w:tcPr>
            <w:tcW w:w="1090" w:type="pct"/>
            <w:tcBorders>
              <w:top w:val="nil"/>
              <w:left w:val="nil"/>
              <w:bottom w:val="nil"/>
              <w:right w:val="nil"/>
            </w:tcBorders>
            <w:shd w:val="clear" w:color="auto" w:fill="auto"/>
            <w:noWrap/>
            <w:vAlign w:val="bottom"/>
          </w:tcPr>
          <w:p w14:paraId="5135E1F6" w14:textId="77777777" w:rsidR="00AA7DDC" w:rsidRPr="00446052" w:rsidRDefault="00AA7DDC" w:rsidP="00250031">
            <w:pPr>
              <w:pStyle w:val="Tabell"/>
              <w:rPr>
                <w:lang w:val="en-GB"/>
              </w:rPr>
            </w:pPr>
          </w:p>
        </w:tc>
      </w:tr>
      <w:tr w:rsidR="00AA7DDC" w:rsidRPr="00446052" w14:paraId="1C211F16" w14:textId="77777777" w:rsidTr="00250031">
        <w:trPr>
          <w:trHeight w:val="300"/>
        </w:trPr>
        <w:tc>
          <w:tcPr>
            <w:tcW w:w="2935" w:type="pct"/>
            <w:tcBorders>
              <w:top w:val="nil"/>
              <w:left w:val="nil"/>
              <w:right w:val="nil"/>
            </w:tcBorders>
            <w:shd w:val="clear" w:color="auto" w:fill="auto"/>
            <w:noWrap/>
            <w:vAlign w:val="bottom"/>
          </w:tcPr>
          <w:p w14:paraId="4579D548" w14:textId="77777777" w:rsidR="00AA7DDC" w:rsidRPr="00446052" w:rsidRDefault="00AA7DDC" w:rsidP="00250031">
            <w:pPr>
              <w:pStyle w:val="Tabell"/>
              <w:rPr>
                <w:lang w:val="en-GB"/>
              </w:rPr>
            </w:pPr>
            <w:r w:rsidRPr="00446052">
              <w:rPr>
                <w:lang w:val="en-GB"/>
              </w:rPr>
              <w:t xml:space="preserve">   One</w:t>
            </w:r>
          </w:p>
        </w:tc>
        <w:tc>
          <w:tcPr>
            <w:tcW w:w="975" w:type="pct"/>
            <w:tcBorders>
              <w:top w:val="nil"/>
              <w:left w:val="nil"/>
              <w:right w:val="nil"/>
            </w:tcBorders>
            <w:shd w:val="clear" w:color="auto" w:fill="auto"/>
            <w:noWrap/>
          </w:tcPr>
          <w:p w14:paraId="6DF8019F" w14:textId="77777777" w:rsidR="00AA7DDC" w:rsidRPr="00446052" w:rsidRDefault="00AA7DDC" w:rsidP="00250031">
            <w:pPr>
              <w:pStyle w:val="Tabell"/>
              <w:rPr>
                <w:lang w:val="en-GB"/>
              </w:rPr>
            </w:pPr>
            <w:r w:rsidRPr="00446052">
              <w:t>3077 (44.4)</w:t>
            </w:r>
          </w:p>
        </w:tc>
        <w:tc>
          <w:tcPr>
            <w:tcW w:w="1090" w:type="pct"/>
            <w:tcBorders>
              <w:top w:val="nil"/>
              <w:left w:val="nil"/>
              <w:right w:val="nil"/>
            </w:tcBorders>
            <w:shd w:val="clear" w:color="auto" w:fill="auto"/>
            <w:noWrap/>
            <w:vAlign w:val="bottom"/>
          </w:tcPr>
          <w:p w14:paraId="5E632220" w14:textId="77777777" w:rsidR="00AA7DDC" w:rsidRPr="00446052" w:rsidRDefault="00AA7DDC" w:rsidP="00250031">
            <w:pPr>
              <w:pStyle w:val="Tabell"/>
              <w:rPr>
                <w:lang w:val="en-GB"/>
              </w:rPr>
            </w:pPr>
            <w:r w:rsidRPr="00446052">
              <w:rPr>
                <w:lang w:val="en-GB"/>
              </w:rPr>
              <w:t>NA</w:t>
            </w:r>
          </w:p>
        </w:tc>
      </w:tr>
      <w:tr w:rsidR="00AA7DDC" w:rsidRPr="00446052" w14:paraId="1D90C592" w14:textId="77777777" w:rsidTr="00250031">
        <w:trPr>
          <w:trHeight w:val="300"/>
        </w:trPr>
        <w:tc>
          <w:tcPr>
            <w:tcW w:w="2935" w:type="pct"/>
            <w:tcBorders>
              <w:top w:val="nil"/>
              <w:left w:val="nil"/>
              <w:bottom w:val="nil"/>
              <w:right w:val="nil"/>
            </w:tcBorders>
            <w:shd w:val="clear" w:color="auto" w:fill="auto"/>
            <w:noWrap/>
            <w:vAlign w:val="bottom"/>
          </w:tcPr>
          <w:p w14:paraId="3DB25354" w14:textId="77777777" w:rsidR="00AA7DDC" w:rsidRPr="00446052" w:rsidRDefault="00AA7DDC" w:rsidP="00250031">
            <w:pPr>
              <w:pStyle w:val="Tabell"/>
              <w:rPr>
                <w:lang w:val="en-GB"/>
              </w:rPr>
            </w:pPr>
            <w:r w:rsidRPr="00446052">
              <w:rPr>
                <w:lang w:val="en-GB"/>
              </w:rPr>
              <w:t xml:space="preserve">   Two</w:t>
            </w:r>
          </w:p>
        </w:tc>
        <w:tc>
          <w:tcPr>
            <w:tcW w:w="975" w:type="pct"/>
            <w:tcBorders>
              <w:top w:val="nil"/>
              <w:left w:val="nil"/>
              <w:bottom w:val="nil"/>
              <w:right w:val="nil"/>
            </w:tcBorders>
            <w:shd w:val="clear" w:color="auto" w:fill="auto"/>
            <w:noWrap/>
          </w:tcPr>
          <w:p w14:paraId="7D338A2A" w14:textId="77777777" w:rsidR="00AA7DDC" w:rsidRPr="00446052" w:rsidRDefault="00AA7DDC" w:rsidP="00250031">
            <w:pPr>
              <w:pStyle w:val="Tabell"/>
              <w:rPr>
                <w:lang w:val="en-GB"/>
              </w:rPr>
            </w:pPr>
            <w:r w:rsidRPr="00446052">
              <w:t>1881 (27.2)</w:t>
            </w:r>
          </w:p>
        </w:tc>
        <w:tc>
          <w:tcPr>
            <w:tcW w:w="1090" w:type="pct"/>
            <w:tcBorders>
              <w:top w:val="nil"/>
              <w:left w:val="nil"/>
              <w:bottom w:val="nil"/>
              <w:right w:val="nil"/>
            </w:tcBorders>
            <w:shd w:val="clear" w:color="auto" w:fill="auto"/>
            <w:noWrap/>
            <w:vAlign w:val="bottom"/>
          </w:tcPr>
          <w:p w14:paraId="3D48667E" w14:textId="77777777" w:rsidR="00AA7DDC" w:rsidRPr="00446052" w:rsidRDefault="00AA7DDC" w:rsidP="00250031">
            <w:pPr>
              <w:pStyle w:val="Tabell"/>
              <w:rPr>
                <w:lang w:val="en-GB"/>
              </w:rPr>
            </w:pPr>
            <w:r w:rsidRPr="00446052">
              <w:rPr>
                <w:lang w:val="en-GB"/>
              </w:rPr>
              <w:t>NA</w:t>
            </w:r>
          </w:p>
        </w:tc>
      </w:tr>
      <w:tr w:rsidR="00AA7DDC" w:rsidRPr="00446052" w14:paraId="58D9A4F2" w14:textId="77777777" w:rsidTr="00250031">
        <w:trPr>
          <w:trHeight w:val="300"/>
        </w:trPr>
        <w:tc>
          <w:tcPr>
            <w:tcW w:w="2935" w:type="pct"/>
            <w:tcBorders>
              <w:top w:val="nil"/>
              <w:left w:val="nil"/>
              <w:bottom w:val="nil"/>
              <w:right w:val="nil"/>
            </w:tcBorders>
            <w:shd w:val="clear" w:color="auto" w:fill="auto"/>
            <w:noWrap/>
            <w:vAlign w:val="bottom"/>
          </w:tcPr>
          <w:p w14:paraId="55F824B1" w14:textId="77777777" w:rsidR="00AA7DDC" w:rsidRPr="00446052" w:rsidRDefault="00AA7DDC" w:rsidP="00250031">
            <w:pPr>
              <w:pStyle w:val="Tabell"/>
              <w:rPr>
                <w:lang w:val="en-GB"/>
              </w:rPr>
            </w:pPr>
            <w:r w:rsidRPr="00446052">
              <w:rPr>
                <w:lang w:val="en-GB"/>
              </w:rPr>
              <w:t xml:space="preserve">   Three or more</w:t>
            </w:r>
          </w:p>
        </w:tc>
        <w:tc>
          <w:tcPr>
            <w:tcW w:w="975" w:type="pct"/>
            <w:tcBorders>
              <w:top w:val="nil"/>
              <w:left w:val="nil"/>
              <w:bottom w:val="nil"/>
              <w:right w:val="nil"/>
            </w:tcBorders>
            <w:shd w:val="clear" w:color="auto" w:fill="auto"/>
            <w:noWrap/>
          </w:tcPr>
          <w:p w14:paraId="2BA46C0D" w14:textId="77777777" w:rsidR="00AA7DDC" w:rsidRPr="00446052" w:rsidRDefault="00AA7DDC" w:rsidP="00250031">
            <w:pPr>
              <w:pStyle w:val="Tabell"/>
              <w:rPr>
                <w:color w:val="000000"/>
                <w:lang w:val="en-GB"/>
              </w:rPr>
            </w:pPr>
            <w:r w:rsidRPr="00446052">
              <w:t>1970 (28.4)</w:t>
            </w:r>
          </w:p>
        </w:tc>
        <w:tc>
          <w:tcPr>
            <w:tcW w:w="1090" w:type="pct"/>
            <w:tcBorders>
              <w:top w:val="nil"/>
              <w:left w:val="nil"/>
              <w:bottom w:val="nil"/>
              <w:right w:val="nil"/>
            </w:tcBorders>
            <w:shd w:val="clear" w:color="auto" w:fill="auto"/>
            <w:noWrap/>
            <w:vAlign w:val="bottom"/>
          </w:tcPr>
          <w:p w14:paraId="5DD1E8B7" w14:textId="77777777" w:rsidR="00AA7DDC" w:rsidRPr="00446052" w:rsidRDefault="00AA7DDC" w:rsidP="00250031">
            <w:pPr>
              <w:pStyle w:val="Tabell"/>
              <w:rPr>
                <w:lang w:val="en-GB"/>
              </w:rPr>
            </w:pPr>
            <w:r w:rsidRPr="00446052">
              <w:rPr>
                <w:lang w:val="en-GB"/>
              </w:rPr>
              <w:t>NA</w:t>
            </w:r>
          </w:p>
        </w:tc>
      </w:tr>
      <w:tr w:rsidR="00AA7DDC" w:rsidRPr="00446052" w14:paraId="27328F15" w14:textId="77777777" w:rsidTr="00250031">
        <w:trPr>
          <w:trHeight w:val="300"/>
        </w:trPr>
        <w:tc>
          <w:tcPr>
            <w:tcW w:w="2935" w:type="pct"/>
            <w:tcBorders>
              <w:top w:val="nil"/>
              <w:left w:val="nil"/>
              <w:bottom w:val="single" w:sz="4" w:space="0" w:color="auto"/>
              <w:right w:val="nil"/>
            </w:tcBorders>
            <w:shd w:val="clear" w:color="auto" w:fill="auto"/>
            <w:noWrap/>
          </w:tcPr>
          <w:p w14:paraId="3099CA68" w14:textId="77777777" w:rsidR="00AA7DDC" w:rsidRPr="00446052" w:rsidRDefault="00AA7DDC" w:rsidP="00250031">
            <w:pPr>
              <w:pStyle w:val="Tabell"/>
              <w:rPr>
                <w:b/>
                <w:bCs/>
                <w:lang w:val="en-GB"/>
              </w:rPr>
            </w:pPr>
            <w:r w:rsidRPr="00446052">
              <w:rPr>
                <w:b/>
                <w:bCs/>
                <w:lang w:val="en-GB"/>
              </w:rPr>
              <w:t>Number of dogs in the household – median (Q1-Q3)</w:t>
            </w:r>
          </w:p>
        </w:tc>
        <w:tc>
          <w:tcPr>
            <w:tcW w:w="975" w:type="pct"/>
            <w:tcBorders>
              <w:top w:val="nil"/>
              <w:left w:val="nil"/>
              <w:bottom w:val="single" w:sz="4" w:space="0" w:color="auto"/>
              <w:right w:val="nil"/>
            </w:tcBorders>
            <w:shd w:val="clear" w:color="auto" w:fill="auto"/>
            <w:noWrap/>
          </w:tcPr>
          <w:p w14:paraId="16F6C03D" w14:textId="77777777" w:rsidR="00AA7DDC" w:rsidRPr="00446052" w:rsidRDefault="00AA7DDC" w:rsidP="00250031">
            <w:pPr>
              <w:pStyle w:val="Tabell"/>
              <w:rPr>
                <w:lang w:val="en-GB"/>
              </w:rPr>
            </w:pPr>
            <w:r w:rsidRPr="00446052">
              <w:rPr>
                <w:lang w:val="en-GB"/>
              </w:rPr>
              <w:t>2 (1-3)</w:t>
            </w:r>
          </w:p>
        </w:tc>
        <w:tc>
          <w:tcPr>
            <w:tcW w:w="1090" w:type="pct"/>
            <w:tcBorders>
              <w:top w:val="nil"/>
              <w:left w:val="nil"/>
              <w:bottom w:val="single" w:sz="4" w:space="0" w:color="auto"/>
              <w:right w:val="nil"/>
            </w:tcBorders>
            <w:shd w:val="clear" w:color="auto" w:fill="auto"/>
            <w:noWrap/>
          </w:tcPr>
          <w:p w14:paraId="1339B071" w14:textId="77777777" w:rsidR="00AA7DDC" w:rsidRPr="00446052" w:rsidRDefault="00AA7DDC" w:rsidP="00250031">
            <w:pPr>
              <w:pStyle w:val="Tabell"/>
              <w:rPr>
                <w:lang w:val="en-GB"/>
              </w:rPr>
            </w:pPr>
            <w:r w:rsidRPr="00446052">
              <w:rPr>
                <w:lang w:val="en-GB"/>
              </w:rPr>
              <w:t>NA</w:t>
            </w:r>
          </w:p>
        </w:tc>
      </w:tr>
    </w:tbl>
    <w:p w14:paraId="59A7DCAA" w14:textId="79F9921D" w:rsidR="00AA7DDC" w:rsidRPr="00446052" w:rsidRDefault="00AA7DDC" w:rsidP="00AA7DDC">
      <w:pPr>
        <w:rPr>
          <w:lang w:val="en-GB"/>
        </w:rPr>
      </w:pPr>
      <w:r w:rsidRPr="00446052">
        <w:rPr>
          <w:lang w:val="en-US"/>
        </w:rPr>
        <w:t xml:space="preserve">Matching was made using propensity score matching on a 1 – </w:t>
      </w:r>
      <w:r w:rsidR="001B14C4">
        <w:rPr>
          <w:lang w:val="en-US"/>
        </w:rPr>
        <w:t>2</w:t>
      </w:r>
      <w:r w:rsidRPr="00446052">
        <w:rPr>
          <w:lang w:val="en-US"/>
        </w:rPr>
        <w:t xml:space="preserve"> ratio for age (using a caliper of 5 standard deviations), sex, hypertension medication, hyperlipidemia medication, systolic blood pressure, body weight, body mass index, low-density lipoprotein, physical activity, albuminuria, cholesterol, and smoking status</w:t>
      </w:r>
      <w:r w:rsidRPr="00446052">
        <w:rPr>
          <w:lang w:val="en-GB"/>
        </w:rPr>
        <w:t>.</w:t>
      </w:r>
    </w:p>
    <w:p w14:paraId="17C93CE7" w14:textId="77777777" w:rsidR="00AA7DDC" w:rsidRPr="00446052" w:rsidRDefault="00AA7DDC" w:rsidP="00AA7DDC">
      <w:pPr>
        <w:rPr>
          <w:lang w:val="en-GB"/>
        </w:rPr>
        <w:sectPr w:rsidR="00AA7DDC" w:rsidRPr="00446052" w:rsidSect="00CD7E7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08"/>
          <w:docGrid w:linePitch="360"/>
        </w:sectPr>
      </w:pPr>
      <w:r w:rsidRPr="00446052">
        <w:rPr>
          <w:lang w:val="en-GB"/>
        </w:rPr>
        <w:t xml:space="preserve">Differences between groups were tested using a chi square test for categorical variables and a one-way ANOVA and Mann-Whitney U test for continuous variables with approximately normal and skewed distribution, respectively. Comparisons between dog and non-dog owners with </w:t>
      </w:r>
      <w:r w:rsidRPr="00446052">
        <w:rPr>
          <w:i/>
          <w:iCs/>
          <w:lang w:val="en-GB"/>
        </w:rPr>
        <w:t>P</w:t>
      </w:r>
      <w:r w:rsidRPr="00446052">
        <w:rPr>
          <w:lang w:val="en-GB"/>
        </w:rPr>
        <w:t xml:space="preserve"> &lt;.001 were education, income quarters, and area of living.</w:t>
      </w:r>
    </w:p>
    <w:p w14:paraId="1E3226E9" w14:textId="19F70021" w:rsidR="00AA7DDC" w:rsidRPr="00446052" w:rsidRDefault="00AA7DDC" w:rsidP="00AA7DDC">
      <w:pPr>
        <w:rPr>
          <w:lang w:val="en-GB"/>
        </w:rPr>
      </w:pPr>
      <w:r w:rsidRPr="00446052">
        <w:rPr>
          <w:b/>
          <w:bCs/>
          <w:lang w:val="en-GB"/>
        </w:rPr>
        <w:lastRenderedPageBreak/>
        <w:t>Supplementary table 3.</w:t>
      </w:r>
      <w:r w:rsidRPr="00446052">
        <w:rPr>
          <w:lang w:val="en-GB"/>
        </w:rPr>
        <w:t xml:space="preserve"> Results after 1 – 2 ratio propensity score matching. Mean and 95% confidence interval (CI) for the main outcome change in HbA1c, odds ratio (95% CI) for guideline treatment goal achievement and lifestyle choices at follow up, and hazard ratio (95% CI) for all-cause mortality, for dog owners compared to non-dog owners with early type 2 diabetes.</w:t>
      </w:r>
    </w:p>
    <w:tbl>
      <w:tblPr>
        <w:tblW w:w="0" w:type="auto"/>
        <w:tblLayout w:type="fixed"/>
        <w:tblLook w:val="04A0" w:firstRow="1" w:lastRow="0" w:firstColumn="1" w:lastColumn="0" w:noHBand="0" w:noVBand="1"/>
      </w:tblPr>
      <w:tblGrid>
        <w:gridCol w:w="5852"/>
        <w:gridCol w:w="2822"/>
        <w:gridCol w:w="1231"/>
        <w:gridCol w:w="2822"/>
        <w:gridCol w:w="1231"/>
      </w:tblGrid>
      <w:tr w:rsidR="00AA7DDC" w:rsidRPr="00446052" w14:paraId="11FCC905" w14:textId="77777777" w:rsidTr="00250031">
        <w:trPr>
          <w:trHeight w:val="57"/>
        </w:trPr>
        <w:tc>
          <w:tcPr>
            <w:tcW w:w="5852" w:type="dxa"/>
            <w:tcBorders>
              <w:top w:val="nil"/>
              <w:left w:val="nil"/>
              <w:bottom w:val="single" w:sz="4" w:space="0" w:color="auto"/>
              <w:right w:val="nil"/>
            </w:tcBorders>
            <w:shd w:val="clear" w:color="auto" w:fill="auto"/>
            <w:noWrap/>
            <w:vAlign w:val="bottom"/>
            <w:hideMark/>
          </w:tcPr>
          <w:p w14:paraId="050B8CF1" w14:textId="77777777" w:rsidR="00AA7DDC" w:rsidRPr="00446052" w:rsidRDefault="00AA7DDC" w:rsidP="00250031">
            <w:pPr>
              <w:rPr>
                <w:lang w:val="en-US"/>
              </w:rPr>
            </w:pPr>
          </w:p>
        </w:tc>
        <w:tc>
          <w:tcPr>
            <w:tcW w:w="4053" w:type="dxa"/>
            <w:gridSpan w:val="2"/>
            <w:tcBorders>
              <w:top w:val="nil"/>
              <w:left w:val="nil"/>
              <w:bottom w:val="single" w:sz="4" w:space="0" w:color="auto"/>
              <w:right w:val="nil"/>
            </w:tcBorders>
            <w:shd w:val="clear" w:color="auto" w:fill="auto"/>
            <w:noWrap/>
            <w:vAlign w:val="bottom"/>
            <w:hideMark/>
          </w:tcPr>
          <w:p w14:paraId="272ABA4A" w14:textId="77777777" w:rsidR="00AA7DDC" w:rsidRPr="00446052" w:rsidRDefault="00AA7DDC" w:rsidP="00250031">
            <w:pPr>
              <w:rPr>
                <w:b/>
                <w:bCs/>
                <w:lang w:val="en-US"/>
              </w:rPr>
            </w:pPr>
            <w:r w:rsidRPr="00446052">
              <w:rPr>
                <w:b/>
                <w:bCs/>
                <w:lang w:val="en-US"/>
              </w:rPr>
              <w:t>Unadjusted</w:t>
            </w:r>
          </w:p>
        </w:tc>
        <w:tc>
          <w:tcPr>
            <w:tcW w:w="4053" w:type="dxa"/>
            <w:gridSpan w:val="2"/>
            <w:tcBorders>
              <w:top w:val="nil"/>
              <w:left w:val="nil"/>
              <w:bottom w:val="single" w:sz="4" w:space="0" w:color="auto"/>
              <w:right w:val="nil"/>
            </w:tcBorders>
            <w:shd w:val="clear" w:color="auto" w:fill="auto"/>
            <w:vAlign w:val="bottom"/>
          </w:tcPr>
          <w:p w14:paraId="2D398053" w14:textId="77777777" w:rsidR="00AA7DDC" w:rsidRPr="00446052" w:rsidRDefault="00AA7DDC" w:rsidP="00250031">
            <w:pPr>
              <w:rPr>
                <w:b/>
                <w:bCs/>
                <w:lang w:val="en-US"/>
              </w:rPr>
            </w:pPr>
            <w:r w:rsidRPr="00446052">
              <w:rPr>
                <w:b/>
                <w:bCs/>
                <w:lang w:val="en-US"/>
              </w:rPr>
              <w:t>Fully adjusted</w:t>
            </w:r>
          </w:p>
        </w:tc>
      </w:tr>
      <w:tr w:rsidR="00AA7DDC" w:rsidRPr="00446052" w14:paraId="6A89600A" w14:textId="77777777" w:rsidTr="00250031">
        <w:trPr>
          <w:trHeight w:val="57"/>
        </w:trPr>
        <w:tc>
          <w:tcPr>
            <w:tcW w:w="5852" w:type="dxa"/>
            <w:tcBorders>
              <w:top w:val="single" w:sz="4" w:space="0" w:color="auto"/>
              <w:left w:val="nil"/>
              <w:bottom w:val="nil"/>
              <w:right w:val="nil"/>
            </w:tcBorders>
            <w:shd w:val="clear" w:color="auto" w:fill="auto"/>
            <w:noWrap/>
            <w:vAlign w:val="bottom"/>
            <w:hideMark/>
          </w:tcPr>
          <w:p w14:paraId="29B888A1" w14:textId="77777777" w:rsidR="00AA7DDC" w:rsidRPr="00446052" w:rsidRDefault="00AA7DDC" w:rsidP="00250031">
            <w:pPr>
              <w:rPr>
                <w:b/>
                <w:bCs/>
                <w:lang w:val="en-US"/>
              </w:rPr>
            </w:pPr>
            <w:r w:rsidRPr="00446052">
              <w:rPr>
                <w:b/>
                <w:bCs/>
                <w:lang w:val="en-US"/>
              </w:rPr>
              <w:t>Primary outcome</w:t>
            </w:r>
          </w:p>
        </w:tc>
        <w:tc>
          <w:tcPr>
            <w:tcW w:w="2822" w:type="dxa"/>
            <w:tcBorders>
              <w:top w:val="single" w:sz="4" w:space="0" w:color="auto"/>
              <w:left w:val="nil"/>
              <w:bottom w:val="nil"/>
              <w:right w:val="nil"/>
            </w:tcBorders>
            <w:shd w:val="clear" w:color="auto" w:fill="auto"/>
            <w:noWrap/>
            <w:vAlign w:val="bottom"/>
            <w:hideMark/>
          </w:tcPr>
          <w:p w14:paraId="275E4ABA" w14:textId="77777777" w:rsidR="00AA7DDC" w:rsidRPr="00446052" w:rsidRDefault="00AA7DDC" w:rsidP="00250031">
            <w:pPr>
              <w:rPr>
                <w:b/>
                <w:bCs/>
                <w:lang w:val="en-US"/>
              </w:rPr>
            </w:pPr>
            <w:r w:rsidRPr="00446052">
              <w:rPr>
                <w:b/>
                <w:bCs/>
                <w:lang w:val="en-US"/>
              </w:rPr>
              <w:t>Mean (95% CI)</w:t>
            </w:r>
          </w:p>
        </w:tc>
        <w:tc>
          <w:tcPr>
            <w:tcW w:w="1231" w:type="dxa"/>
            <w:tcBorders>
              <w:top w:val="single" w:sz="4" w:space="0" w:color="auto"/>
              <w:left w:val="nil"/>
              <w:bottom w:val="nil"/>
              <w:right w:val="nil"/>
            </w:tcBorders>
            <w:shd w:val="clear" w:color="auto" w:fill="auto"/>
            <w:noWrap/>
            <w:vAlign w:val="bottom"/>
            <w:hideMark/>
          </w:tcPr>
          <w:p w14:paraId="67658AEC" w14:textId="77777777" w:rsidR="00AA7DDC" w:rsidRPr="00446052" w:rsidRDefault="00AA7DDC" w:rsidP="00250031">
            <w:pPr>
              <w:rPr>
                <w:b/>
                <w:bCs/>
                <w:lang w:val="en-US"/>
              </w:rPr>
            </w:pPr>
            <w:r w:rsidRPr="00446052">
              <w:rPr>
                <w:b/>
                <w:bCs/>
                <w:lang w:val="en-US"/>
              </w:rPr>
              <w:t>p-value</w:t>
            </w:r>
          </w:p>
        </w:tc>
        <w:tc>
          <w:tcPr>
            <w:tcW w:w="2822" w:type="dxa"/>
            <w:tcBorders>
              <w:top w:val="single" w:sz="4" w:space="0" w:color="auto"/>
              <w:left w:val="nil"/>
              <w:bottom w:val="nil"/>
              <w:right w:val="nil"/>
            </w:tcBorders>
            <w:vAlign w:val="bottom"/>
          </w:tcPr>
          <w:p w14:paraId="3D8F7945" w14:textId="77777777" w:rsidR="00AA7DDC" w:rsidRPr="00446052" w:rsidRDefault="00AA7DDC" w:rsidP="00250031">
            <w:pPr>
              <w:rPr>
                <w:b/>
                <w:bCs/>
                <w:lang w:val="en-US"/>
              </w:rPr>
            </w:pPr>
            <w:r w:rsidRPr="00446052">
              <w:rPr>
                <w:b/>
                <w:bCs/>
                <w:lang w:val="en-US"/>
              </w:rPr>
              <w:t>Mean (95% CI)</w:t>
            </w:r>
          </w:p>
        </w:tc>
        <w:tc>
          <w:tcPr>
            <w:tcW w:w="1231" w:type="dxa"/>
            <w:tcBorders>
              <w:top w:val="single" w:sz="4" w:space="0" w:color="auto"/>
              <w:left w:val="nil"/>
              <w:bottom w:val="nil"/>
              <w:right w:val="nil"/>
            </w:tcBorders>
            <w:vAlign w:val="bottom"/>
          </w:tcPr>
          <w:p w14:paraId="442C175F" w14:textId="77777777" w:rsidR="00AA7DDC" w:rsidRPr="00446052" w:rsidRDefault="00AA7DDC" w:rsidP="00250031">
            <w:pPr>
              <w:rPr>
                <w:b/>
                <w:bCs/>
                <w:lang w:val="en-US"/>
              </w:rPr>
            </w:pPr>
            <w:r w:rsidRPr="00446052">
              <w:rPr>
                <w:b/>
                <w:bCs/>
                <w:lang w:val="en-US"/>
              </w:rPr>
              <w:t>p-value</w:t>
            </w:r>
          </w:p>
        </w:tc>
      </w:tr>
      <w:tr w:rsidR="00AA7DDC" w:rsidRPr="00446052" w14:paraId="4B60D65B" w14:textId="77777777" w:rsidTr="00250031">
        <w:trPr>
          <w:trHeight w:val="57"/>
        </w:trPr>
        <w:tc>
          <w:tcPr>
            <w:tcW w:w="5852" w:type="dxa"/>
            <w:tcBorders>
              <w:top w:val="nil"/>
              <w:left w:val="nil"/>
              <w:bottom w:val="nil"/>
              <w:right w:val="nil"/>
            </w:tcBorders>
            <w:shd w:val="clear" w:color="auto" w:fill="auto"/>
            <w:noWrap/>
            <w:vAlign w:val="bottom"/>
            <w:hideMark/>
          </w:tcPr>
          <w:p w14:paraId="3336593E" w14:textId="77777777" w:rsidR="00AA7DDC" w:rsidRPr="00446052" w:rsidRDefault="00AA7DDC" w:rsidP="00250031">
            <w:pPr>
              <w:rPr>
                <w:b/>
                <w:bCs/>
                <w:lang w:val="en-US"/>
              </w:rPr>
            </w:pPr>
            <w:r w:rsidRPr="00446052">
              <w:rPr>
                <w:b/>
                <w:bCs/>
                <w:lang w:val="en-US"/>
              </w:rPr>
              <w:t>Yearly change in HbA1c (mmol/mol/year)</w:t>
            </w:r>
          </w:p>
        </w:tc>
        <w:tc>
          <w:tcPr>
            <w:tcW w:w="2822" w:type="dxa"/>
            <w:tcBorders>
              <w:top w:val="nil"/>
              <w:left w:val="nil"/>
              <w:bottom w:val="nil"/>
              <w:right w:val="nil"/>
            </w:tcBorders>
            <w:shd w:val="clear" w:color="auto" w:fill="auto"/>
            <w:noWrap/>
            <w:vAlign w:val="bottom"/>
            <w:hideMark/>
          </w:tcPr>
          <w:p w14:paraId="470A71CB" w14:textId="77777777" w:rsidR="00AA7DDC" w:rsidRPr="00446052" w:rsidRDefault="00AA7DDC" w:rsidP="00250031">
            <w:pPr>
              <w:rPr>
                <w:lang w:val="en-US"/>
              </w:rPr>
            </w:pPr>
          </w:p>
        </w:tc>
        <w:tc>
          <w:tcPr>
            <w:tcW w:w="1231" w:type="dxa"/>
            <w:tcBorders>
              <w:top w:val="nil"/>
              <w:left w:val="nil"/>
              <w:bottom w:val="nil"/>
              <w:right w:val="nil"/>
            </w:tcBorders>
            <w:shd w:val="clear" w:color="auto" w:fill="auto"/>
            <w:noWrap/>
            <w:vAlign w:val="bottom"/>
            <w:hideMark/>
          </w:tcPr>
          <w:p w14:paraId="76BC6384" w14:textId="77777777" w:rsidR="00AA7DDC" w:rsidRPr="00446052" w:rsidRDefault="00AA7DDC" w:rsidP="00250031">
            <w:pPr>
              <w:rPr>
                <w:lang w:val="en-US"/>
              </w:rPr>
            </w:pPr>
          </w:p>
        </w:tc>
        <w:tc>
          <w:tcPr>
            <w:tcW w:w="2822" w:type="dxa"/>
            <w:tcBorders>
              <w:top w:val="nil"/>
              <w:left w:val="nil"/>
              <w:bottom w:val="nil"/>
              <w:right w:val="nil"/>
            </w:tcBorders>
          </w:tcPr>
          <w:p w14:paraId="3442B8F0" w14:textId="77777777" w:rsidR="00AA7DDC" w:rsidRPr="00446052" w:rsidRDefault="00AA7DDC" w:rsidP="00250031">
            <w:pPr>
              <w:rPr>
                <w:lang w:val="en-US"/>
              </w:rPr>
            </w:pPr>
          </w:p>
        </w:tc>
        <w:tc>
          <w:tcPr>
            <w:tcW w:w="1231" w:type="dxa"/>
            <w:tcBorders>
              <w:top w:val="nil"/>
              <w:left w:val="nil"/>
              <w:bottom w:val="nil"/>
              <w:right w:val="nil"/>
            </w:tcBorders>
          </w:tcPr>
          <w:p w14:paraId="7EBD9DEF" w14:textId="77777777" w:rsidR="00AA7DDC" w:rsidRPr="00446052" w:rsidRDefault="00AA7DDC" w:rsidP="00250031">
            <w:pPr>
              <w:rPr>
                <w:lang w:val="en-US"/>
              </w:rPr>
            </w:pPr>
          </w:p>
        </w:tc>
      </w:tr>
      <w:tr w:rsidR="00AA7DDC" w:rsidRPr="00446052" w14:paraId="04183B5D" w14:textId="77777777" w:rsidTr="00250031">
        <w:trPr>
          <w:trHeight w:val="57"/>
        </w:trPr>
        <w:tc>
          <w:tcPr>
            <w:tcW w:w="5852" w:type="dxa"/>
            <w:tcBorders>
              <w:top w:val="nil"/>
              <w:left w:val="nil"/>
              <w:bottom w:val="nil"/>
              <w:right w:val="nil"/>
            </w:tcBorders>
            <w:shd w:val="clear" w:color="auto" w:fill="auto"/>
            <w:noWrap/>
            <w:vAlign w:val="bottom"/>
            <w:hideMark/>
          </w:tcPr>
          <w:p w14:paraId="5D0C368D" w14:textId="77777777" w:rsidR="00AA7DDC" w:rsidRPr="00446052" w:rsidRDefault="00AA7DDC" w:rsidP="00250031">
            <w:pPr>
              <w:rPr>
                <w:lang w:val="en-US"/>
              </w:rPr>
            </w:pPr>
            <w:r w:rsidRPr="00446052">
              <w:rPr>
                <w:lang w:val="en-US"/>
              </w:rPr>
              <w:t xml:space="preserve">   Dog owner</w:t>
            </w:r>
          </w:p>
        </w:tc>
        <w:tc>
          <w:tcPr>
            <w:tcW w:w="2822" w:type="dxa"/>
            <w:tcBorders>
              <w:top w:val="nil"/>
              <w:left w:val="nil"/>
              <w:bottom w:val="nil"/>
              <w:right w:val="nil"/>
            </w:tcBorders>
            <w:shd w:val="clear" w:color="auto" w:fill="auto"/>
            <w:noWrap/>
            <w:vAlign w:val="bottom"/>
            <w:hideMark/>
          </w:tcPr>
          <w:p w14:paraId="3895A2BA" w14:textId="77777777" w:rsidR="00AA7DDC" w:rsidRPr="00446052" w:rsidRDefault="00AA7DDC" w:rsidP="00250031">
            <w:pPr>
              <w:rPr>
                <w:lang w:val="en-US"/>
              </w:rPr>
            </w:pPr>
            <w:r w:rsidRPr="00446052">
              <w:rPr>
                <w:lang w:val="en-US"/>
              </w:rPr>
              <w:t>-1.40 (-1.57 to -1.23)</w:t>
            </w:r>
          </w:p>
        </w:tc>
        <w:tc>
          <w:tcPr>
            <w:tcW w:w="1231" w:type="dxa"/>
            <w:tcBorders>
              <w:top w:val="nil"/>
              <w:left w:val="nil"/>
              <w:bottom w:val="nil"/>
              <w:right w:val="nil"/>
            </w:tcBorders>
            <w:shd w:val="clear" w:color="auto" w:fill="auto"/>
            <w:noWrap/>
            <w:vAlign w:val="bottom"/>
            <w:hideMark/>
          </w:tcPr>
          <w:p w14:paraId="5F909BCD" w14:textId="77777777" w:rsidR="00AA7DDC" w:rsidRPr="00446052" w:rsidRDefault="00AA7DDC" w:rsidP="00250031">
            <w:pPr>
              <w:rPr>
                <w:lang w:val="en-US"/>
              </w:rPr>
            </w:pPr>
            <w:r w:rsidRPr="00446052">
              <w:rPr>
                <w:lang w:val="en-US"/>
              </w:rPr>
              <w:t>&lt;0.001</w:t>
            </w:r>
          </w:p>
        </w:tc>
        <w:tc>
          <w:tcPr>
            <w:tcW w:w="2822" w:type="dxa"/>
            <w:tcBorders>
              <w:top w:val="nil"/>
              <w:left w:val="nil"/>
              <w:bottom w:val="nil"/>
              <w:right w:val="nil"/>
            </w:tcBorders>
          </w:tcPr>
          <w:p w14:paraId="49B5E655" w14:textId="77777777" w:rsidR="00AA7DDC" w:rsidRPr="00446052" w:rsidRDefault="00AA7DDC" w:rsidP="00250031">
            <w:pPr>
              <w:rPr>
                <w:lang w:val="en-US"/>
              </w:rPr>
            </w:pPr>
            <w:r w:rsidRPr="00446052">
              <w:rPr>
                <w:lang w:val="en-US"/>
              </w:rPr>
              <w:t>-1.60 (-1.73 to -1.47)</w:t>
            </w:r>
          </w:p>
        </w:tc>
        <w:tc>
          <w:tcPr>
            <w:tcW w:w="1231" w:type="dxa"/>
            <w:tcBorders>
              <w:top w:val="nil"/>
              <w:left w:val="nil"/>
              <w:bottom w:val="nil"/>
              <w:right w:val="nil"/>
            </w:tcBorders>
          </w:tcPr>
          <w:p w14:paraId="62522311" w14:textId="77777777" w:rsidR="00AA7DDC" w:rsidRPr="00446052" w:rsidRDefault="00AA7DDC" w:rsidP="00250031">
            <w:pPr>
              <w:rPr>
                <w:lang w:val="en-US"/>
              </w:rPr>
            </w:pPr>
            <w:r w:rsidRPr="00446052">
              <w:rPr>
                <w:lang w:val="en-US"/>
              </w:rPr>
              <w:t>0.002</w:t>
            </w:r>
          </w:p>
        </w:tc>
      </w:tr>
      <w:tr w:rsidR="00AA7DDC" w:rsidRPr="00446052" w14:paraId="24A91C31" w14:textId="77777777" w:rsidTr="00250031">
        <w:trPr>
          <w:trHeight w:val="57"/>
        </w:trPr>
        <w:tc>
          <w:tcPr>
            <w:tcW w:w="5852" w:type="dxa"/>
            <w:tcBorders>
              <w:top w:val="nil"/>
              <w:left w:val="nil"/>
              <w:bottom w:val="nil"/>
              <w:right w:val="nil"/>
            </w:tcBorders>
            <w:shd w:val="clear" w:color="auto" w:fill="auto"/>
            <w:noWrap/>
            <w:vAlign w:val="bottom"/>
            <w:hideMark/>
          </w:tcPr>
          <w:p w14:paraId="30AA1FC0" w14:textId="77777777" w:rsidR="00AA7DDC" w:rsidRPr="00446052" w:rsidRDefault="00AA7DDC" w:rsidP="00250031">
            <w:pPr>
              <w:rPr>
                <w:lang w:val="en-US"/>
              </w:rPr>
            </w:pPr>
            <w:r w:rsidRPr="00446052">
              <w:rPr>
                <w:lang w:val="en-US"/>
              </w:rPr>
              <w:t xml:space="preserve">   Non dog owner  </w:t>
            </w:r>
          </w:p>
        </w:tc>
        <w:tc>
          <w:tcPr>
            <w:tcW w:w="2822" w:type="dxa"/>
            <w:tcBorders>
              <w:top w:val="nil"/>
              <w:left w:val="nil"/>
              <w:bottom w:val="nil"/>
              <w:right w:val="nil"/>
            </w:tcBorders>
            <w:shd w:val="clear" w:color="auto" w:fill="auto"/>
            <w:noWrap/>
            <w:vAlign w:val="bottom"/>
            <w:hideMark/>
          </w:tcPr>
          <w:p w14:paraId="0990CEBD" w14:textId="77777777" w:rsidR="00AA7DDC" w:rsidRPr="00446052" w:rsidRDefault="00AA7DDC" w:rsidP="00250031">
            <w:pPr>
              <w:rPr>
                <w:lang w:val="en-US"/>
              </w:rPr>
            </w:pPr>
            <w:r w:rsidRPr="00446052">
              <w:rPr>
                <w:lang w:val="en-US"/>
              </w:rPr>
              <w:t>-1.93 (-2.05 to -1.80)</w:t>
            </w:r>
          </w:p>
        </w:tc>
        <w:tc>
          <w:tcPr>
            <w:tcW w:w="1231" w:type="dxa"/>
            <w:tcBorders>
              <w:top w:val="nil"/>
              <w:left w:val="nil"/>
              <w:bottom w:val="nil"/>
              <w:right w:val="nil"/>
            </w:tcBorders>
            <w:shd w:val="clear" w:color="auto" w:fill="auto"/>
            <w:noWrap/>
            <w:vAlign w:val="bottom"/>
            <w:hideMark/>
          </w:tcPr>
          <w:p w14:paraId="1357CECD" w14:textId="77777777" w:rsidR="00AA7DDC" w:rsidRPr="00446052" w:rsidRDefault="00AA7DDC" w:rsidP="00250031">
            <w:pPr>
              <w:rPr>
                <w:lang w:val="en-US"/>
              </w:rPr>
            </w:pPr>
          </w:p>
        </w:tc>
        <w:tc>
          <w:tcPr>
            <w:tcW w:w="2822" w:type="dxa"/>
            <w:tcBorders>
              <w:top w:val="nil"/>
              <w:left w:val="nil"/>
              <w:bottom w:val="nil"/>
              <w:right w:val="nil"/>
            </w:tcBorders>
          </w:tcPr>
          <w:p w14:paraId="2AA55369" w14:textId="77777777" w:rsidR="00AA7DDC" w:rsidRPr="00446052" w:rsidRDefault="00AA7DDC" w:rsidP="00250031">
            <w:pPr>
              <w:rPr>
                <w:lang w:val="en-US"/>
              </w:rPr>
            </w:pPr>
            <w:r w:rsidRPr="00446052">
              <w:rPr>
                <w:lang w:val="en-US"/>
              </w:rPr>
              <w:t>-1.84 (-1.93 to -1.75)</w:t>
            </w:r>
          </w:p>
        </w:tc>
        <w:tc>
          <w:tcPr>
            <w:tcW w:w="1231" w:type="dxa"/>
            <w:tcBorders>
              <w:top w:val="nil"/>
              <w:left w:val="nil"/>
              <w:bottom w:val="nil"/>
              <w:right w:val="nil"/>
            </w:tcBorders>
          </w:tcPr>
          <w:p w14:paraId="237D9AD1" w14:textId="77777777" w:rsidR="00AA7DDC" w:rsidRPr="00446052" w:rsidRDefault="00AA7DDC" w:rsidP="00250031">
            <w:pPr>
              <w:rPr>
                <w:lang w:val="en-US"/>
              </w:rPr>
            </w:pPr>
          </w:p>
        </w:tc>
      </w:tr>
      <w:tr w:rsidR="00AA7DDC" w:rsidRPr="00446052" w14:paraId="24ECD709" w14:textId="77777777" w:rsidTr="00250031">
        <w:trPr>
          <w:trHeight w:val="57"/>
        </w:trPr>
        <w:tc>
          <w:tcPr>
            <w:tcW w:w="5852" w:type="dxa"/>
            <w:tcBorders>
              <w:top w:val="nil"/>
              <w:left w:val="nil"/>
              <w:bottom w:val="nil"/>
              <w:right w:val="nil"/>
            </w:tcBorders>
            <w:shd w:val="clear" w:color="auto" w:fill="auto"/>
            <w:noWrap/>
            <w:vAlign w:val="bottom"/>
            <w:hideMark/>
          </w:tcPr>
          <w:p w14:paraId="06AB5C98" w14:textId="77777777" w:rsidR="00AA7DDC" w:rsidRPr="00446052" w:rsidRDefault="00AA7DDC" w:rsidP="00250031">
            <w:pPr>
              <w:rPr>
                <w:lang w:val="en-US"/>
              </w:rPr>
            </w:pPr>
          </w:p>
        </w:tc>
        <w:tc>
          <w:tcPr>
            <w:tcW w:w="2822" w:type="dxa"/>
            <w:tcBorders>
              <w:top w:val="nil"/>
              <w:left w:val="nil"/>
              <w:bottom w:val="nil"/>
              <w:right w:val="nil"/>
            </w:tcBorders>
            <w:shd w:val="clear" w:color="auto" w:fill="auto"/>
            <w:noWrap/>
            <w:vAlign w:val="bottom"/>
            <w:hideMark/>
          </w:tcPr>
          <w:p w14:paraId="770BF00F" w14:textId="77777777" w:rsidR="00AA7DDC" w:rsidRPr="00446052" w:rsidRDefault="00AA7DDC" w:rsidP="00250031">
            <w:pPr>
              <w:rPr>
                <w:lang w:val="en-US"/>
              </w:rPr>
            </w:pPr>
          </w:p>
        </w:tc>
        <w:tc>
          <w:tcPr>
            <w:tcW w:w="1231" w:type="dxa"/>
            <w:tcBorders>
              <w:top w:val="nil"/>
              <w:left w:val="nil"/>
              <w:bottom w:val="nil"/>
              <w:right w:val="nil"/>
            </w:tcBorders>
            <w:shd w:val="clear" w:color="auto" w:fill="auto"/>
            <w:noWrap/>
            <w:vAlign w:val="bottom"/>
            <w:hideMark/>
          </w:tcPr>
          <w:p w14:paraId="20055C2C" w14:textId="77777777" w:rsidR="00AA7DDC" w:rsidRPr="00446052" w:rsidRDefault="00AA7DDC" w:rsidP="00250031">
            <w:pPr>
              <w:rPr>
                <w:lang w:val="en-US"/>
              </w:rPr>
            </w:pPr>
          </w:p>
        </w:tc>
        <w:tc>
          <w:tcPr>
            <w:tcW w:w="2822" w:type="dxa"/>
            <w:tcBorders>
              <w:top w:val="nil"/>
              <w:left w:val="nil"/>
              <w:bottom w:val="nil"/>
              <w:right w:val="nil"/>
            </w:tcBorders>
          </w:tcPr>
          <w:p w14:paraId="08ADCD0B" w14:textId="77777777" w:rsidR="00AA7DDC" w:rsidRPr="00446052" w:rsidRDefault="00AA7DDC" w:rsidP="00250031">
            <w:pPr>
              <w:rPr>
                <w:lang w:val="en-US"/>
              </w:rPr>
            </w:pPr>
          </w:p>
        </w:tc>
        <w:tc>
          <w:tcPr>
            <w:tcW w:w="1231" w:type="dxa"/>
            <w:tcBorders>
              <w:top w:val="nil"/>
              <w:left w:val="nil"/>
              <w:bottom w:val="nil"/>
              <w:right w:val="nil"/>
            </w:tcBorders>
          </w:tcPr>
          <w:p w14:paraId="0E9FD64C" w14:textId="77777777" w:rsidR="00AA7DDC" w:rsidRPr="00446052" w:rsidRDefault="00AA7DDC" w:rsidP="00250031">
            <w:pPr>
              <w:rPr>
                <w:lang w:val="en-US"/>
              </w:rPr>
            </w:pPr>
          </w:p>
        </w:tc>
      </w:tr>
      <w:tr w:rsidR="00AA7DDC" w:rsidRPr="00446052" w14:paraId="709F3B68" w14:textId="77777777" w:rsidTr="00250031">
        <w:trPr>
          <w:trHeight w:val="57"/>
        </w:trPr>
        <w:tc>
          <w:tcPr>
            <w:tcW w:w="5852" w:type="dxa"/>
            <w:tcBorders>
              <w:top w:val="nil"/>
              <w:left w:val="nil"/>
              <w:bottom w:val="nil"/>
              <w:right w:val="nil"/>
            </w:tcBorders>
            <w:shd w:val="clear" w:color="auto" w:fill="auto"/>
            <w:noWrap/>
            <w:vAlign w:val="bottom"/>
          </w:tcPr>
          <w:p w14:paraId="2D023B4E" w14:textId="77777777" w:rsidR="00AA7DDC" w:rsidRPr="00446052" w:rsidRDefault="00AA7DDC" w:rsidP="00250031">
            <w:pPr>
              <w:rPr>
                <w:b/>
                <w:bCs/>
                <w:lang w:val="en-US"/>
              </w:rPr>
            </w:pPr>
            <w:r w:rsidRPr="00446052">
              <w:rPr>
                <w:b/>
                <w:bCs/>
                <w:lang w:val="en-US"/>
              </w:rPr>
              <w:t>Secondary outcomes</w:t>
            </w:r>
          </w:p>
        </w:tc>
        <w:tc>
          <w:tcPr>
            <w:tcW w:w="2822" w:type="dxa"/>
            <w:tcBorders>
              <w:top w:val="nil"/>
              <w:left w:val="nil"/>
              <w:bottom w:val="nil"/>
              <w:right w:val="nil"/>
            </w:tcBorders>
            <w:shd w:val="clear" w:color="auto" w:fill="auto"/>
            <w:noWrap/>
            <w:vAlign w:val="bottom"/>
          </w:tcPr>
          <w:p w14:paraId="49A9DA4E" w14:textId="77777777" w:rsidR="00AA7DDC" w:rsidRPr="00446052" w:rsidRDefault="00AA7DDC" w:rsidP="00250031">
            <w:pPr>
              <w:rPr>
                <w:b/>
                <w:bCs/>
                <w:lang w:val="en-US"/>
              </w:rPr>
            </w:pPr>
            <w:r w:rsidRPr="00446052">
              <w:rPr>
                <w:b/>
                <w:bCs/>
                <w:lang w:val="en-US"/>
              </w:rPr>
              <w:t>OR (95% CI)</w:t>
            </w:r>
          </w:p>
        </w:tc>
        <w:tc>
          <w:tcPr>
            <w:tcW w:w="1231" w:type="dxa"/>
            <w:tcBorders>
              <w:top w:val="nil"/>
              <w:left w:val="nil"/>
              <w:bottom w:val="nil"/>
              <w:right w:val="nil"/>
            </w:tcBorders>
            <w:shd w:val="clear" w:color="auto" w:fill="auto"/>
            <w:noWrap/>
            <w:vAlign w:val="bottom"/>
          </w:tcPr>
          <w:p w14:paraId="1428BA4E" w14:textId="77777777" w:rsidR="00AA7DDC" w:rsidRPr="00446052" w:rsidRDefault="00AA7DDC" w:rsidP="00250031">
            <w:pPr>
              <w:rPr>
                <w:b/>
                <w:bCs/>
                <w:lang w:val="en-US"/>
              </w:rPr>
            </w:pPr>
            <w:r w:rsidRPr="00446052">
              <w:rPr>
                <w:b/>
                <w:bCs/>
                <w:lang w:val="en-US"/>
              </w:rPr>
              <w:t>p-value</w:t>
            </w:r>
          </w:p>
        </w:tc>
        <w:tc>
          <w:tcPr>
            <w:tcW w:w="2822" w:type="dxa"/>
            <w:tcBorders>
              <w:top w:val="nil"/>
              <w:left w:val="nil"/>
              <w:bottom w:val="nil"/>
              <w:right w:val="nil"/>
            </w:tcBorders>
            <w:vAlign w:val="bottom"/>
          </w:tcPr>
          <w:p w14:paraId="797FFF40" w14:textId="77777777" w:rsidR="00AA7DDC" w:rsidRPr="00446052" w:rsidRDefault="00AA7DDC" w:rsidP="00250031">
            <w:pPr>
              <w:rPr>
                <w:lang w:val="en-US"/>
              </w:rPr>
            </w:pPr>
            <w:r w:rsidRPr="00446052">
              <w:rPr>
                <w:b/>
                <w:bCs/>
                <w:lang w:val="en-US"/>
              </w:rPr>
              <w:t>OR (95% CI)</w:t>
            </w:r>
          </w:p>
        </w:tc>
        <w:tc>
          <w:tcPr>
            <w:tcW w:w="1231" w:type="dxa"/>
            <w:tcBorders>
              <w:top w:val="nil"/>
              <w:left w:val="nil"/>
              <w:bottom w:val="nil"/>
              <w:right w:val="nil"/>
            </w:tcBorders>
            <w:vAlign w:val="bottom"/>
          </w:tcPr>
          <w:p w14:paraId="3E702DF1" w14:textId="77777777" w:rsidR="00AA7DDC" w:rsidRPr="00446052" w:rsidRDefault="00AA7DDC" w:rsidP="00250031">
            <w:pPr>
              <w:rPr>
                <w:lang w:val="en-US"/>
              </w:rPr>
            </w:pPr>
            <w:r w:rsidRPr="00446052">
              <w:rPr>
                <w:b/>
                <w:bCs/>
                <w:lang w:val="en-US"/>
              </w:rPr>
              <w:t>p-value</w:t>
            </w:r>
          </w:p>
        </w:tc>
      </w:tr>
      <w:tr w:rsidR="00AA7DDC" w:rsidRPr="00446052" w14:paraId="71F4F6C3" w14:textId="77777777" w:rsidTr="00250031">
        <w:trPr>
          <w:trHeight w:val="57"/>
        </w:trPr>
        <w:tc>
          <w:tcPr>
            <w:tcW w:w="5852" w:type="dxa"/>
            <w:tcBorders>
              <w:top w:val="nil"/>
              <w:left w:val="nil"/>
              <w:bottom w:val="nil"/>
              <w:right w:val="nil"/>
            </w:tcBorders>
            <w:shd w:val="clear" w:color="auto" w:fill="auto"/>
            <w:noWrap/>
            <w:vAlign w:val="bottom"/>
            <w:hideMark/>
          </w:tcPr>
          <w:p w14:paraId="27B70237" w14:textId="77777777" w:rsidR="00AA7DDC" w:rsidRPr="00446052" w:rsidRDefault="00AA7DDC" w:rsidP="00250031">
            <w:pPr>
              <w:rPr>
                <w:b/>
                <w:bCs/>
                <w:lang w:val="en-US"/>
              </w:rPr>
            </w:pPr>
            <w:r w:rsidRPr="00446052">
              <w:rPr>
                <w:b/>
                <w:bCs/>
                <w:lang w:val="en-US"/>
              </w:rPr>
              <w:t>Reaching guideline treatment goals</w:t>
            </w:r>
          </w:p>
        </w:tc>
        <w:tc>
          <w:tcPr>
            <w:tcW w:w="2822" w:type="dxa"/>
            <w:tcBorders>
              <w:top w:val="nil"/>
              <w:left w:val="nil"/>
              <w:bottom w:val="nil"/>
              <w:right w:val="nil"/>
            </w:tcBorders>
            <w:shd w:val="clear" w:color="auto" w:fill="auto"/>
            <w:noWrap/>
            <w:vAlign w:val="bottom"/>
          </w:tcPr>
          <w:p w14:paraId="32DCAE01" w14:textId="77777777" w:rsidR="00AA7DDC" w:rsidRPr="00446052" w:rsidRDefault="00AA7DDC" w:rsidP="00250031">
            <w:pPr>
              <w:rPr>
                <w:lang w:val="en-US"/>
              </w:rPr>
            </w:pPr>
          </w:p>
        </w:tc>
        <w:tc>
          <w:tcPr>
            <w:tcW w:w="1231" w:type="dxa"/>
            <w:tcBorders>
              <w:top w:val="nil"/>
              <w:left w:val="nil"/>
              <w:bottom w:val="nil"/>
              <w:right w:val="nil"/>
            </w:tcBorders>
            <w:shd w:val="clear" w:color="auto" w:fill="auto"/>
            <w:noWrap/>
            <w:vAlign w:val="bottom"/>
          </w:tcPr>
          <w:p w14:paraId="570C34C7" w14:textId="77777777" w:rsidR="00AA7DDC" w:rsidRPr="00446052" w:rsidRDefault="00AA7DDC" w:rsidP="00250031">
            <w:pPr>
              <w:rPr>
                <w:lang w:val="en-US"/>
              </w:rPr>
            </w:pPr>
          </w:p>
        </w:tc>
        <w:tc>
          <w:tcPr>
            <w:tcW w:w="2822" w:type="dxa"/>
            <w:tcBorders>
              <w:top w:val="nil"/>
              <w:left w:val="nil"/>
              <w:bottom w:val="nil"/>
              <w:right w:val="nil"/>
            </w:tcBorders>
          </w:tcPr>
          <w:p w14:paraId="0A519D06" w14:textId="77777777" w:rsidR="00AA7DDC" w:rsidRPr="00446052" w:rsidRDefault="00AA7DDC" w:rsidP="00250031">
            <w:pPr>
              <w:rPr>
                <w:lang w:val="en-US"/>
              </w:rPr>
            </w:pPr>
          </w:p>
        </w:tc>
        <w:tc>
          <w:tcPr>
            <w:tcW w:w="1231" w:type="dxa"/>
            <w:tcBorders>
              <w:top w:val="nil"/>
              <w:left w:val="nil"/>
              <w:bottom w:val="nil"/>
              <w:right w:val="nil"/>
            </w:tcBorders>
          </w:tcPr>
          <w:p w14:paraId="7801A3C7" w14:textId="77777777" w:rsidR="00AA7DDC" w:rsidRPr="00446052" w:rsidRDefault="00AA7DDC" w:rsidP="00250031">
            <w:pPr>
              <w:rPr>
                <w:lang w:val="en-US"/>
              </w:rPr>
            </w:pPr>
          </w:p>
        </w:tc>
      </w:tr>
      <w:tr w:rsidR="00AA7DDC" w:rsidRPr="00446052" w14:paraId="2439792F" w14:textId="77777777" w:rsidTr="00250031">
        <w:trPr>
          <w:trHeight w:val="57"/>
        </w:trPr>
        <w:tc>
          <w:tcPr>
            <w:tcW w:w="5852" w:type="dxa"/>
            <w:tcBorders>
              <w:top w:val="nil"/>
              <w:left w:val="nil"/>
              <w:bottom w:val="nil"/>
              <w:right w:val="nil"/>
            </w:tcBorders>
            <w:shd w:val="clear" w:color="auto" w:fill="auto"/>
            <w:noWrap/>
            <w:vAlign w:val="bottom"/>
            <w:hideMark/>
          </w:tcPr>
          <w:p w14:paraId="5DAB7F37" w14:textId="77777777" w:rsidR="00AA7DDC" w:rsidRPr="00446052" w:rsidRDefault="00AA7DDC" w:rsidP="00250031">
            <w:pPr>
              <w:rPr>
                <w:lang w:val="en-US"/>
              </w:rPr>
            </w:pPr>
            <w:r w:rsidRPr="00446052">
              <w:rPr>
                <w:lang w:val="en-US"/>
              </w:rPr>
              <w:t xml:space="preserve">  HbA1c &lt;52 mmol/mol (&lt;6.9 %)</w:t>
            </w:r>
          </w:p>
        </w:tc>
        <w:tc>
          <w:tcPr>
            <w:tcW w:w="2822" w:type="dxa"/>
            <w:tcBorders>
              <w:top w:val="nil"/>
              <w:left w:val="nil"/>
              <w:bottom w:val="nil"/>
              <w:right w:val="nil"/>
            </w:tcBorders>
            <w:shd w:val="clear" w:color="auto" w:fill="auto"/>
            <w:noWrap/>
            <w:hideMark/>
          </w:tcPr>
          <w:p w14:paraId="173C3BDF" w14:textId="77777777" w:rsidR="00AA7DDC" w:rsidRPr="00446052" w:rsidRDefault="00AA7DDC" w:rsidP="00250031">
            <w:pPr>
              <w:rPr>
                <w:lang w:val="en-US"/>
              </w:rPr>
            </w:pPr>
            <w:r w:rsidRPr="00446052">
              <w:rPr>
                <w:lang w:val="en-US"/>
              </w:rPr>
              <w:t>0.91 (0.86 to 0.97)</w:t>
            </w:r>
          </w:p>
        </w:tc>
        <w:tc>
          <w:tcPr>
            <w:tcW w:w="1231" w:type="dxa"/>
            <w:tcBorders>
              <w:top w:val="nil"/>
              <w:left w:val="nil"/>
              <w:bottom w:val="nil"/>
              <w:right w:val="nil"/>
            </w:tcBorders>
            <w:shd w:val="clear" w:color="auto" w:fill="auto"/>
            <w:noWrap/>
            <w:vAlign w:val="bottom"/>
            <w:hideMark/>
          </w:tcPr>
          <w:p w14:paraId="7CD19A26" w14:textId="77777777" w:rsidR="00AA7DDC" w:rsidRPr="00446052" w:rsidRDefault="00AA7DDC" w:rsidP="00250031">
            <w:pPr>
              <w:rPr>
                <w:lang w:val="en-US"/>
              </w:rPr>
            </w:pPr>
            <w:r w:rsidRPr="00446052">
              <w:rPr>
                <w:lang w:val="en-US"/>
              </w:rPr>
              <w:t>0.003</w:t>
            </w:r>
          </w:p>
        </w:tc>
        <w:tc>
          <w:tcPr>
            <w:tcW w:w="2822" w:type="dxa"/>
            <w:tcBorders>
              <w:top w:val="nil"/>
              <w:left w:val="nil"/>
              <w:bottom w:val="nil"/>
              <w:right w:val="nil"/>
            </w:tcBorders>
          </w:tcPr>
          <w:p w14:paraId="1013903B" w14:textId="77777777" w:rsidR="00AA7DDC" w:rsidRPr="00446052" w:rsidRDefault="00AA7DDC" w:rsidP="00250031">
            <w:pPr>
              <w:rPr>
                <w:lang w:val="en-US"/>
              </w:rPr>
            </w:pPr>
            <w:r w:rsidRPr="00446052">
              <w:rPr>
                <w:lang w:val="en-US"/>
              </w:rPr>
              <w:t>0.92 (0.86 to 0.98)</w:t>
            </w:r>
          </w:p>
        </w:tc>
        <w:tc>
          <w:tcPr>
            <w:tcW w:w="1231" w:type="dxa"/>
            <w:tcBorders>
              <w:top w:val="nil"/>
              <w:left w:val="nil"/>
              <w:bottom w:val="nil"/>
              <w:right w:val="nil"/>
            </w:tcBorders>
          </w:tcPr>
          <w:p w14:paraId="5990D49D" w14:textId="77777777" w:rsidR="00AA7DDC" w:rsidRPr="00446052" w:rsidRDefault="00AA7DDC" w:rsidP="00250031">
            <w:pPr>
              <w:rPr>
                <w:lang w:val="en-US"/>
              </w:rPr>
            </w:pPr>
            <w:r w:rsidRPr="00446052">
              <w:rPr>
                <w:lang w:val="en-US"/>
              </w:rPr>
              <w:t>0.012</w:t>
            </w:r>
          </w:p>
        </w:tc>
      </w:tr>
      <w:tr w:rsidR="00AA7DDC" w:rsidRPr="00446052" w14:paraId="0ABB4BFB" w14:textId="77777777" w:rsidTr="00250031">
        <w:trPr>
          <w:trHeight w:val="57"/>
        </w:trPr>
        <w:tc>
          <w:tcPr>
            <w:tcW w:w="5852" w:type="dxa"/>
            <w:tcBorders>
              <w:top w:val="nil"/>
              <w:left w:val="nil"/>
              <w:bottom w:val="nil"/>
              <w:right w:val="nil"/>
            </w:tcBorders>
            <w:shd w:val="clear" w:color="auto" w:fill="auto"/>
            <w:noWrap/>
            <w:vAlign w:val="bottom"/>
            <w:hideMark/>
          </w:tcPr>
          <w:p w14:paraId="4BEAB400" w14:textId="77777777" w:rsidR="00AA7DDC" w:rsidRPr="00446052" w:rsidRDefault="00AA7DDC" w:rsidP="00250031">
            <w:pPr>
              <w:rPr>
                <w:lang w:val="en-US"/>
              </w:rPr>
            </w:pPr>
            <w:r w:rsidRPr="00446052">
              <w:rPr>
                <w:lang w:val="en-US"/>
              </w:rPr>
              <w:t xml:space="preserve">  LDL &lt;2.5 mmol/L</w:t>
            </w:r>
          </w:p>
        </w:tc>
        <w:tc>
          <w:tcPr>
            <w:tcW w:w="2822" w:type="dxa"/>
            <w:tcBorders>
              <w:top w:val="nil"/>
              <w:left w:val="nil"/>
              <w:bottom w:val="nil"/>
              <w:right w:val="nil"/>
            </w:tcBorders>
            <w:shd w:val="clear" w:color="auto" w:fill="auto"/>
            <w:noWrap/>
            <w:hideMark/>
          </w:tcPr>
          <w:p w14:paraId="0608391F" w14:textId="77777777" w:rsidR="00AA7DDC" w:rsidRPr="00446052" w:rsidRDefault="00AA7DDC" w:rsidP="00250031">
            <w:pPr>
              <w:rPr>
                <w:lang w:val="en-US"/>
              </w:rPr>
            </w:pPr>
            <w:r w:rsidRPr="00446052">
              <w:rPr>
                <w:lang w:val="en-US"/>
              </w:rPr>
              <w:t>0.92 (0.86 to 0.97)</w:t>
            </w:r>
          </w:p>
        </w:tc>
        <w:tc>
          <w:tcPr>
            <w:tcW w:w="1231" w:type="dxa"/>
            <w:tcBorders>
              <w:top w:val="nil"/>
              <w:left w:val="nil"/>
              <w:bottom w:val="nil"/>
              <w:right w:val="nil"/>
            </w:tcBorders>
            <w:shd w:val="clear" w:color="auto" w:fill="auto"/>
            <w:noWrap/>
            <w:vAlign w:val="bottom"/>
            <w:hideMark/>
          </w:tcPr>
          <w:p w14:paraId="04841AEE" w14:textId="77777777" w:rsidR="00AA7DDC" w:rsidRPr="00446052" w:rsidRDefault="00AA7DDC" w:rsidP="00250031">
            <w:pPr>
              <w:rPr>
                <w:lang w:val="en-US"/>
              </w:rPr>
            </w:pPr>
            <w:r w:rsidRPr="00446052">
              <w:rPr>
                <w:lang w:val="en-US"/>
              </w:rPr>
              <w:t>0.004</w:t>
            </w:r>
          </w:p>
        </w:tc>
        <w:tc>
          <w:tcPr>
            <w:tcW w:w="2822" w:type="dxa"/>
            <w:tcBorders>
              <w:top w:val="nil"/>
              <w:left w:val="nil"/>
              <w:bottom w:val="nil"/>
              <w:right w:val="nil"/>
            </w:tcBorders>
          </w:tcPr>
          <w:p w14:paraId="5B09C692" w14:textId="77777777" w:rsidR="00AA7DDC" w:rsidRPr="00446052" w:rsidRDefault="00AA7DDC" w:rsidP="00250031">
            <w:pPr>
              <w:rPr>
                <w:lang w:val="en-US"/>
              </w:rPr>
            </w:pPr>
            <w:r w:rsidRPr="00446052">
              <w:rPr>
                <w:lang w:val="en-US"/>
              </w:rPr>
              <w:t>0.93 (0.88 to 0.99)</w:t>
            </w:r>
          </w:p>
        </w:tc>
        <w:tc>
          <w:tcPr>
            <w:tcW w:w="1231" w:type="dxa"/>
            <w:tcBorders>
              <w:top w:val="nil"/>
              <w:left w:val="nil"/>
              <w:bottom w:val="nil"/>
              <w:right w:val="nil"/>
            </w:tcBorders>
          </w:tcPr>
          <w:p w14:paraId="2113AC07" w14:textId="77777777" w:rsidR="00AA7DDC" w:rsidRPr="00446052" w:rsidRDefault="00AA7DDC" w:rsidP="00250031">
            <w:pPr>
              <w:rPr>
                <w:lang w:val="en-US"/>
              </w:rPr>
            </w:pPr>
            <w:r w:rsidRPr="00446052">
              <w:rPr>
                <w:lang w:val="en-US"/>
              </w:rPr>
              <w:t>0.027</w:t>
            </w:r>
          </w:p>
        </w:tc>
      </w:tr>
      <w:tr w:rsidR="00AA7DDC" w:rsidRPr="00446052" w14:paraId="6BBCD5A2" w14:textId="77777777" w:rsidTr="00250031">
        <w:trPr>
          <w:trHeight w:val="57"/>
        </w:trPr>
        <w:tc>
          <w:tcPr>
            <w:tcW w:w="5852" w:type="dxa"/>
            <w:tcBorders>
              <w:top w:val="nil"/>
              <w:left w:val="nil"/>
              <w:bottom w:val="nil"/>
              <w:right w:val="nil"/>
            </w:tcBorders>
            <w:shd w:val="clear" w:color="auto" w:fill="auto"/>
            <w:noWrap/>
            <w:vAlign w:val="bottom"/>
            <w:hideMark/>
          </w:tcPr>
          <w:p w14:paraId="4E5EA1F1" w14:textId="77777777" w:rsidR="00AA7DDC" w:rsidRPr="00446052" w:rsidRDefault="00AA7DDC" w:rsidP="00250031">
            <w:pPr>
              <w:rPr>
                <w:lang w:val="en-US"/>
              </w:rPr>
            </w:pPr>
            <w:r w:rsidRPr="00446052">
              <w:rPr>
                <w:lang w:val="en-US"/>
              </w:rPr>
              <w:t xml:space="preserve">  SBP &lt;140 mmHg</w:t>
            </w:r>
          </w:p>
        </w:tc>
        <w:tc>
          <w:tcPr>
            <w:tcW w:w="2822" w:type="dxa"/>
            <w:tcBorders>
              <w:top w:val="nil"/>
              <w:left w:val="nil"/>
              <w:bottom w:val="nil"/>
              <w:right w:val="nil"/>
            </w:tcBorders>
            <w:shd w:val="clear" w:color="auto" w:fill="auto"/>
            <w:noWrap/>
            <w:hideMark/>
          </w:tcPr>
          <w:p w14:paraId="1F777883" w14:textId="77777777" w:rsidR="00AA7DDC" w:rsidRPr="00446052" w:rsidRDefault="00AA7DDC" w:rsidP="00250031">
            <w:pPr>
              <w:rPr>
                <w:lang w:val="en-US"/>
              </w:rPr>
            </w:pPr>
            <w:r w:rsidRPr="00446052">
              <w:rPr>
                <w:lang w:val="en-US"/>
              </w:rPr>
              <w:t>0.98 (0.92 to 1.04)</w:t>
            </w:r>
          </w:p>
        </w:tc>
        <w:tc>
          <w:tcPr>
            <w:tcW w:w="1231" w:type="dxa"/>
            <w:tcBorders>
              <w:top w:val="nil"/>
              <w:left w:val="nil"/>
              <w:bottom w:val="nil"/>
              <w:right w:val="nil"/>
            </w:tcBorders>
            <w:shd w:val="clear" w:color="auto" w:fill="auto"/>
            <w:noWrap/>
            <w:vAlign w:val="bottom"/>
            <w:hideMark/>
          </w:tcPr>
          <w:p w14:paraId="45570AE3" w14:textId="77777777" w:rsidR="00AA7DDC" w:rsidRPr="00446052" w:rsidRDefault="00AA7DDC" w:rsidP="00250031">
            <w:pPr>
              <w:rPr>
                <w:lang w:val="en-US"/>
              </w:rPr>
            </w:pPr>
            <w:r w:rsidRPr="00446052">
              <w:rPr>
                <w:lang w:val="en-US"/>
              </w:rPr>
              <w:t>0.534</w:t>
            </w:r>
          </w:p>
        </w:tc>
        <w:tc>
          <w:tcPr>
            <w:tcW w:w="2822" w:type="dxa"/>
            <w:tcBorders>
              <w:top w:val="nil"/>
              <w:left w:val="nil"/>
              <w:bottom w:val="nil"/>
              <w:right w:val="nil"/>
            </w:tcBorders>
          </w:tcPr>
          <w:p w14:paraId="37498360" w14:textId="77777777" w:rsidR="00AA7DDC" w:rsidRPr="00446052" w:rsidRDefault="00AA7DDC" w:rsidP="00250031">
            <w:pPr>
              <w:rPr>
                <w:lang w:val="en-US"/>
              </w:rPr>
            </w:pPr>
            <w:r w:rsidRPr="00446052">
              <w:rPr>
                <w:lang w:val="en-US"/>
              </w:rPr>
              <w:t>1.00 (0.94 to 1.06)</w:t>
            </w:r>
          </w:p>
        </w:tc>
        <w:tc>
          <w:tcPr>
            <w:tcW w:w="1231" w:type="dxa"/>
            <w:tcBorders>
              <w:top w:val="nil"/>
              <w:left w:val="nil"/>
              <w:bottom w:val="nil"/>
              <w:right w:val="nil"/>
            </w:tcBorders>
          </w:tcPr>
          <w:p w14:paraId="1A41DCB5" w14:textId="77777777" w:rsidR="00AA7DDC" w:rsidRPr="00446052" w:rsidRDefault="00AA7DDC" w:rsidP="00250031">
            <w:pPr>
              <w:rPr>
                <w:lang w:val="en-US"/>
              </w:rPr>
            </w:pPr>
            <w:r w:rsidRPr="00446052">
              <w:rPr>
                <w:lang w:val="en-US"/>
              </w:rPr>
              <w:t>0.944</w:t>
            </w:r>
          </w:p>
        </w:tc>
      </w:tr>
      <w:tr w:rsidR="00AA7DDC" w:rsidRPr="00446052" w14:paraId="3225EA8F" w14:textId="77777777" w:rsidTr="00250031">
        <w:trPr>
          <w:trHeight w:val="57"/>
        </w:trPr>
        <w:tc>
          <w:tcPr>
            <w:tcW w:w="5852" w:type="dxa"/>
            <w:tcBorders>
              <w:top w:val="nil"/>
              <w:left w:val="nil"/>
              <w:bottom w:val="nil"/>
              <w:right w:val="nil"/>
            </w:tcBorders>
            <w:shd w:val="clear" w:color="auto" w:fill="auto"/>
            <w:noWrap/>
            <w:vAlign w:val="bottom"/>
          </w:tcPr>
          <w:p w14:paraId="465C8570" w14:textId="77777777" w:rsidR="00AA7DDC" w:rsidRPr="00446052" w:rsidRDefault="00AA7DDC" w:rsidP="00250031">
            <w:pPr>
              <w:rPr>
                <w:lang w:val="en-US"/>
              </w:rPr>
            </w:pPr>
            <w:r w:rsidRPr="00446052">
              <w:rPr>
                <w:lang w:val="en-US"/>
              </w:rPr>
              <w:t xml:space="preserve">  Reaching all 3 vs 2 or fewer of the above</w:t>
            </w:r>
          </w:p>
        </w:tc>
        <w:tc>
          <w:tcPr>
            <w:tcW w:w="2822" w:type="dxa"/>
            <w:tcBorders>
              <w:top w:val="nil"/>
              <w:left w:val="nil"/>
              <w:bottom w:val="nil"/>
              <w:right w:val="nil"/>
            </w:tcBorders>
            <w:shd w:val="clear" w:color="auto" w:fill="auto"/>
            <w:noWrap/>
          </w:tcPr>
          <w:p w14:paraId="6677EE94" w14:textId="77777777" w:rsidR="00AA7DDC" w:rsidRPr="00446052" w:rsidRDefault="00AA7DDC" w:rsidP="00250031">
            <w:pPr>
              <w:rPr>
                <w:lang w:val="en-US"/>
              </w:rPr>
            </w:pPr>
            <w:r w:rsidRPr="00446052">
              <w:rPr>
                <w:lang w:val="en-US"/>
              </w:rPr>
              <w:t>0.90 (0.83 to 0.97)</w:t>
            </w:r>
          </w:p>
        </w:tc>
        <w:tc>
          <w:tcPr>
            <w:tcW w:w="1231" w:type="dxa"/>
            <w:tcBorders>
              <w:top w:val="nil"/>
              <w:left w:val="nil"/>
              <w:bottom w:val="nil"/>
              <w:right w:val="nil"/>
            </w:tcBorders>
            <w:shd w:val="clear" w:color="auto" w:fill="auto"/>
            <w:noWrap/>
            <w:vAlign w:val="bottom"/>
          </w:tcPr>
          <w:p w14:paraId="22089C41" w14:textId="77777777" w:rsidR="00AA7DDC" w:rsidRPr="00446052" w:rsidRDefault="00AA7DDC" w:rsidP="00250031">
            <w:pPr>
              <w:rPr>
                <w:lang w:val="en-US"/>
              </w:rPr>
            </w:pPr>
            <w:r w:rsidRPr="00446052">
              <w:rPr>
                <w:lang w:val="en-US"/>
              </w:rPr>
              <w:t>0.005</w:t>
            </w:r>
          </w:p>
        </w:tc>
        <w:tc>
          <w:tcPr>
            <w:tcW w:w="2822" w:type="dxa"/>
            <w:tcBorders>
              <w:top w:val="nil"/>
              <w:left w:val="nil"/>
              <w:bottom w:val="nil"/>
              <w:right w:val="nil"/>
            </w:tcBorders>
            <w:shd w:val="clear" w:color="auto" w:fill="auto"/>
          </w:tcPr>
          <w:p w14:paraId="3F5F2016" w14:textId="77777777" w:rsidR="00AA7DDC" w:rsidRPr="00446052" w:rsidRDefault="00AA7DDC" w:rsidP="00250031">
            <w:pPr>
              <w:rPr>
                <w:lang w:val="en-US"/>
              </w:rPr>
            </w:pPr>
            <w:r w:rsidRPr="00446052">
              <w:rPr>
                <w:lang w:val="en-US"/>
              </w:rPr>
              <w:t>0.92 (0.85 to 0.99)</w:t>
            </w:r>
          </w:p>
        </w:tc>
        <w:tc>
          <w:tcPr>
            <w:tcW w:w="1231" w:type="dxa"/>
            <w:tcBorders>
              <w:top w:val="nil"/>
              <w:left w:val="nil"/>
              <w:bottom w:val="nil"/>
              <w:right w:val="nil"/>
            </w:tcBorders>
          </w:tcPr>
          <w:p w14:paraId="3F5EC7DB" w14:textId="77777777" w:rsidR="00AA7DDC" w:rsidRPr="00446052" w:rsidRDefault="00AA7DDC" w:rsidP="00250031">
            <w:pPr>
              <w:rPr>
                <w:lang w:val="en-US"/>
              </w:rPr>
            </w:pPr>
            <w:r w:rsidRPr="00446052">
              <w:rPr>
                <w:lang w:val="en-US"/>
              </w:rPr>
              <w:t>0.030</w:t>
            </w:r>
          </w:p>
        </w:tc>
      </w:tr>
      <w:tr w:rsidR="00AA7DDC" w:rsidRPr="00446052" w14:paraId="42EE7C38" w14:textId="77777777" w:rsidTr="00250031">
        <w:trPr>
          <w:trHeight w:val="57"/>
        </w:trPr>
        <w:tc>
          <w:tcPr>
            <w:tcW w:w="5852" w:type="dxa"/>
            <w:tcBorders>
              <w:top w:val="nil"/>
              <w:left w:val="nil"/>
              <w:bottom w:val="nil"/>
              <w:right w:val="nil"/>
            </w:tcBorders>
            <w:shd w:val="clear" w:color="auto" w:fill="auto"/>
            <w:noWrap/>
            <w:vAlign w:val="bottom"/>
            <w:hideMark/>
          </w:tcPr>
          <w:p w14:paraId="73A44D28" w14:textId="77777777" w:rsidR="00AA7DDC" w:rsidRPr="00446052" w:rsidRDefault="00AA7DDC" w:rsidP="00250031">
            <w:pPr>
              <w:rPr>
                <w:lang w:val="en-US"/>
              </w:rPr>
            </w:pPr>
          </w:p>
        </w:tc>
        <w:tc>
          <w:tcPr>
            <w:tcW w:w="2822" w:type="dxa"/>
            <w:tcBorders>
              <w:top w:val="nil"/>
              <w:left w:val="nil"/>
              <w:bottom w:val="nil"/>
              <w:right w:val="nil"/>
            </w:tcBorders>
            <w:shd w:val="clear" w:color="auto" w:fill="auto"/>
            <w:noWrap/>
            <w:vAlign w:val="bottom"/>
            <w:hideMark/>
          </w:tcPr>
          <w:p w14:paraId="0130F63D" w14:textId="77777777" w:rsidR="00AA7DDC" w:rsidRPr="00446052" w:rsidRDefault="00AA7DDC" w:rsidP="00250031">
            <w:pPr>
              <w:rPr>
                <w:lang w:val="en-US"/>
              </w:rPr>
            </w:pPr>
          </w:p>
        </w:tc>
        <w:tc>
          <w:tcPr>
            <w:tcW w:w="1231" w:type="dxa"/>
            <w:tcBorders>
              <w:top w:val="nil"/>
              <w:left w:val="nil"/>
              <w:bottom w:val="nil"/>
              <w:right w:val="nil"/>
            </w:tcBorders>
            <w:shd w:val="clear" w:color="auto" w:fill="auto"/>
            <w:noWrap/>
            <w:vAlign w:val="bottom"/>
            <w:hideMark/>
          </w:tcPr>
          <w:p w14:paraId="4E633BA1" w14:textId="77777777" w:rsidR="00AA7DDC" w:rsidRPr="00446052" w:rsidRDefault="00AA7DDC" w:rsidP="00250031">
            <w:pPr>
              <w:rPr>
                <w:lang w:val="en-US"/>
              </w:rPr>
            </w:pPr>
          </w:p>
        </w:tc>
        <w:tc>
          <w:tcPr>
            <w:tcW w:w="2822" w:type="dxa"/>
            <w:tcBorders>
              <w:top w:val="nil"/>
              <w:left w:val="nil"/>
              <w:bottom w:val="nil"/>
              <w:right w:val="nil"/>
            </w:tcBorders>
            <w:shd w:val="clear" w:color="auto" w:fill="auto"/>
          </w:tcPr>
          <w:p w14:paraId="4FF3758B" w14:textId="77777777" w:rsidR="00AA7DDC" w:rsidRPr="00446052" w:rsidRDefault="00AA7DDC" w:rsidP="00250031">
            <w:pPr>
              <w:rPr>
                <w:lang w:val="en-US"/>
              </w:rPr>
            </w:pPr>
          </w:p>
        </w:tc>
        <w:tc>
          <w:tcPr>
            <w:tcW w:w="1231" w:type="dxa"/>
            <w:tcBorders>
              <w:top w:val="nil"/>
              <w:left w:val="nil"/>
              <w:bottom w:val="nil"/>
              <w:right w:val="nil"/>
            </w:tcBorders>
          </w:tcPr>
          <w:p w14:paraId="49F12392" w14:textId="77777777" w:rsidR="00AA7DDC" w:rsidRPr="00446052" w:rsidRDefault="00AA7DDC" w:rsidP="00250031">
            <w:pPr>
              <w:rPr>
                <w:lang w:val="en-US"/>
              </w:rPr>
            </w:pPr>
          </w:p>
        </w:tc>
      </w:tr>
      <w:tr w:rsidR="00AA7DDC" w:rsidRPr="00446052" w14:paraId="40B78C89" w14:textId="77777777" w:rsidTr="00250031">
        <w:trPr>
          <w:trHeight w:val="57"/>
        </w:trPr>
        <w:tc>
          <w:tcPr>
            <w:tcW w:w="5852" w:type="dxa"/>
            <w:tcBorders>
              <w:top w:val="nil"/>
              <w:left w:val="nil"/>
              <w:bottom w:val="nil"/>
              <w:right w:val="nil"/>
            </w:tcBorders>
            <w:shd w:val="clear" w:color="auto" w:fill="auto"/>
            <w:noWrap/>
            <w:vAlign w:val="bottom"/>
            <w:hideMark/>
          </w:tcPr>
          <w:p w14:paraId="52204490" w14:textId="77777777" w:rsidR="00AA7DDC" w:rsidRPr="00446052" w:rsidRDefault="00AA7DDC" w:rsidP="00250031">
            <w:pPr>
              <w:rPr>
                <w:b/>
                <w:bCs/>
                <w:lang w:val="en-US"/>
              </w:rPr>
            </w:pPr>
            <w:r w:rsidRPr="00446052">
              <w:rPr>
                <w:b/>
                <w:bCs/>
                <w:lang w:val="en-US"/>
              </w:rPr>
              <w:t>Lifestyle choices at end of follow up</w:t>
            </w:r>
          </w:p>
        </w:tc>
        <w:tc>
          <w:tcPr>
            <w:tcW w:w="2822" w:type="dxa"/>
            <w:tcBorders>
              <w:top w:val="nil"/>
              <w:left w:val="nil"/>
              <w:bottom w:val="nil"/>
              <w:right w:val="nil"/>
            </w:tcBorders>
            <w:shd w:val="clear" w:color="auto" w:fill="auto"/>
            <w:noWrap/>
            <w:vAlign w:val="bottom"/>
            <w:hideMark/>
          </w:tcPr>
          <w:p w14:paraId="3AF32872" w14:textId="77777777" w:rsidR="00AA7DDC" w:rsidRPr="00446052" w:rsidRDefault="00AA7DDC" w:rsidP="00250031">
            <w:pPr>
              <w:rPr>
                <w:lang w:val="en-US"/>
              </w:rPr>
            </w:pPr>
          </w:p>
        </w:tc>
        <w:tc>
          <w:tcPr>
            <w:tcW w:w="1231" w:type="dxa"/>
            <w:tcBorders>
              <w:top w:val="nil"/>
              <w:left w:val="nil"/>
              <w:bottom w:val="nil"/>
              <w:right w:val="nil"/>
            </w:tcBorders>
            <w:shd w:val="clear" w:color="auto" w:fill="auto"/>
            <w:noWrap/>
            <w:vAlign w:val="bottom"/>
            <w:hideMark/>
          </w:tcPr>
          <w:p w14:paraId="1D6378FB" w14:textId="77777777" w:rsidR="00AA7DDC" w:rsidRPr="00446052" w:rsidRDefault="00AA7DDC" w:rsidP="00250031">
            <w:pPr>
              <w:rPr>
                <w:lang w:val="en-US"/>
              </w:rPr>
            </w:pPr>
          </w:p>
        </w:tc>
        <w:tc>
          <w:tcPr>
            <w:tcW w:w="2822" w:type="dxa"/>
            <w:tcBorders>
              <w:top w:val="nil"/>
              <w:left w:val="nil"/>
              <w:bottom w:val="nil"/>
              <w:right w:val="nil"/>
            </w:tcBorders>
          </w:tcPr>
          <w:p w14:paraId="0C24E750" w14:textId="77777777" w:rsidR="00AA7DDC" w:rsidRPr="00446052" w:rsidRDefault="00AA7DDC" w:rsidP="00250031">
            <w:pPr>
              <w:rPr>
                <w:lang w:val="en-US"/>
              </w:rPr>
            </w:pPr>
          </w:p>
        </w:tc>
        <w:tc>
          <w:tcPr>
            <w:tcW w:w="1231" w:type="dxa"/>
            <w:tcBorders>
              <w:top w:val="nil"/>
              <w:left w:val="nil"/>
              <w:bottom w:val="nil"/>
              <w:right w:val="nil"/>
            </w:tcBorders>
          </w:tcPr>
          <w:p w14:paraId="7ECAAF64" w14:textId="77777777" w:rsidR="00AA7DDC" w:rsidRPr="00446052" w:rsidRDefault="00AA7DDC" w:rsidP="00250031">
            <w:pPr>
              <w:rPr>
                <w:lang w:val="en-US"/>
              </w:rPr>
            </w:pPr>
          </w:p>
        </w:tc>
      </w:tr>
      <w:tr w:rsidR="00AA7DDC" w:rsidRPr="00446052" w14:paraId="212EC942" w14:textId="77777777" w:rsidTr="00250031">
        <w:trPr>
          <w:trHeight w:val="57"/>
        </w:trPr>
        <w:tc>
          <w:tcPr>
            <w:tcW w:w="5852" w:type="dxa"/>
            <w:tcBorders>
              <w:top w:val="nil"/>
              <w:left w:val="nil"/>
              <w:right w:val="nil"/>
            </w:tcBorders>
            <w:shd w:val="clear" w:color="auto" w:fill="auto"/>
            <w:noWrap/>
            <w:vAlign w:val="bottom"/>
            <w:hideMark/>
          </w:tcPr>
          <w:p w14:paraId="5C972B53" w14:textId="77777777" w:rsidR="00AA7DDC" w:rsidRPr="00446052" w:rsidRDefault="00AA7DDC" w:rsidP="00250031">
            <w:pPr>
              <w:rPr>
                <w:lang w:val="en-US"/>
              </w:rPr>
            </w:pPr>
            <w:r w:rsidRPr="00446052">
              <w:rPr>
                <w:lang w:val="en-US"/>
              </w:rPr>
              <w:t xml:space="preserve">   Smokers that quit smoking during follow up</w:t>
            </w:r>
          </w:p>
        </w:tc>
        <w:tc>
          <w:tcPr>
            <w:tcW w:w="2822" w:type="dxa"/>
            <w:tcBorders>
              <w:top w:val="nil"/>
              <w:left w:val="nil"/>
              <w:right w:val="nil"/>
            </w:tcBorders>
            <w:shd w:val="clear" w:color="auto" w:fill="auto"/>
            <w:noWrap/>
            <w:hideMark/>
          </w:tcPr>
          <w:p w14:paraId="2E65FAE7" w14:textId="77777777" w:rsidR="00AA7DDC" w:rsidRPr="00446052" w:rsidRDefault="00AA7DDC" w:rsidP="00250031">
            <w:pPr>
              <w:rPr>
                <w:lang w:val="en-US"/>
              </w:rPr>
            </w:pPr>
            <w:r w:rsidRPr="00446052">
              <w:rPr>
                <w:lang w:val="en-US"/>
              </w:rPr>
              <w:t>1.01 (0.87 to 1.17)</w:t>
            </w:r>
          </w:p>
        </w:tc>
        <w:tc>
          <w:tcPr>
            <w:tcW w:w="1231" w:type="dxa"/>
            <w:tcBorders>
              <w:top w:val="nil"/>
              <w:left w:val="nil"/>
              <w:right w:val="nil"/>
            </w:tcBorders>
            <w:shd w:val="clear" w:color="auto" w:fill="auto"/>
            <w:noWrap/>
            <w:hideMark/>
          </w:tcPr>
          <w:p w14:paraId="19572B0A" w14:textId="77777777" w:rsidR="00AA7DDC" w:rsidRPr="00446052" w:rsidRDefault="00AA7DDC" w:rsidP="00250031">
            <w:pPr>
              <w:rPr>
                <w:lang w:val="en-US"/>
              </w:rPr>
            </w:pPr>
            <w:r w:rsidRPr="00446052">
              <w:rPr>
                <w:lang w:val="en-US"/>
              </w:rPr>
              <w:t>0.947</w:t>
            </w:r>
          </w:p>
        </w:tc>
        <w:tc>
          <w:tcPr>
            <w:tcW w:w="2822" w:type="dxa"/>
            <w:tcBorders>
              <w:top w:val="nil"/>
              <w:left w:val="nil"/>
              <w:right w:val="nil"/>
            </w:tcBorders>
          </w:tcPr>
          <w:p w14:paraId="401ADE2C" w14:textId="77777777" w:rsidR="00AA7DDC" w:rsidRPr="00446052" w:rsidRDefault="00AA7DDC" w:rsidP="00250031">
            <w:pPr>
              <w:rPr>
                <w:lang w:val="en-US"/>
              </w:rPr>
            </w:pPr>
            <w:r w:rsidRPr="00446052">
              <w:rPr>
                <w:lang w:val="en-US"/>
              </w:rPr>
              <w:t>1.04 (0.89 to 1.21)</w:t>
            </w:r>
          </w:p>
        </w:tc>
        <w:tc>
          <w:tcPr>
            <w:tcW w:w="1231" w:type="dxa"/>
            <w:tcBorders>
              <w:top w:val="nil"/>
              <w:left w:val="nil"/>
              <w:right w:val="nil"/>
            </w:tcBorders>
          </w:tcPr>
          <w:p w14:paraId="61CA1905" w14:textId="77777777" w:rsidR="00AA7DDC" w:rsidRPr="00446052" w:rsidRDefault="00AA7DDC" w:rsidP="00250031">
            <w:pPr>
              <w:rPr>
                <w:lang w:val="en-US"/>
              </w:rPr>
            </w:pPr>
            <w:r w:rsidRPr="00446052">
              <w:rPr>
                <w:lang w:val="en-US"/>
              </w:rPr>
              <w:t>0.599</w:t>
            </w:r>
          </w:p>
        </w:tc>
      </w:tr>
      <w:tr w:rsidR="00AA7DDC" w:rsidRPr="00446052" w14:paraId="22590D7C" w14:textId="77777777" w:rsidTr="00250031">
        <w:trPr>
          <w:trHeight w:val="57"/>
        </w:trPr>
        <w:tc>
          <w:tcPr>
            <w:tcW w:w="5852" w:type="dxa"/>
            <w:tcBorders>
              <w:top w:val="nil"/>
              <w:left w:val="nil"/>
              <w:bottom w:val="nil"/>
              <w:right w:val="nil"/>
            </w:tcBorders>
            <w:shd w:val="clear" w:color="auto" w:fill="auto"/>
            <w:noWrap/>
            <w:vAlign w:val="bottom"/>
            <w:hideMark/>
          </w:tcPr>
          <w:p w14:paraId="1AEBA6CC" w14:textId="77777777" w:rsidR="00AA7DDC" w:rsidRPr="00446052" w:rsidRDefault="00AA7DDC" w:rsidP="00250031">
            <w:pPr>
              <w:rPr>
                <w:lang w:val="en-US"/>
              </w:rPr>
            </w:pPr>
            <w:r w:rsidRPr="00446052">
              <w:rPr>
                <w:lang w:val="en-US"/>
              </w:rPr>
              <w:t xml:space="preserve">   Self-reported daily physical activity</w:t>
            </w:r>
          </w:p>
        </w:tc>
        <w:tc>
          <w:tcPr>
            <w:tcW w:w="2822" w:type="dxa"/>
            <w:tcBorders>
              <w:top w:val="nil"/>
              <w:left w:val="nil"/>
              <w:bottom w:val="nil"/>
              <w:right w:val="nil"/>
            </w:tcBorders>
            <w:shd w:val="clear" w:color="auto" w:fill="auto"/>
            <w:noWrap/>
            <w:hideMark/>
          </w:tcPr>
          <w:p w14:paraId="5D6A8DF7" w14:textId="77777777" w:rsidR="00AA7DDC" w:rsidRPr="00446052" w:rsidRDefault="00AA7DDC" w:rsidP="00250031">
            <w:pPr>
              <w:rPr>
                <w:lang w:val="en-US"/>
              </w:rPr>
            </w:pPr>
            <w:r w:rsidRPr="00446052">
              <w:rPr>
                <w:lang w:val="en-US"/>
              </w:rPr>
              <w:t>1.62 (1.52 to 1.72)</w:t>
            </w:r>
          </w:p>
        </w:tc>
        <w:tc>
          <w:tcPr>
            <w:tcW w:w="1231" w:type="dxa"/>
            <w:tcBorders>
              <w:top w:val="nil"/>
              <w:left w:val="nil"/>
              <w:bottom w:val="nil"/>
              <w:right w:val="nil"/>
            </w:tcBorders>
            <w:shd w:val="clear" w:color="auto" w:fill="auto"/>
            <w:noWrap/>
            <w:vAlign w:val="bottom"/>
            <w:hideMark/>
          </w:tcPr>
          <w:p w14:paraId="5BD51CDD" w14:textId="77777777" w:rsidR="00AA7DDC" w:rsidRPr="00446052" w:rsidRDefault="00AA7DDC" w:rsidP="00250031">
            <w:pPr>
              <w:rPr>
                <w:lang w:val="en-US"/>
              </w:rPr>
            </w:pPr>
            <w:r w:rsidRPr="00446052">
              <w:rPr>
                <w:lang w:val="en-US"/>
              </w:rPr>
              <w:t>&lt;0.001</w:t>
            </w:r>
          </w:p>
        </w:tc>
        <w:tc>
          <w:tcPr>
            <w:tcW w:w="2822" w:type="dxa"/>
            <w:tcBorders>
              <w:top w:val="nil"/>
              <w:left w:val="nil"/>
              <w:bottom w:val="nil"/>
              <w:right w:val="nil"/>
            </w:tcBorders>
          </w:tcPr>
          <w:p w14:paraId="19C125DA" w14:textId="77777777" w:rsidR="00AA7DDC" w:rsidRPr="00446052" w:rsidRDefault="00AA7DDC" w:rsidP="00250031">
            <w:pPr>
              <w:rPr>
                <w:lang w:val="en-US"/>
              </w:rPr>
            </w:pPr>
            <w:r w:rsidRPr="00446052">
              <w:rPr>
                <w:lang w:val="en-US"/>
              </w:rPr>
              <w:t>1.63 (1.54 to 1.74)</w:t>
            </w:r>
          </w:p>
        </w:tc>
        <w:tc>
          <w:tcPr>
            <w:tcW w:w="1231" w:type="dxa"/>
            <w:tcBorders>
              <w:top w:val="nil"/>
              <w:left w:val="nil"/>
              <w:bottom w:val="nil"/>
              <w:right w:val="nil"/>
            </w:tcBorders>
          </w:tcPr>
          <w:p w14:paraId="21D5CE53" w14:textId="77777777" w:rsidR="00AA7DDC" w:rsidRPr="00446052" w:rsidRDefault="00AA7DDC" w:rsidP="00250031">
            <w:pPr>
              <w:rPr>
                <w:lang w:val="en-US"/>
              </w:rPr>
            </w:pPr>
            <w:r w:rsidRPr="00446052">
              <w:rPr>
                <w:lang w:val="en-US"/>
              </w:rPr>
              <w:t>&lt;0.001</w:t>
            </w:r>
          </w:p>
        </w:tc>
      </w:tr>
      <w:tr w:rsidR="00AA7DDC" w:rsidRPr="00446052" w14:paraId="367621FA" w14:textId="77777777" w:rsidTr="00250031">
        <w:trPr>
          <w:trHeight w:val="57"/>
        </w:trPr>
        <w:tc>
          <w:tcPr>
            <w:tcW w:w="5852" w:type="dxa"/>
            <w:tcBorders>
              <w:top w:val="nil"/>
              <w:left w:val="nil"/>
              <w:right w:val="nil"/>
            </w:tcBorders>
            <w:shd w:val="clear" w:color="auto" w:fill="auto"/>
            <w:noWrap/>
            <w:vAlign w:val="bottom"/>
          </w:tcPr>
          <w:p w14:paraId="4D6724E3" w14:textId="77777777" w:rsidR="00AA7DDC" w:rsidRPr="00446052" w:rsidRDefault="00AA7DDC" w:rsidP="00250031">
            <w:pPr>
              <w:rPr>
                <w:lang w:val="en-US"/>
              </w:rPr>
            </w:pPr>
          </w:p>
        </w:tc>
        <w:tc>
          <w:tcPr>
            <w:tcW w:w="2822" w:type="dxa"/>
            <w:tcBorders>
              <w:top w:val="nil"/>
              <w:left w:val="nil"/>
              <w:right w:val="nil"/>
            </w:tcBorders>
            <w:shd w:val="clear" w:color="auto" w:fill="auto"/>
            <w:noWrap/>
            <w:vAlign w:val="bottom"/>
          </w:tcPr>
          <w:p w14:paraId="08FF0650" w14:textId="77777777" w:rsidR="00AA7DDC" w:rsidRPr="00446052" w:rsidRDefault="00AA7DDC" w:rsidP="00250031">
            <w:pPr>
              <w:rPr>
                <w:b/>
                <w:bCs/>
                <w:lang w:val="en-US"/>
              </w:rPr>
            </w:pPr>
            <w:r w:rsidRPr="00446052">
              <w:rPr>
                <w:b/>
                <w:bCs/>
                <w:lang w:val="en-US"/>
              </w:rPr>
              <w:t>HR (95% CI)</w:t>
            </w:r>
          </w:p>
        </w:tc>
        <w:tc>
          <w:tcPr>
            <w:tcW w:w="1231" w:type="dxa"/>
            <w:tcBorders>
              <w:top w:val="nil"/>
              <w:left w:val="nil"/>
              <w:right w:val="nil"/>
            </w:tcBorders>
            <w:shd w:val="clear" w:color="auto" w:fill="auto"/>
            <w:noWrap/>
            <w:vAlign w:val="bottom"/>
          </w:tcPr>
          <w:p w14:paraId="3AA1E97A" w14:textId="77777777" w:rsidR="00AA7DDC" w:rsidRPr="00446052" w:rsidRDefault="00AA7DDC" w:rsidP="00250031">
            <w:pPr>
              <w:rPr>
                <w:b/>
                <w:bCs/>
                <w:lang w:val="en-US"/>
              </w:rPr>
            </w:pPr>
            <w:r w:rsidRPr="00446052">
              <w:rPr>
                <w:b/>
                <w:bCs/>
                <w:lang w:val="en-US"/>
              </w:rPr>
              <w:t>p-value</w:t>
            </w:r>
          </w:p>
        </w:tc>
        <w:tc>
          <w:tcPr>
            <w:tcW w:w="2822" w:type="dxa"/>
            <w:tcBorders>
              <w:top w:val="nil"/>
              <w:left w:val="nil"/>
              <w:right w:val="nil"/>
            </w:tcBorders>
            <w:vAlign w:val="bottom"/>
          </w:tcPr>
          <w:p w14:paraId="7086D2EC" w14:textId="77777777" w:rsidR="00AA7DDC" w:rsidRPr="00446052" w:rsidRDefault="00AA7DDC" w:rsidP="00250031">
            <w:pPr>
              <w:rPr>
                <w:b/>
                <w:bCs/>
                <w:lang w:val="en-US"/>
              </w:rPr>
            </w:pPr>
            <w:r w:rsidRPr="00446052">
              <w:rPr>
                <w:b/>
                <w:bCs/>
                <w:lang w:val="en-US"/>
              </w:rPr>
              <w:t>HR (95% CI)</w:t>
            </w:r>
          </w:p>
        </w:tc>
        <w:tc>
          <w:tcPr>
            <w:tcW w:w="1231" w:type="dxa"/>
            <w:tcBorders>
              <w:top w:val="nil"/>
              <w:left w:val="nil"/>
              <w:right w:val="nil"/>
            </w:tcBorders>
            <w:vAlign w:val="bottom"/>
          </w:tcPr>
          <w:p w14:paraId="7F568D42" w14:textId="77777777" w:rsidR="00AA7DDC" w:rsidRPr="00446052" w:rsidRDefault="00AA7DDC" w:rsidP="00250031">
            <w:pPr>
              <w:rPr>
                <w:b/>
                <w:bCs/>
                <w:lang w:val="en-US"/>
              </w:rPr>
            </w:pPr>
            <w:r w:rsidRPr="00446052">
              <w:rPr>
                <w:b/>
                <w:bCs/>
                <w:lang w:val="en-US"/>
              </w:rPr>
              <w:t>p-value</w:t>
            </w:r>
          </w:p>
        </w:tc>
      </w:tr>
      <w:tr w:rsidR="00AA7DDC" w:rsidRPr="00446052" w14:paraId="538D8E87" w14:textId="77777777" w:rsidTr="00250031">
        <w:trPr>
          <w:trHeight w:val="57"/>
        </w:trPr>
        <w:tc>
          <w:tcPr>
            <w:tcW w:w="5852" w:type="dxa"/>
            <w:tcBorders>
              <w:top w:val="nil"/>
              <w:left w:val="nil"/>
              <w:bottom w:val="single" w:sz="4" w:space="0" w:color="auto"/>
              <w:right w:val="nil"/>
            </w:tcBorders>
            <w:shd w:val="clear" w:color="auto" w:fill="auto"/>
            <w:noWrap/>
            <w:vAlign w:val="bottom"/>
          </w:tcPr>
          <w:p w14:paraId="6D02372E" w14:textId="77777777" w:rsidR="00AA7DDC" w:rsidRPr="00446052" w:rsidRDefault="00AA7DDC" w:rsidP="00250031">
            <w:pPr>
              <w:rPr>
                <w:b/>
                <w:bCs/>
                <w:lang w:val="en-US"/>
              </w:rPr>
            </w:pPr>
            <w:r w:rsidRPr="00446052">
              <w:rPr>
                <w:b/>
                <w:bCs/>
                <w:lang w:val="en-US"/>
              </w:rPr>
              <w:t>All-cause death</w:t>
            </w:r>
          </w:p>
        </w:tc>
        <w:tc>
          <w:tcPr>
            <w:tcW w:w="2822" w:type="dxa"/>
            <w:tcBorders>
              <w:top w:val="nil"/>
              <w:left w:val="nil"/>
              <w:bottom w:val="single" w:sz="4" w:space="0" w:color="auto"/>
              <w:right w:val="nil"/>
            </w:tcBorders>
            <w:shd w:val="clear" w:color="auto" w:fill="auto"/>
            <w:noWrap/>
            <w:vAlign w:val="bottom"/>
          </w:tcPr>
          <w:p w14:paraId="090BC4DE" w14:textId="77777777" w:rsidR="00AA7DDC" w:rsidRPr="00446052" w:rsidRDefault="00AA7DDC" w:rsidP="00250031">
            <w:pPr>
              <w:rPr>
                <w:lang w:val="en-US"/>
              </w:rPr>
            </w:pPr>
            <w:r w:rsidRPr="00446052">
              <w:rPr>
                <w:lang w:val="en-US"/>
              </w:rPr>
              <w:t>0.91 (0.78 to 1.06)</w:t>
            </w:r>
          </w:p>
        </w:tc>
        <w:tc>
          <w:tcPr>
            <w:tcW w:w="1231" w:type="dxa"/>
            <w:tcBorders>
              <w:top w:val="nil"/>
              <w:left w:val="nil"/>
              <w:bottom w:val="single" w:sz="4" w:space="0" w:color="auto"/>
              <w:right w:val="nil"/>
            </w:tcBorders>
            <w:shd w:val="clear" w:color="auto" w:fill="auto"/>
            <w:noWrap/>
            <w:vAlign w:val="bottom"/>
          </w:tcPr>
          <w:p w14:paraId="238C345E" w14:textId="77777777" w:rsidR="00AA7DDC" w:rsidRPr="00446052" w:rsidRDefault="00AA7DDC" w:rsidP="00250031">
            <w:pPr>
              <w:rPr>
                <w:lang w:val="en-US"/>
              </w:rPr>
            </w:pPr>
            <w:r w:rsidRPr="00446052">
              <w:rPr>
                <w:lang w:val="en-US"/>
              </w:rPr>
              <w:t>0.219</w:t>
            </w:r>
          </w:p>
        </w:tc>
        <w:tc>
          <w:tcPr>
            <w:tcW w:w="2822" w:type="dxa"/>
            <w:tcBorders>
              <w:top w:val="nil"/>
              <w:left w:val="nil"/>
              <w:bottom w:val="single" w:sz="4" w:space="0" w:color="auto"/>
              <w:right w:val="nil"/>
            </w:tcBorders>
          </w:tcPr>
          <w:p w14:paraId="54C1CB12" w14:textId="77777777" w:rsidR="00AA7DDC" w:rsidRPr="00446052" w:rsidRDefault="00AA7DDC" w:rsidP="00250031">
            <w:pPr>
              <w:rPr>
                <w:lang w:val="en-US"/>
              </w:rPr>
            </w:pPr>
            <w:r w:rsidRPr="00446052">
              <w:rPr>
                <w:lang w:val="en-US"/>
              </w:rPr>
              <w:t>0.91 (0.78 to 1.07)</w:t>
            </w:r>
          </w:p>
        </w:tc>
        <w:tc>
          <w:tcPr>
            <w:tcW w:w="1231" w:type="dxa"/>
            <w:tcBorders>
              <w:top w:val="nil"/>
              <w:left w:val="nil"/>
              <w:bottom w:val="single" w:sz="4" w:space="0" w:color="auto"/>
              <w:right w:val="nil"/>
            </w:tcBorders>
          </w:tcPr>
          <w:p w14:paraId="299851F9" w14:textId="77777777" w:rsidR="00AA7DDC" w:rsidRPr="00446052" w:rsidRDefault="00AA7DDC" w:rsidP="00250031">
            <w:pPr>
              <w:rPr>
                <w:lang w:val="en-US"/>
              </w:rPr>
            </w:pPr>
            <w:r w:rsidRPr="00446052">
              <w:rPr>
                <w:lang w:val="en-US"/>
              </w:rPr>
              <w:t>0.251</w:t>
            </w:r>
          </w:p>
        </w:tc>
      </w:tr>
    </w:tbl>
    <w:p w14:paraId="78A1BF69" w14:textId="77777777" w:rsidR="00AA7DDC" w:rsidRPr="00446052" w:rsidRDefault="00AA7DDC" w:rsidP="00AA7DDC">
      <w:pPr>
        <w:rPr>
          <w:lang w:val="en-GB"/>
        </w:rPr>
      </w:pPr>
      <w:r w:rsidRPr="00446052">
        <w:rPr>
          <w:lang w:val="en-US"/>
        </w:rPr>
        <w:t xml:space="preserve">Matching was made using propensity score matching on a 1 – 2 ratio for age (using a caliper of 5 standard deviations), sex, hypertension medication, hyperlipidemia medication, systolic blood pressure, body weight, body mass index, low-density lipoprotein, physical activity, albuminuria, cholesterol, and smoking status. </w:t>
      </w:r>
      <w:r w:rsidRPr="00446052">
        <w:rPr>
          <w:lang w:val="en-GB"/>
        </w:rPr>
        <w:t xml:space="preserve">The primary outcome was analysed using linear regression. The secondary outcome all-cause death was tested using Cox proportional hazards model. All other secondary outcomes were tested using generalized linear models. Participants that died during follow up were excluded from all analyses except for that of all-cause death. </w:t>
      </w:r>
      <w:r w:rsidRPr="00446052">
        <w:rPr>
          <w:lang w:val="en-US"/>
        </w:rPr>
        <w:t>Adjustments were made for variables which were not matched for: first HbA1c value, time to first recorded HbA1c from diabetes diagnosis, diabetes treatment, income quarter, education, and rural/urban area of living.</w:t>
      </w:r>
    </w:p>
    <w:p w14:paraId="541BBFED" w14:textId="5551B6CA" w:rsidR="00AA7DDC" w:rsidRPr="00300417" w:rsidRDefault="00AA7DDC" w:rsidP="00AA7DDC">
      <w:pPr>
        <w:rPr>
          <w:lang w:val="en-GB"/>
        </w:rPr>
      </w:pPr>
      <w:r w:rsidRPr="00446052">
        <w:rPr>
          <w:lang w:val="en-GB"/>
        </w:rPr>
        <w:t>CI = confidence interval, HbA1c = glycated haemoglobin, HR = hazard ratio, LDL = low-density lipoprotein, OR = odds ratio, SBP = systolic blood pressure.</w:t>
      </w:r>
    </w:p>
    <w:sectPr w:rsidR="00AA7DDC" w:rsidRPr="00300417" w:rsidSect="00CE060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EB42" w14:textId="77777777" w:rsidR="00A66718" w:rsidRDefault="00A66718" w:rsidP="000D03AB">
      <w:r>
        <w:separator/>
      </w:r>
    </w:p>
  </w:endnote>
  <w:endnote w:type="continuationSeparator" w:id="0">
    <w:p w14:paraId="50670C2E" w14:textId="77777777" w:rsidR="00A66718" w:rsidRDefault="00A66718" w:rsidP="000D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S-rubriker)">
    <w:altName w:val="Times New Roman"/>
    <w:panose1 w:val="020B06040202020202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BE65" w14:textId="77777777" w:rsidR="008A4275" w:rsidRDefault="008A427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107782"/>
      <w:docPartObj>
        <w:docPartGallery w:val="Page Numbers (Bottom of Page)"/>
        <w:docPartUnique/>
      </w:docPartObj>
    </w:sdtPr>
    <w:sdtEndPr>
      <w:rPr>
        <w:noProof/>
      </w:rPr>
    </w:sdtEndPr>
    <w:sdtContent>
      <w:p w14:paraId="69E5177F" w14:textId="0E8940CD" w:rsidR="003562C4" w:rsidRDefault="003562C4" w:rsidP="000D03AB">
        <w:pPr>
          <w:pStyle w:val="Sidfot"/>
        </w:pPr>
        <w:r>
          <w:fldChar w:fldCharType="begin"/>
        </w:r>
        <w:r>
          <w:instrText xml:space="preserve"> PAGE   \* MERGEFORMAT </w:instrText>
        </w:r>
        <w:r>
          <w:fldChar w:fldCharType="separate"/>
        </w:r>
        <w:r w:rsidR="00DA3B5C">
          <w:rPr>
            <w:noProof/>
          </w:rPr>
          <w:t>28</w:t>
        </w:r>
        <w:r>
          <w:rPr>
            <w:noProof/>
          </w:rPr>
          <w:fldChar w:fldCharType="end"/>
        </w:r>
      </w:p>
    </w:sdtContent>
  </w:sdt>
  <w:p w14:paraId="14C345AC" w14:textId="77777777" w:rsidR="003562C4" w:rsidRDefault="003562C4" w:rsidP="000D03A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439B" w14:textId="77777777" w:rsidR="008A4275" w:rsidRDefault="008A4275">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6F51" w14:textId="77777777" w:rsidR="00AA7DDC" w:rsidRDefault="00AA7DDC">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101835"/>
      <w:docPartObj>
        <w:docPartGallery w:val="Page Numbers (Bottom of Page)"/>
        <w:docPartUnique/>
      </w:docPartObj>
    </w:sdtPr>
    <w:sdtEndPr>
      <w:rPr>
        <w:noProof/>
      </w:rPr>
    </w:sdtEndPr>
    <w:sdtContent>
      <w:p w14:paraId="31CBEAF3" w14:textId="77777777" w:rsidR="00AA7DDC" w:rsidRDefault="00AA7DDC" w:rsidP="000D03AB">
        <w:pPr>
          <w:pStyle w:val="Sidfot"/>
        </w:pPr>
        <w:r>
          <w:fldChar w:fldCharType="begin"/>
        </w:r>
        <w:r>
          <w:instrText xml:space="preserve"> PAGE   \* MERGEFORMAT </w:instrText>
        </w:r>
        <w:r>
          <w:fldChar w:fldCharType="separate"/>
        </w:r>
        <w:r>
          <w:rPr>
            <w:noProof/>
          </w:rPr>
          <w:t>23</w:t>
        </w:r>
        <w:r>
          <w:rPr>
            <w:noProof/>
          </w:rPr>
          <w:fldChar w:fldCharType="end"/>
        </w:r>
      </w:p>
    </w:sdtContent>
  </w:sdt>
  <w:p w14:paraId="77012F09" w14:textId="77777777" w:rsidR="00AA7DDC" w:rsidRDefault="00AA7DDC" w:rsidP="000D03AB">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8189" w14:textId="77777777" w:rsidR="00AA7DDC" w:rsidRDefault="00AA7D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BFAA9" w14:textId="77777777" w:rsidR="00A66718" w:rsidRDefault="00A66718" w:rsidP="000D03AB">
      <w:r>
        <w:separator/>
      </w:r>
    </w:p>
  </w:footnote>
  <w:footnote w:type="continuationSeparator" w:id="0">
    <w:p w14:paraId="54127BD6" w14:textId="77777777" w:rsidR="00A66718" w:rsidRDefault="00A66718" w:rsidP="000D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C4D0" w14:textId="77777777" w:rsidR="008A4275" w:rsidRDefault="008A427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C460" w14:textId="77777777" w:rsidR="008A4275" w:rsidRDefault="008A427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FA7B" w14:textId="77777777" w:rsidR="008A4275" w:rsidRDefault="008A4275">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267D" w14:textId="77777777" w:rsidR="00AA7DDC" w:rsidRDefault="00AA7DDC">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DC3F" w14:textId="77777777" w:rsidR="00AA7DDC" w:rsidRDefault="00AA7DDC">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5A1A" w14:textId="77777777" w:rsidR="00AA7DDC" w:rsidRDefault="00AA7DD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883"/>
    <w:multiLevelType w:val="hybridMultilevel"/>
    <w:tmpl w:val="F49CCC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7577D0"/>
    <w:multiLevelType w:val="hybridMultilevel"/>
    <w:tmpl w:val="713EB3C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0BE79D2"/>
    <w:multiLevelType w:val="multilevel"/>
    <w:tmpl w:val="6E44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753C0"/>
    <w:multiLevelType w:val="hybridMultilevel"/>
    <w:tmpl w:val="7A4067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4A7E0F81"/>
    <w:multiLevelType w:val="hybridMultilevel"/>
    <w:tmpl w:val="FB385D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DC3115A"/>
    <w:multiLevelType w:val="hybridMultilevel"/>
    <w:tmpl w:val="A43AF3B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648168299">
    <w:abstractNumId w:val="4"/>
  </w:num>
  <w:num w:numId="2" w16cid:durableId="1590508033">
    <w:abstractNumId w:val="0"/>
  </w:num>
  <w:num w:numId="3" w16cid:durableId="1681736843">
    <w:abstractNumId w:val="3"/>
  </w:num>
  <w:num w:numId="4" w16cid:durableId="1489634287">
    <w:abstractNumId w:val="5"/>
  </w:num>
  <w:num w:numId="5" w16cid:durableId="1290628126">
    <w:abstractNumId w:val="2"/>
  </w:num>
  <w:num w:numId="6" w16cid:durableId="639001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52aa9tzoza99ae2zaqx5awgar0rs5azpxx2&quot;&gt;My EndNote Library&lt;record-ids&gt;&lt;item&gt;11&lt;/item&gt;&lt;item&gt;194&lt;/item&gt;&lt;item&gt;196&lt;/item&gt;&lt;item&gt;197&lt;/item&gt;&lt;item&gt;198&lt;/item&gt;&lt;item&gt;199&lt;/item&gt;&lt;item&gt;200&lt;/item&gt;&lt;item&gt;201&lt;/item&gt;&lt;item&gt;203&lt;/item&gt;&lt;item&gt;204&lt;/item&gt;&lt;item&gt;205&lt;/item&gt;&lt;item&gt;206&lt;/item&gt;&lt;item&gt;207&lt;/item&gt;&lt;item&gt;208&lt;/item&gt;&lt;item&gt;209&lt;/item&gt;&lt;item&gt;211&lt;/item&gt;&lt;item&gt;212&lt;/item&gt;&lt;item&gt;213&lt;/item&gt;&lt;item&gt;214&lt;/item&gt;&lt;item&gt;215&lt;/item&gt;&lt;item&gt;216&lt;/item&gt;&lt;item&gt;217&lt;/item&gt;&lt;item&gt;218&lt;/item&gt;&lt;item&gt;219&lt;/item&gt;&lt;item&gt;220&lt;/item&gt;&lt;item&gt;223&lt;/item&gt;&lt;item&gt;228&lt;/item&gt;&lt;item&gt;233&lt;/item&gt;&lt;item&gt;279&lt;/item&gt;&lt;item&gt;281&lt;/item&gt;&lt;item&gt;282&lt;/item&gt;&lt;item&gt;431&lt;/item&gt;&lt;item&gt;433&lt;/item&gt;&lt;item&gt;453&lt;/item&gt;&lt;/record-ids&gt;&lt;/item&gt;&lt;/Libraries&gt;"/>
  </w:docVars>
  <w:rsids>
    <w:rsidRoot w:val="002649AE"/>
    <w:rsid w:val="000001C4"/>
    <w:rsid w:val="00000EC4"/>
    <w:rsid w:val="00001BE8"/>
    <w:rsid w:val="00001DD4"/>
    <w:rsid w:val="00004FF3"/>
    <w:rsid w:val="000050AD"/>
    <w:rsid w:val="000056D7"/>
    <w:rsid w:val="00005C0B"/>
    <w:rsid w:val="00005C88"/>
    <w:rsid w:val="000060F9"/>
    <w:rsid w:val="0000781B"/>
    <w:rsid w:val="00010B77"/>
    <w:rsid w:val="000116D4"/>
    <w:rsid w:val="0001227B"/>
    <w:rsid w:val="00013398"/>
    <w:rsid w:val="0001421E"/>
    <w:rsid w:val="00015B7D"/>
    <w:rsid w:val="0001676F"/>
    <w:rsid w:val="00016B99"/>
    <w:rsid w:val="00017194"/>
    <w:rsid w:val="000173EE"/>
    <w:rsid w:val="00017594"/>
    <w:rsid w:val="00017BC3"/>
    <w:rsid w:val="00020A5F"/>
    <w:rsid w:val="00021F57"/>
    <w:rsid w:val="0002270A"/>
    <w:rsid w:val="00023713"/>
    <w:rsid w:val="00023C8F"/>
    <w:rsid w:val="000243DE"/>
    <w:rsid w:val="000249A8"/>
    <w:rsid w:val="00025C74"/>
    <w:rsid w:val="00025E87"/>
    <w:rsid w:val="00026B47"/>
    <w:rsid w:val="00027097"/>
    <w:rsid w:val="00030CF4"/>
    <w:rsid w:val="00031640"/>
    <w:rsid w:val="0003353E"/>
    <w:rsid w:val="0003361B"/>
    <w:rsid w:val="00033CC2"/>
    <w:rsid w:val="00033D34"/>
    <w:rsid w:val="00033D70"/>
    <w:rsid w:val="0003405E"/>
    <w:rsid w:val="00034362"/>
    <w:rsid w:val="0003575E"/>
    <w:rsid w:val="00035EAC"/>
    <w:rsid w:val="00036A1E"/>
    <w:rsid w:val="000370C8"/>
    <w:rsid w:val="000378A1"/>
    <w:rsid w:val="00037D50"/>
    <w:rsid w:val="000413F4"/>
    <w:rsid w:val="00042D7D"/>
    <w:rsid w:val="000446C5"/>
    <w:rsid w:val="00046194"/>
    <w:rsid w:val="00046BDE"/>
    <w:rsid w:val="00046C1C"/>
    <w:rsid w:val="0004742D"/>
    <w:rsid w:val="0004749D"/>
    <w:rsid w:val="000478B1"/>
    <w:rsid w:val="00047910"/>
    <w:rsid w:val="00050627"/>
    <w:rsid w:val="00050B18"/>
    <w:rsid w:val="000515B1"/>
    <w:rsid w:val="000516D5"/>
    <w:rsid w:val="000517A6"/>
    <w:rsid w:val="00051BAB"/>
    <w:rsid w:val="0005201C"/>
    <w:rsid w:val="00054EE4"/>
    <w:rsid w:val="00055908"/>
    <w:rsid w:val="0005590B"/>
    <w:rsid w:val="00060360"/>
    <w:rsid w:val="00060523"/>
    <w:rsid w:val="00061B06"/>
    <w:rsid w:val="00062007"/>
    <w:rsid w:val="0006373E"/>
    <w:rsid w:val="0006410E"/>
    <w:rsid w:val="0006465D"/>
    <w:rsid w:val="00065336"/>
    <w:rsid w:val="00065F04"/>
    <w:rsid w:val="00066431"/>
    <w:rsid w:val="000666C5"/>
    <w:rsid w:val="00066C81"/>
    <w:rsid w:val="00066F41"/>
    <w:rsid w:val="0006772F"/>
    <w:rsid w:val="00070769"/>
    <w:rsid w:val="0007191A"/>
    <w:rsid w:val="00072458"/>
    <w:rsid w:val="0007424B"/>
    <w:rsid w:val="00074C27"/>
    <w:rsid w:val="00075140"/>
    <w:rsid w:val="0007590B"/>
    <w:rsid w:val="00076B03"/>
    <w:rsid w:val="00076B65"/>
    <w:rsid w:val="00077C33"/>
    <w:rsid w:val="00077E57"/>
    <w:rsid w:val="000802AC"/>
    <w:rsid w:val="00080B64"/>
    <w:rsid w:val="00080FA8"/>
    <w:rsid w:val="00082232"/>
    <w:rsid w:val="00082AE4"/>
    <w:rsid w:val="00082D0F"/>
    <w:rsid w:val="00083546"/>
    <w:rsid w:val="00085A62"/>
    <w:rsid w:val="00086438"/>
    <w:rsid w:val="00086D2F"/>
    <w:rsid w:val="000871EA"/>
    <w:rsid w:val="00087782"/>
    <w:rsid w:val="00087AEE"/>
    <w:rsid w:val="0009037F"/>
    <w:rsid w:val="0009067E"/>
    <w:rsid w:val="000906FB"/>
    <w:rsid w:val="00090BC9"/>
    <w:rsid w:val="00090EB2"/>
    <w:rsid w:val="00091908"/>
    <w:rsid w:val="00091BFB"/>
    <w:rsid w:val="00093BCA"/>
    <w:rsid w:val="00095BBD"/>
    <w:rsid w:val="00095C74"/>
    <w:rsid w:val="00095D3C"/>
    <w:rsid w:val="00096ED9"/>
    <w:rsid w:val="000A08E5"/>
    <w:rsid w:val="000A09BB"/>
    <w:rsid w:val="000A1475"/>
    <w:rsid w:val="000A1AC0"/>
    <w:rsid w:val="000A202A"/>
    <w:rsid w:val="000A274F"/>
    <w:rsid w:val="000A3332"/>
    <w:rsid w:val="000A4EA8"/>
    <w:rsid w:val="000A4F50"/>
    <w:rsid w:val="000B000E"/>
    <w:rsid w:val="000B06B3"/>
    <w:rsid w:val="000B0FFB"/>
    <w:rsid w:val="000B1263"/>
    <w:rsid w:val="000B1C32"/>
    <w:rsid w:val="000B22BF"/>
    <w:rsid w:val="000B38A0"/>
    <w:rsid w:val="000B3B09"/>
    <w:rsid w:val="000B495F"/>
    <w:rsid w:val="000B6065"/>
    <w:rsid w:val="000B6383"/>
    <w:rsid w:val="000B65A2"/>
    <w:rsid w:val="000B74B4"/>
    <w:rsid w:val="000B77F1"/>
    <w:rsid w:val="000C11C8"/>
    <w:rsid w:val="000C1CD9"/>
    <w:rsid w:val="000C2A37"/>
    <w:rsid w:val="000C337B"/>
    <w:rsid w:val="000C351A"/>
    <w:rsid w:val="000C3E70"/>
    <w:rsid w:val="000C465A"/>
    <w:rsid w:val="000C5483"/>
    <w:rsid w:val="000C6059"/>
    <w:rsid w:val="000C617A"/>
    <w:rsid w:val="000C66FF"/>
    <w:rsid w:val="000C7149"/>
    <w:rsid w:val="000C7FA0"/>
    <w:rsid w:val="000D03AB"/>
    <w:rsid w:val="000D1374"/>
    <w:rsid w:val="000D1CCE"/>
    <w:rsid w:val="000D30D7"/>
    <w:rsid w:val="000D3319"/>
    <w:rsid w:val="000D4E2F"/>
    <w:rsid w:val="000D6CB1"/>
    <w:rsid w:val="000D6F1E"/>
    <w:rsid w:val="000E11A7"/>
    <w:rsid w:val="000E3A1F"/>
    <w:rsid w:val="000E4050"/>
    <w:rsid w:val="000E4685"/>
    <w:rsid w:val="000E4E56"/>
    <w:rsid w:val="000E554C"/>
    <w:rsid w:val="000E5BB9"/>
    <w:rsid w:val="000E5E34"/>
    <w:rsid w:val="000E5E47"/>
    <w:rsid w:val="000E6C17"/>
    <w:rsid w:val="000E707B"/>
    <w:rsid w:val="000F00C6"/>
    <w:rsid w:val="000F10ED"/>
    <w:rsid w:val="000F1B32"/>
    <w:rsid w:val="000F1D4A"/>
    <w:rsid w:val="000F2304"/>
    <w:rsid w:val="000F2401"/>
    <w:rsid w:val="000F2B03"/>
    <w:rsid w:val="000F2E6D"/>
    <w:rsid w:val="000F3634"/>
    <w:rsid w:val="000F40BB"/>
    <w:rsid w:val="000F4681"/>
    <w:rsid w:val="000F47A8"/>
    <w:rsid w:val="000F5248"/>
    <w:rsid w:val="000F5F03"/>
    <w:rsid w:val="000F748C"/>
    <w:rsid w:val="0010301A"/>
    <w:rsid w:val="00105D24"/>
    <w:rsid w:val="00106505"/>
    <w:rsid w:val="00106CF0"/>
    <w:rsid w:val="001111AC"/>
    <w:rsid w:val="0011171B"/>
    <w:rsid w:val="0011186E"/>
    <w:rsid w:val="00112087"/>
    <w:rsid w:val="00112627"/>
    <w:rsid w:val="001127B8"/>
    <w:rsid w:val="0011300B"/>
    <w:rsid w:val="0011337F"/>
    <w:rsid w:val="001146F9"/>
    <w:rsid w:val="00117C0A"/>
    <w:rsid w:val="00117F68"/>
    <w:rsid w:val="0012020B"/>
    <w:rsid w:val="0012075C"/>
    <w:rsid w:val="00120929"/>
    <w:rsid w:val="001210F3"/>
    <w:rsid w:val="001213C2"/>
    <w:rsid w:val="0012189D"/>
    <w:rsid w:val="001218DC"/>
    <w:rsid w:val="00122105"/>
    <w:rsid w:val="001237F5"/>
    <w:rsid w:val="00123BE5"/>
    <w:rsid w:val="00124CD4"/>
    <w:rsid w:val="0012731E"/>
    <w:rsid w:val="00127A29"/>
    <w:rsid w:val="00127A5F"/>
    <w:rsid w:val="00130201"/>
    <w:rsid w:val="001307FF"/>
    <w:rsid w:val="0013107C"/>
    <w:rsid w:val="00132CF3"/>
    <w:rsid w:val="00133EF4"/>
    <w:rsid w:val="001340A4"/>
    <w:rsid w:val="00135783"/>
    <w:rsid w:val="00136B45"/>
    <w:rsid w:val="00137AB5"/>
    <w:rsid w:val="00137D8A"/>
    <w:rsid w:val="00141989"/>
    <w:rsid w:val="00142123"/>
    <w:rsid w:val="00142D3A"/>
    <w:rsid w:val="001449C7"/>
    <w:rsid w:val="00144AE8"/>
    <w:rsid w:val="0014576D"/>
    <w:rsid w:val="00146CCE"/>
    <w:rsid w:val="00146D85"/>
    <w:rsid w:val="00146F8F"/>
    <w:rsid w:val="00150477"/>
    <w:rsid w:val="001506DF"/>
    <w:rsid w:val="00150BEE"/>
    <w:rsid w:val="001514A7"/>
    <w:rsid w:val="00151808"/>
    <w:rsid w:val="00151CB4"/>
    <w:rsid w:val="00153316"/>
    <w:rsid w:val="001535AE"/>
    <w:rsid w:val="001550D5"/>
    <w:rsid w:val="00155419"/>
    <w:rsid w:val="0015548A"/>
    <w:rsid w:val="001562D0"/>
    <w:rsid w:val="001564A6"/>
    <w:rsid w:val="00157F25"/>
    <w:rsid w:val="00160F28"/>
    <w:rsid w:val="001613A7"/>
    <w:rsid w:val="00161942"/>
    <w:rsid w:val="0016213A"/>
    <w:rsid w:val="0016240F"/>
    <w:rsid w:val="001628C1"/>
    <w:rsid w:val="00162B77"/>
    <w:rsid w:val="00162C0C"/>
    <w:rsid w:val="00162D81"/>
    <w:rsid w:val="00164375"/>
    <w:rsid w:val="00164B77"/>
    <w:rsid w:val="00164FC8"/>
    <w:rsid w:val="00165FD1"/>
    <w:rsid w:val="001662AC"/>
    <w:rsid w:val="00167009"/>
    <w:rsid w:val="00170371"/>
    <w:rsid w:val="00170695"/>
    <w:rsid w:val="001707EF"/>
    <w:rsid w:val="00170F66"/>
    <w:rsid w:val="00171275"/>
    <w:rsid w:val="001716CB"/>
    <w:rsid w:val="001721EE"/>
    <w:rsid w:val="0017269D"/>
    <w:rsid w:val="00173578"/>
    <w:rsid w:val="0017384C"/>
    <w:rsid w:val="00173EAA"/>
    <w:rsid w:val="0017407B"/>
    <w:rsid w:val="00174703"/>
    <w:rsid w:val="001759BD"/>
    <w:rsid w:val="00177D1A"/>
    <w:rsid w:val="0018084D"/>
    <w:rsid w:val="00181BBF"/>
    <w:rsid w:val="0018321E"/>
    <w:rsid w:val="00183560"/>
    <w:rsid w:val="00183656"/>
    <w:rsid w:val="00183E39"/>
    <w:rsid w:val="00185A59"/>
    <w:rsid w:val="00186C90"/>
    <w:rsid w:val="001916BB"/>
    <w:rsid w:val="00192DC1"/>
    <w:rsid w:val="00193588"/>
    <w:rsid w:val="00194821"/>
    <w:rsid w:val="00195522"/>
    <w:rsid w:val="00195FFD"/>
    <w:rsid w:val="001972C9"/>
    <w:rsid w:val="001973CF"/>
    <w:rsid w:val="001A45A6"/>
    <w:rsid w:val="001A563E"/>
    <w:rsid w:val="001A6167"/>
    <w:rsid w:val="001A6747"/>
    <w:rsid w:val="001A6D13"/>
    <w:rsid w:val="001A6E21"/>
    <w:rsid w:val="001A6EE6"/>
    <w:rsid w:val="001A7522"/>
    <w:rsid w:val="001B0A02"/>
    <w:rsid w:val="001B14C4"/>
    <w:rsid w:val="001B375A"/>
    <w:rsid w:val="001B4286"/>
    <w:rsid w:val="001B6060"/>
    <w:rsid w:val="001B65E8"/>
    <w:rsid w:val="001B6E94"/>
    <w:rsid w:val="001C0109"/>
    <w:rsid w:val="001C06CB"/>
    <w:rsid w:val="001C1C93"/>
    <w:rsid w:val="001C20D7"/>
    <w:rsid w:val="001C2972"/>
    <w:rsid w:val="001C36B1"/>
    <w:rsid w:val="001C36C6"/>
    <w:rsid w:val="001C3C93"/>
    <w:rsid w:val="001C3E9A"/>
    <w:rsid w:val="001C4F5D"/>
    <w:rsid w:val="001C5038"/>
    <w:rsid w:val="001C7A89"/>
    <w:rsid w:val="001D009E"/>
    <w:rsid w:val="001D12FA"/>
    <w:rsid w:val="001D20F1"/>
    <w:rsid w:val="001D2711"/>
    <w:rsid w:val="001D294E"/>
    <w:rsid w:val="001D3660"/>
    <w:rsid w:val="001D3BD6"/>
    <w:rsid w:val="001D5250"/>
    <w:rsid w:val="001D6263"/>
    <w:rsid w:val="001D65BC"/>
    <w:rsid w:val="001E1AEB"/>
    <w:rsid w:val="001E3B53"/>
    <w:rsid w:val="001E52C8"/>
    <w:rsid w:val="001E537E"/>
    <w:rsid w:val="001E562F"/>
    <w:rsid w:val="001E584A"/>
    <w:rsid w:val="001E69AA"/>
    <w:rsid w:val="001E7083"/>
    <w:rsid w:val="001F1093"/>
    <w:rsid w:val="001F10CF"/>
    <w:rsid w:val="001F10E7"/>
    <w:rsid w:val="001F1A71"/>
    <w:rsid w:val="001F1C98"/>
    <w:rsid w:val="001F2B3F"/>
    <w:rsid w:val="001F2F81"/>
    <w:rsid w:val="001F4441"/>
    <w:rsid w:val="001F54DF"/>
    <w:rsid w:val="001F5CA0"/>
    <w:rsid w:val="001F64C4"/>
    <w:rsid w:val="001F66B7"/>
    <w:rsid w:val="001F7BE0"/>
    <w:rsid w:val="001F7FD7"/>
    <w:rsid w:val="00201181"/>
    <w:rsid w:val="002017F6"/>
    <w:rsid w:val="00201DDC"/>
    <w:rsid w:val="0020275F"/>
    <w:rsid w:val="002033EB"/>
    <w:rsid w:val="00203CC7"/>
    <w:rsid w:val="00205381"/>
    <w:rsid w:val="00205D9E"/>
    <w:rsid w:val="0020772A"/>
    <w:rsid w:val="002117FD"/>
    <w:rsid w:val="00211D09"/>
    <w:rsid w:val="00211DFC"/>
    <w:rsid w:val="0021281C"/>
    <w:rsid w:val="002132F2"/>
    <w:rsid w:val="00213483"/>
    <w:rsid w:val="00213E78"/>
    <w:rsid w:val="002142A6"/>
    <w:rsid w:val="002160B2"/>
    <w:rsid w:val="002160F9"/>
    <w:rsid w:val="00216489"/>
    <w:rsid w:val="00217E95"/>
    <w:rsid w:val="00220300"/>
    <w:rsid w:val="00220F1D"/>
    <w:rsid w:val="00221075"/>
    <w:rsid w:val="002218E9"/>
    <w:rsid w:val="002222A9"/>
    <w:rsid w:val="0022271C"/>
    <w:rsid w:val="00222802"/>
    <w:rsid w:val="00222AFD"/>
    <w:rsid w:val="00223D56"/>
    <w:rsid w:val="00225112"/>
    <w:rsid w:val="002256DB"/>
    <w:rsid w:val="00226248"/>
    <w:rsid w:val="00226CD9"/>
    <w:rsid w:val="00226D9E"/>
    <w:rsid w:val="002303FC"/>
    <w:rsid w:val="00230488"/>
    <w:rsid w:val="00230EF1"/>
    <w:rsid w:val="00230F63"/>
    <w:rsid w:val="0023315E"/>
    <w:rsid w:val="002333FA"/>
    <w:rsid w:val="00233475"/>
    <w:rsid w:val="002340DE"/>
    <w:rsid w:val="00234138"/>
    <w:rsid w:val="002343CB"/>
    <w:rsid w:val="00234CE2"/>
    <w:rsid w:val="00235A18"/>
    <w:rsid w:val="002364B9"/>
    <w:rsid w:val="0023745B"/>
    <w:rsid w:val="00240137"/>
    <w:rsid w:val="00240619"/>
    <w:rsid w:val="00240A9E"/>
    <w:rsid w:val="00240F91"/>
    <w:rsid w:val="00241561"/>
    <w:rsid w:val="00241A8A"/>
    <w:rsid w:val="0024279D"/>
    <w:rsid w:val="00242CA0"/>
    <w:rsid w:val="002435F8"/>
    <w:rsid w:val="002442FE"/>
    <w:rsid w:val="00245930"/>
    <w:rsid w:val="00250FE0"/>
    <w:rsid w:val="0025165A"/>
    <w:rsid w:val="00252C8E"/>
    <w:rsid w:val="0025361F"/>
    <w:rsid w:val="002539D0"/>
    <w:rsid w:val="00253ACF"/>
    <w:rsid w:val="002541AD"/>
    <w:rsid w:val="00254546"/>
    <w:rsid w:val="00254CEE"/>
    <w:rsid w:val="00254F1A"/>
    <w:rsid w:val="00257845"/>
    <w:rsid w:val="00257D54"/>
    <w:rsid w:val="0026045B"/>
    <w:rsid w:val="002618D5"/>
    <w:rsid w:val="00261FAC"/>
    <w:rsid w:val="002621AB"/>
    <w:rsid w:val="002649AE"/>
    <w:rsid w:val="00264B5A"/>
    <w:rsid w:val="00265791"/>
    <w:rsid w:val="00266920"/>
    <w:rsid w:val="00266C5F"/>
    <w:rsid w:val="002671E6"/>
    <w:rsid w:val="0026721C"/>
    <w:rsid w:val="00267841"/>
    <w:rsid w:val="00267C58"/>
    <w:rsid w:val="00270F17"/>
    <w:rsid w:val="0027125B"/>
    <w:rsid w:val="002717CB"/>
    <w:rsid w:val="002736E3"/>
    <w:rsid w:val="0027395D"/>
    <w:rsid w:val="00275FD0"/>
    <w:rsid w:val="00277313"/>
    <w:rsid w:val="00277F0B"/>
    <w:rsid w:val="00280FE1"/>
    <w:rsid w:val="0028104E"/>
    <w:rsid w:val="00281079"/>
    <w:rsid w:val="0028169F"/>
    <w:rsid w:val="00282251"/>
    <w:rsid w:val="0028399A"/>
    <w:rsid w:val="00283E76"/>
    <w:rsid w:val="0028554B"/>
    <w:rsid w:val="0028569A"/>
    <w:rsid w:val="002865C4"/>
    <w:rsid w:val="002906F1"/>
    <w:rsid w:val="00290A68"/>
    <w:rsid w:val="00291A72"/>
    <w:rsid w:val="00291ED6"/>
    <w:rsid w:val="00293465"/>
    <w:rsid w:val="002939E7"/>
    <w:rsid w:val="00295171"/>
    <w:rsid w:val="00295D11"/>
    <w:rsid w:val="00296559"/>
    <w:rsid w:val="002966A1"/>
    <w:rsid w:val="00297C49"/>
    <w:rsid w:val="002A0764"/>
    <w:rsid w:val="002A1964"/>
    <w:rsid w:val="002A1BAF"/>
    <w:rsid w:val="002A2312"/>
    <w:rsid w:val="002A40B9"/>
    <w:rsid w:val="002A5511"/>
    <w:rsid w:val="002A5551"/>
    <w:rsid w:val="002A55E5"/>
    <w:rsid w:val="002A6981"/>
    <w:rsid w:val="002A7F1A"/>
    <w:rsid w:val="002B0238"/>
    <w:rsid w:val="002B0384"/>
    <w:rsid w:val="002B03C0"/>
    <w:rsid w:val="002B1086"/>
    <w:rsid w:val="002B13A9"/>
    <w:rsid w:val="002B20A4"/>
    <w:rsid w:val="002B21D7"/>
    <w:rsid w:val="002B2A58"/>
    <w:rsid w:val="002B35CC"/>
    <w:rsid w:val="002B4148"/>
    <w:rsid w:val="002B5218"/>
    <w:rsid w:val="002B5AE7"/>
    <w:rsid w:val="002B5DB9"/>
    <w:rsid w:val="002B6661"/>
    <w:rsid w:val="002B67E3"/>
    <w:rsid w:val="002B6867"/>
    <w:rsid w:val="002B6FC2"/>
    <w:rsid w:val="002C0A02"/>
    <w:rsid w:val="002C0CD3"/>
    <w:rsid w:val="002C0EA4"/>
    <w:rsid w:val="002C1574"/>
    <w:rsid w:val="002C35DB"/>
    <w:rsid w:val="002C3652"/>
    <w:rsid w:val="002C39F4"/>
    <w:rsid w:val="002C5623"/>
    <w:rsid w:val="002C61D3"/>
    <w:rsid w:val="002C700D"/>
    <w:rsid w:val="002C7D45"/>
    <w:rsid w:val="002C7F65"/>
    <w:rsid w:val="002D0489"/>
    <w:rsid w:val="002D062C"/>
    <w:rsid w:val="002D07E9"/>
    <w:rsid w:val="002D09D5"/>
    <w:rsid w:val="002D09F4"/>
    <w:rsid w:val="002D0F81"/>
    <w:rsid w:val="002D2433"/>
    <w:rsid w:val="002D3500"/>
    <w:rsid w:val="002D3607"/>
    <w:rsid w:val="002D3CAF"/>
    <w:rsid w:val="002D664D"/>
    <w:rsid w:val="002D7415"/>
    <w:rsid w:val="002E1EA4"/>
    <w:rsid w:val="002E2888"/>
    <w:rsid w:val="002E4351"/>
    <w:rsid w:val="002E6C82"/>
    <w:rsid w:val="002F0816"/>
    <w:rsid w:val="002F331D"/>
    <w:rsid w:val="002F38EE"/>
    <w:rsid w:val="002F3D97"/>
    <w:rsid w:val="002F6692"/>
    <w:rsid w:val="00300417"/>
    <w:rsid w:val="00300966"/>
    <w:rsid w:val="00300ED3"/>
    <w:rsid w:val="00302750"/>
    <w:rsid w:val="00302B00"/>
    <w:rsid w:val="00304D77"/>
    <w:rsid w:val="00304DE0"/>
    <w:rsid w:val="00304E45"/>
    <w:rsid w:val="00305AC6"/>
    <w:rsid w:val="00306940"/>
    <w:rsid w:val="0031019C"/>
    <w:rsid w:val="003110BD"/>
    <w:rsid w:val="003110BF"/>
    <w:rsid w:val="00312424"/>
    <w:rsid w:val="003126E3"/>
    <w:rsid w:val="00312DEF"/>
    <w:rsid w:val="00313889"/>
    <w:rsid w:val="0031480C"/>
    <w:rsid w:val="00314B18"/>
    <w:rsid w:val="0031527A"/>
    <w:rsid w:val="00315806"/>
    <w:rsid w:val="00316D45"/>
    <w:rsid w:val="00316F14"/>
    <w:rsid w:val="00317ECA"/>
    <w:rsid w:val="00321F17"/>
    <w:rsid w:val="00322075"/>
    <w:rsid w:val="00323717"/>
    <w:rsid w:val="003250E0"/>
    <w:rsid w:val="0032679A"/>
    <w:rsid w:val="00326902"/>
    <w:rsid w:val="00326EEF"/>
    <w:rsid w:val="0032783E"/>
    <w:rsid w:val="0033037B"/>
    <w:rsid w:val="00331312"/>
    <w:rsid w:val="0033375E"/>
    <w:rsid w:val="00334590"/>
    <w:rsid w:val="00336257"/>
    <w:rsid w:val="00336F3F"/>
    <w:rsid w:val="0034029D"/>
    <w:rsid w:val="00341252"/>
    <w:rsid w:val="00341C52"/>
    <w:rsid w:val="003421C0"/>
    <w:rsid w:val="003434AE"/>
    <w:rsid w:val="00343D4B"/>
    <w:rsid w:val="00343E87"/>
    <w:rsid w:val="00344846"/>
    <w:rsid w:val="0034624F"/>
    <w:rsid w:val="00351F44"/>
    <w:rsid w:val="00352B46"/>
    <w:rsid w:val="00352F22"/>
    <w:rsid w:val="003538E0"/>
    <w:rsid w:val="00354F62"/>
    <w:rsid w:val="00355139"/>
    <w:rsid w:val="003551D2"/>
    <w:rsid w:val="003562C4"/>
    <w:rsid w:val="00356C7D"/>
    <w:rsid w:val="00357BF1"/>
    <w:rsid w:val="00360428"/>
    <w:rsid w:val="00361655"/>
    <w:rsid w:val="00361B8B"/>
    <w:rsid w:val="00361F52"/>
    <w:rsid w:val="00362AF4"/>
    <w:rsid w:val="00362BD0"/>
    <w:rsid w:val="00363A9F"/>
    <w:rsid w:val="00366C22"/>
    <w:rsid w:val="0037107B"/>
    <w:rsid w:val="00371662"/>
    <w:rsid w:val="00372623"/>
    <w:rsid w:val="00374224"/>
    <w:rsid w:val="00374A41"/>
    <w:rsid w:val="00374E4D"/>
    <w:rsid w:val="003763AA"/>
    <w:rsid w:val="003765AC"/>
    <w:rsid w:val="003767B2"/>
    <w:rsid w:val="003769DA"/>
    <w:rsid w:val="00376BF7"/>
    <w:rsid w:val="00376EAD"/>
    <w:rsid w:val="0037707D"/>
    <w:rsid w:val="00377108"/>
    <w:rsid w:val="003776E4"/>
    <w:rsid w:val="00380EFE"/>
    <w:rsid w:val="00381109"/>
    <w:rsid w:val="00382372"/>
    <w:rsid w:val="003832B8"/>
    <w:rsid w:val="00383E36"/>
    <w:rsid w:val="0038443D"/>
    <w:rsid w:val="00384A66"/>
    <w:rsid w:val="003851E1"/>
    <w:rsid w:val="00386093"/>
    <w:rsid w:val="0038681B"/>
    <w:rsid w:val="00386B27"/>
    <w:rsid w:val="00386FC7"/>
    <w:rsid w:val="00387A7C"/>
    <w:rsid w:val="00387C4F"/>
    <w:rsid w:val="00391834"/>
    <w:rsid w:val="003919F9"/>
    <w:rsid w:val="00392EB6"/>
    <w:rsid w:val="00392F21"/>
    <w:rsid w:val="003937E2"/>
    <w:rsid w:val="00393D28"/>
    <w:rsid w:val="0039422B"/>
    <w:rsid w:val="00394526"/>
    <w:rsid w:val="00394D5A"/>
    <w:rsid w:val="00394D7D"/>
    <w:rsid w:val="00395AC0"/>
    <w:rsid w:val="0039693C"/>
    <w:rsid w:val="00397475"/>
    <w:rsid w:val="003975FC"/>
    <w:rsid w:val="003A0B8D"/>
    <w:rsid w:val="003A0EF1"/>
    <w:rsid w:val="003A1517"/>
    <w:rsid w:val="003A1618"/>
    <w:rsid w:val="003A184E"/>
    <w:rsid w:val="003A1C1F"/>
    <w:rsid w:val="003A1DCD"/>
    <w:rsid w:val="003A1F0A"/>
    <w:rsid w:val="003A31B3"/>
    <w:rsid w:val="003A414F"/>
    <w:rsid w:val="003A68AA"/>
    <w:rsid w:val="003B0291"/>
    <w:rsid w:val="003B19B0"/>
    <w:rsid w:val="003B1E8A"/>
    <w:rsid w:val="003B283E"/>
    <w:rsid w:val="003B6085"/>
    <w:rsid w:val="003B688E"/>
    <w:rsid w:val="003B68F5"/>
    <w:rsid w:val="003C07E8"/>
    <w:rsid w:val="003C0C7C"/>
    <w:rsid w:val="003C1356"/>
    <w:rsid w:val="003C1AD8"/>
    <w:rsid w:val="003C24B6"/>
    <w:rsid w:val="003C2681"/>
    <w:rsid w:val="003C2FE1"/>
    <w:rsid w:val="003C4B8C"/>
    <w:rsid w:val="003C51BD"/>
    <w:rsid w:val="003C55CB"/>
    <w:rsid w:val="003C5786"/>
    <w:rsid w:val="003C5A39"/>
    <w:rsid w:val="003C6254"/>
    <w:rsid w:val="003C63B6"/>
    <w:rsid w:val="003C65E5"/>
    <w:rsid w:val="003C6B1D"/>
    <w:rsid w:val="003C7302"/>
    <w:rsid w:val="003C7C84"/>
    <w:rsid w:val="003C7EE9"/>
    <w:rsid w:val="003D0854"/>
    <w:rsid w:val="003D1084"/>
    <w:rsid w:val="003D159A"/>
    <w:rsid w:val="003D17ED"/>
    <w:rsid w:val="003D2620"/>
    <w:rsid w:val="003D2CFA"/>
    <w:rsid w:val="003D2DCE"/>
    <w:rsid w:val="003D4087"/>
    <w:rsid w:val="003D42E7"/>
    <w:rsid w:val="003D4527"/>
    <w:rsid w:val="003D4E2E"/>
    <w:rsid w:val="003D4F81"/>
    <w:rsid w:val="003D546A"/>
    <w:rsid w:val="003D5487"/>
    <w:rsid w:val="003D58C9"/>
    <w:rsid w:val="003D5CA3"/>
    <w:rsid w:val="003D6110"/>
    <w:rsid w:val="003D629D"/>
    <w:rsid w:val="003D6340"/>
    <w:rsid w:val="003D6849"/>
    <w:rsid w:val="003D6F56"/>
    <w:rsid w:val="003E094E"/>
    <w:rsid w:val="003E144B"/>
    <w:rsid w:val="003E1AC9"/>
    <w:rsid w:val="003E2FF9"/>
    <w:rsid w:val="003E30E1"/>
    <w:rsid w:val="003E34AA"/>
    <w:rsid w:val="003E3883"/>
    <w:rsid w:val="003E3F26"/>
    <w:rsid w:val="003E542C"/>
    <w:rsid w:val="003E5603"/>
    <w:rsid w:val="003E57EC"/>
    <w:rsid w:val="003E59D8"/>
    <w:rsid w:val="003E715D"/>
    <w:rsid w:val="003F02F8"/>
    <w:rsid w:val="003F1D65"/>
    <w:rsid w:val="003F2B03"/>
    <w:rsid w:val="003F42D8"/>
    <w:rsid w:val="003F4D89"/>
    <w:rsid w:val="003F4D8D"/>
    <w:rsid w:val="003F5F4F"/>
    <w:rsid w:val="003F633D"/>
    <w:rsid w:val="003F6592"/>
    <w:rsid w:val="003F67DC"/>
    <w:rsid w:val="003F6D00"/>
    <w:rsid w:val="003F7A36"/>
    <w:rsid w:val="003F7E0A"/>
    <w:rsid w:val="0040093F"/>
    <w:rsid w:val="004018FE"/>
    <w:rsid w:val="00401B66"/>
    <w:rsid w:val="00401F3B"/>
    <w:rsid w:val="00403076"/>
    <w:rsid w:val="00403657"/>
    <w:rsid w:val="00404436"/>
    <w:rsid w:val="004068D3"/>
    <w:rsid w:val="00407556"/>
    <w:rsid w:val="00410366"/>
    <w:rsid w:val="004112DF"/>
    <w:rsid w:val="00411AF2"/>
    <w:rsid w:val="0041361A"/>
    <w:rsid w:val="00413895"/>
    <w:rsid w:val="00417BA9"/>
    <w:rsid w:val="00420841"/>
    <w:rsid w:val="00421ED2"/>
    <w:rsid w:val="00422D1A"/>
    <w:rsid w:val="0042347A"/>
    <w:rsid w:val="00424008"/>
    <w:rsid w:val="004251D7"/>
    <w:rsid w:val="00426993"/>
    <w:rsid w:val="00426FE9"/>
    <w:rsid w:val="0042720F"/>
    <w:rsid w:val="00427C50"/>
    <w:rsid w:val="004316A0"/>
    <w:rsid w:val="00432A48"/>
    <w:rsid w:val="0043334C"/>
    <w:rsid w:val="00433509"/>
    <w:rsid w:val="004338FD"/>
    <w:rsid w:val="0043481B"/>
    <w:rsid w:val="00434A96"/>
    <w:rsid w:val="00434B5A"/>
    <w:rsid w:val="00435480"/>
    <w:rsid w:val="004368EF"/>
    <w:rsid w:val="00436A6E"/>
    <w:rsid w:val="00436BE6"/>
    <w:rsid w:val="004429F9"/>
    <w:rsid w:val="004444E4"/>
    <w:rsid w:val="00445FA8"/>
    <w:rsid w:val="00446052"/>
    <w:rsid w:val="00446A6A"/>
    <w:rsid w:val="00446F2C"/>
    <w:rsid w:val="0044731B"/>
    <w:rsid w:val="00451ABD"/>
    <w:rsid w:val="00452285"/>
    <w:rsid w:val="004525AE"/>
    <w:rsid w:val="00452B46"/>
    <w:rsid w:val="00454B87"/>
    <w:rsid w:val="00454C90"/>
    <w:rsid w:val="00456059"/>
    <w:rsid w:val="00457C00"/>
    <w:rsid w:val="00460192"/>
    <w:rsid w:val="00460A24"/>
    <w:rsid w:val="0046167C"/>
    <w:rsid w:val="00461F6D"/>
    <w:rsid w:val="004620B5"/>
    <w:rsid w:val="00466265"/>
    <w:rsid w:val="004669CE"/>
    <w:rsid w:val="00466E1C"/>
    <w:rsid w:val="00467A07"/>
    <w:rsid w:val="00470E3A"/>
    <w:rsid w:val="00470F23"/>
    <w:rsid w:val="004713AB"/>
    <w:rsid w:val="004715BF"/>
    <w:rsid w:val="00472301"/>
    <w:rsid w:val="00472569"/>
    <w:rsid w:val="00473554"/>
    <w:rsid w:val="00473BF9"/>
    <w:rsid w:val="0047432D"/>
    <w:rsid w:val="004758B6"/>
    <w:rsid w:val="00476A34"/>
    <w:rsid w:val="00477573"/>
    <w:rsid w:val="00477688"/>
    <w:rsid w:val="00477E75"/>
    <w:rsid w:val="00480E6A"/>
    <w:rsid w:val="00482DA7"/>
    <w:rsid w:val="00483038"/>
    <w:rsid w:val="004845EE"/>
    <w:rsid w:val="00484B74"/>
    <w:rsid w:val="00484D33"/>
    <w:rsid w:val="00485ED4"/>
    <w:rsid w:val="00486567"/>
    <w:rsid w:val="00487034"/>
    <w:rsid w:val="004901B6"/>
    <w:rsid w:val="00490B0C"/>
    <w:rsid w:val="00491AC7"/>
    <w:rsid w:val="004924DC"/>
    <w:rsid w:val="004931C8"/>
    <w:rsid w:val="00493BAA"/>
    <w:rsid w:val="00494E3F"/>
    <w:rsid w:val="00495025"/>
    <w:rsid w:val="0049528A"/>
    <w:rsid w:val="004959EF"/>
    <w:rsid w:val="00495C1A"/>
    <w:rsid w:val="00497531"/>
    <w:rsid w:val="00497CC4"/>
    <w:rsid w:val="004A0792"/>
    <w:rsid w:val="004A197A"/>
    <w:rsid w:val="004A23BA"/>
    <w:rsid w:val="004A376B"/>
    <w:rsid w:val="004A3E30"/>
    <w:rsid w:val="004A3E69"/>
    <w:rsid w:val="004A5099"/>
    <w:rsid w:val="004A5754"/>
    <w:rsid w:val="004A5A08"/>
    <w:rsid w:val="004A667C"/>
    <w:rsid w:val="004A69C6"/>
    <w:rsid w:val="004A6CEC"/>
    <w:rsid w:val="004A7120"/>
    <w:rsid w:val="004A7D48"/>
    <w:rsid w:val="004B06BD"/>
    <w:rsid w:val="004B0D7F"/>
    <w:rsid w:val="004B2401"/>
    <w:rsid w:val="004B2673"/>
    <w:rsid w:val="004B4211"/>
    <w:rsid w:val="004B59FD"/>
    <w:rsid w:val="004B5BD0"/>
    <w:rsid w:val="004B732E"/>
    <w:rsid w:val="004B750E"/>
    <w:rsid w:val="004B79AA"/>
    <w:rsid w:val="004B7E9A"/>
    <w:rsid w:val="004C0A53"/>
    <w:rsid w:val="004C11AE"/>
    <w:rsid w:val="004C138C"/>
    <w:rsid w:val="004C40E0"/>
    <w:rsid w:val="004C4ED8"/>
    <w:rsid w:val="004C5F11"/>
    <w:rsid w:val="004C652F"/>
    <w:rsid w:val="004C6782"/>
    <w:rsid w:val="004C69A1"/>
    <w:rsid w:val="004C7C6F"/>
    <w:rsid w:val="004D0121"/>
    <w:rsid w:val="004D12D9"/>
    <w:rsid w:val="004D28AC"/>
    <w:rsid w:val="004D2DB2"/>
    <w:rsid w:val="004D5032"/>
    <w:rsid w:val="004D59EC"/>
    <w:rsid w:val="004D5C59"/>
    <w:rsid w:val="004D6AB2"/>
    <w:rsid w:val="004D7089"/>
    <w:rsid w:val="004D7841"/>
    <w:rsid w:val="004E16FD"/>
    <w:rsid w:val="004E259C"/>
    <w:rsid w:val="004E43D2"/>
    <w:rsid w:val="004E4D46"/>
    <w:rsid w:val="004E6991"/>
    <w:rsid w:val="004E6A70"/>
    <w:rsid w:val="004E6D32"/>
    <w:rsid w:val="004E75D4"/>
    <w:rsid w:val="004E7889"/>
    <w:rsid w:val="004F0EFF"/>
    <w:rsid w:val="004F11FA"/>
    <w:rsid w:val="004F2F8E"/>
    <w:rsid w:val="004F3BFF"/>
    <w:rsid w:val="004F517E"/>
    <w:rsid w:val="004F54BF"/>
    <w:rsid w:val="00500190"/>
    <w:rsid w:val="00500B29"/>
    <w:rsid w:val="00500BBB"/>
    <w:rsid w:val="005015D9"/>
    <w:rsid w:val="00502CE3"/>
    <w:rsid w:val="0050358D"/>
    <w:rsid w:val="00504037"/>
    <w:rsid w:val="00504AC6"/>
    <w:rsid w:val="00504B07"/>
    <w:rsid w:val="005052D5"/>
    <w:rsid w:val="00505661"/>
    <w:rsid w:val="005062FA"/>
    <w:rsid w:val="00506786"/>
    <w:rsid w:val="005074DD"/>
    <w:rsid w:val="005076B4"/>
    <w:rsid w:val="00507EB4"/>
    <w:rsid w:val="00507EEC"/>
    <w:rsid w:val="00512EAA"/>
    <w:rsid w:val="00512F86"/>
    <w:rsid w:val="00513229"/>
    <w:rsid w:val="005139B2"/>
    <w:rsid w:val="00514697"/>
    <w:rsid w:val="0051557B"/>
    <w:rsid w:val="00515D86"/>
    <w:rsid w:val="00515F30"/>
    <w:rsid w:val="005167F7"/>
    <w:rsid w:val="00516E6B"/>
    <w:rsid w:val="00516EA6"/>
    <w:rsid w:val="00517E7A"/>
    <w:rsid w:val="005227C1"/>
    <w:rsid w:val="005231FF"/>
    <w:rsid w:val="00523BAE"/>
    <w:rsid w:val="00523FF9"/>
    <w:rsid w:val="005241A7"/>
    <w:rsid w:val="005241B6"/>
    <w:rsid w:val="00524D67"/>
    <w:rsid w:val="005250FD"/>
    <w:rsid w:val="005257C7"/>
    <w:rsid w:val="005269BA"/>
    <w:rsid w:val="00527737"/>
    <w:rsid w:val="00531F92"/>
    <w:rsid w:val="0053226D"/>
    <w:rsid w:val="0053320A"/>
    <w:rsid w:val="005338A7"/>
    <w:rsid w:val="0053403D"/>
    <w:rsid w:val="0053410D"/>
    <w:rsid w:val="00534926"/>
    <w:rsid w:val="00534BDA"/>
    <w:rsid w:val="00537D17"/>
    <w:rsid w:val="00540201"/>
    <w:rsid w:val="00540708"/>
    <w:rsid w:val="00541A4A"/>
    <w:rsid w:val="00542C26"/>
    <w:rsid w:val="00543194"/>
    <w:rsid w:val="005431DA"/>
    <w:rsid w:val="0054415D"/>
    <w:rsid w:val="005456DB"/>
    <w:rsid w:val="00546DB5"/>
    <w:rsid w:val="005471AF"/>
    <w:rsid w:val="00547FEE"/>
    <w:rsid w:val="00551325"/>
    <w:rsid w:val="005524B1"/>
    <w:rsid w:val="00552638"/>
    <w:rsid w:val="005526B7"/>
    <w:rsid w:val="00552C3C"/>
    <w:rsid w:val="00552E0B"/>
    <w:rsid w:val="005530B0"/>
    <w:rsid w:val="00553420"/>
    <w:rsid w:val="00553AC3"/>
    <w:rsid w:val="00553C66"/>
    <w:rsid w:val="005557B7"/>
    <w:rsid w:val="005558CB"/>
    <w:rsid w:val="00556E1D"/>
    <w:rsid w:val="00557450"/>
    <w:rsid w:val="005579A3"/>
    <w:rsid w:val="0056096C"/>
    <w:rsid w:val="005610B7"/>
    <w:rsid w:val="00561978"/>
    <w:rsid w:val="00561CA4"/>
    <w:rsid w:val="00563289"/>
    <w:rsid w:val="005640A8"/>
    <w:rsid w:val="00564959"/>
    <w:rsid w:val="005650D7"/>
    <w:rsid w:val="005658CB"/>
    <w:rsid w:val="00566217"/>
    <w:rsid w:val="00566788"/>
    <w:rsid w:val="00566845"/>
    <w:rsid w:val="0056756B"/>
    <w:rsid w:val="00567AF4"/>
    <w:rsid w:val="005701E1"/>
    <w:rsid w:val="0057058B"/>
    <w:rsid w:val="00570C5C"/>
    <w:rsid w:val="00571749"/>
    <w:rsid w:val="005723DC"/>
    <w:rsid w:val="00573818"/>
    <w:rsid w:val="00574B2C"/>
    <w:rsid w:val="0057501F"/>
    <w:rsid w:val="00575598"/>
    <w:rsid w:val="00576B30"/>
    <w:rsid w:val="00576E6A"/>
    <w:rsid w:val="0057711E"/>
    <w:rsid w:val="00577634"/>
    <w:rsid w:val="00577D6A"/>
    <w:rsid w:val="00577DA0"/>
    <w:rsid w:val="00577E42"/>
    <w:rsid w:val="00577F36"/>
    <w:rsid w:val="005803A1"/>
    <w:rsid w:val="00581E34"/>
    <w:rsid w:val="00582728"/>
    <w:rsid w:val="00583011"/>
    <w:rsid w:val="005832D9"/>
    <w:rsid w:val="00583311"/>
    <w:rsid w:val="00583A16"/>
    <w:rsid w:val="00583ADE"/>
    <w:rsid w:val="00584800"/>
    <w:rsid w:val="0058487E"/>
    <w:rsid w:val="00584D08"/>
    <w:rsid w:val="005852E8"/>
    <w:rsid w:val="0058544D"/>
    <w:rsid w:val="00585B70"/>
    <w:rsid w:val="005863EC"/>
    <w:rsid w:val="00586F34"/>
    <w:rsid w:val="005915CC"/>
    <w:rsid w:val="00592586"/>
    <w:rsid w:val="00592F5E"/>
    <w:rsid w:val="005945BA"/>
    <w:rsid w:val="00595FE9"/>
    <w:rsid w:val="00596A34"/>
    <w:rsid w:val="00597476"/>
    <w:rsid w:val="00597A74"/>
    <w:rsid w:val="005A0039"/>
    <w:rsid w:val="005A0E0D"/>
    <w:rsid w:val="005A3088"/>
    <w:rsid w:val="005A347E"/>
    <w:rsid w:val="005A3ADF"/>
    <w:rsid w:val="005A4B9C"/>
    <w:rsid w:val="005A6209"/>
    <w:rsid w:val="005B0429"/>
    <w:rsid w:val="005B0D70"/>
    <w:rsid w:val="005B1ADC"/>
    <w:rsid w:val="005B2118"/>
    <w:rsid w:val="005B3A4F"/>
    <w:rsid w:val="005B5DBC"/>
    <w:rsid w:val="005B60BD"/>
    <w:rsid w:val="005B787E"/>
    <w:rsid w:val="005C1653"/>
    <w:rsid w:val="005C385D"/>
    <w:rsid w:val="005C4B2B"/>
    <w:rsid w:val="005C4F78"/>
    <w:rsid w:val="005C5249"/>
    <w:rsid w:val="005C526A"/>
    <w:rsid w:val="005C5332"/>
    <w:rsid w:val="005C5365"/>
    <w:rsid w:val="005C549B"/>
    <w:rsid w:val="005C6343"/>
    <w:rsid w:val="005C779E"/>
    <w:rsid w:val="005D08AD"/>
    <w:rsid w:val="005D09AB"/>
    <w:rsid w:val="005D0F46"/>
    <w:rsid w:val="005D1222"/>
    <w:rsid w:val="005D1D85"/>
    <w:rsid w:val="005D2EF2"/>
    <w:rsid w:val="005D2F02"/>
    <w:rsid w:val="005D3011"/>
    <w:rsid w:val="005D34A3"/>
    <w:rsid w:val="005D3948"/>
    <w:rsid w:val="005D55E7"/>
    <w:rsid w:val="005E009D"/>
    <w:rsid w:val="005E06C7"/>
    <w:rsid w:val="005E0725"/>
    <w:rsid w:val="005E1D5F"/>
    <w:rsid w:val="005E1E5E"/>
    <w:rsid w:val="005E22F2"/>
    <w:rsid w:val="005E24DA"/>
    <w:rsid w:val="005E26F9"/>
    <w:rsid w:val="005E2950"/>
    <w:rsid w:val="005E2E7A"/>
    <w:rsid w:val="005E4241"/>
    <w:rsid w:val="005E6A96"/>
    <w:rsid w:val="005E7063"/>
    <w:rsid w:val="005E72AD"/>
    <w:rsid w:val="005E7A5F"/>
    <w:rsid w:val="005F0672"/>
    <w:rsid w:val="005F114C"/>
    <w:rsid w:val="005F2A0B"/>
    <w:rsid w:val="005F32D5"/>
    <w:rsid w:val="005F4BEB"/>
    <w:rsid w:val="005F55A2"/>
    <w:rsid w:val="005F6CC8"/>
    <w:rsid w:val="005F7228"/>
    <w:rsid w:val="005F7BFC"/>
    <w:rsid w:val="005F7CBB"/>
    <w:rsid w:val="006000B0"/>
    <w:rsid w:val="006003F1"/>
    <w:rsid w:val="00600926"/>
    <w:rsid w:val="00600ACB"/>
    <w:rsid w:val="00600F9D"/>
    <w:rsid w:val="006016FE"/>
    <w:rsid w:val="00601F09"/>
    <w:rsid w:val="00603296"/>
    <w:rsid w:val="006040FA"/>
    <w:rsid w:val="00605669"/>
    <w:rsid w:val="00605D5C"/>
    <w:rsid w:val="006067AF"/>
    <w:rsid w:val="0060698F"/>
    <w:rsid w:val="006100DE"/>
    <w:rsid w:val="0061024A"/>
    <w:rsid w:val="006102DF"/>
    <w:rsid w:val="0061136C"/>
    <w:rsid w:val="00611709"/>
    <w:rsid w:val="006121DE"/>
    <w:rsid w:val="00612B00"/>
    <w:rsid w:val="00612D2B"/>
    <w:rsid w:val="0061311E"/>
    <w:rsid w:val="006145A3"/>
    <w:rsid w:val="00615D98"/>
    <w:rsid w:val="006161AD"/>
    <w:rsid w:val="00616F37"/>
    <w:rsid w:val="00620486"/>
    <w:rsid w:val="006221F0"/>
    <w:rsid w:val="006240B2"/>
    <w:rsid w:val="00626749"/>
    <w:rsid w:val="00626BA1"/>
    <w:rsid w:val="00626C71"/>
    <w:rsid w:val="00627729"/>
    <w:rsid w:val="00627C5A"/>
    <w:rsid w:val="0063069D"/>
    <w:rsid w:val="0063076C"/>
    <w:rsid w:val="00630ABF"/>
    <w:rsid w:val="00631AC5"/>
    <w:rsid w:val="00631F79"/>
    <w:rsid w:val="00632507"/>
    <w:rsid w:val="00632601"/>
    <w:rsid w:val="00632894"/>
    <w:rsid w:val="00632DE4"/>
    <w:rsid w:val="00632E03"/>
    <w:rsid w:val="00632F75"/>
    <w:rsid w:val="00633539"/>
    <w:rsid w:val="006337CA"/>
    <w:rsid w:val="00633A15"/>
    <w:rsid w:val="00633B40"/>
    <w:rsid w:val="00633D6C"/>
    <w:rsid w:val="00633EBE"/>
    <w:rsid w:val="00634E06"/>
    <w:rsid w:val="006358EA"/>
    <w:rsid w:val="006358FD"/>
    <w:rsid w:val="00636878"/>
    <w:rsid w:val="00636CE0"/>
    <w:rsid w:val="00636EA9"/>
    <w:rsid w:val="00637391"/>
    <w:rsid w:val="00637611"/>
    <w:rsid w:val="006409C1"/>
    <w:rsid w:val="0064111C"/>
    <w:rsid w:val="006412B5"/>
    <w:rsid w:val="0064140A"/>
    <w:rsid w:val="00641549"/>
    <w:rsid w:val="006415F3"/>
    <w:rsid w:val="0064196C"/>
    <w:rsid w:val="0064375A"/>
    <w:rsid w:val="00643B84"/>
    <w:rsid w:val="0064430F"/>
    <w:rsid w:val="006468FC"/>
    <w:rsid w:val="00646B49"/>
    <w:rsid w:val="006472FF"/>
    <w:rsid w:val="00647638"/>
    <w:rsid w:val="00650ACC"/>
    <w:rsid w:val="00650E5E"/>
    <w:rsid w:val="00651B62"/>
    <w:rsid w:val="00651DAD"/>
    <w:rsid w:val="00651F5A"/>
    <w:rsid w:val="00652340"/>
    <w:rsid w:val="00653351"/>
    <w:rsid w:val="006533F4"/>
    <w:rsid w:val="00653C82"/>
    <w:rsid w:val="00653F89"/>
    <w:rsid w:val="00654DA4"/>
    <w:rsid w:val="00655CF0"/>
    <w:rsid w:val="0065640F"/>
    <w:rsid w:val="00656C3A"/>
    <w:rsid w:val="00656E79"/>
    <w:rsid w:val="00657671"/>
    <w:rsid w:val="0065771D"/>
    <w:rsid w:val="00660E8B"/>
    <w:rsid w:val="0066126D"/>
    <w:rsid w:val="00661941"/>
    <w:rsid w:val="0066226E"/>
    <w:rsid w:val="006638BF"/>
    <w:rsid w:val="0066519C"/>
    <w:rsid w:val="006677D6"/>
    <w:rsid w:val="00667E0B"/>
    <w:rsid w:val="00670403"/>
    <w:rsid w:val="00670420"/>
    <w:rsid w:val="00670706"/>
    <w:rsid w:val="00670D73"/>
    <w:rsid w:val="0067143F"/>
    <w:rsid w:val="00674386"/>
    <w:rsid w:val="00675007"/>
    <w:rsid w:val="006753E0"/>
    <w:rsid w:val="00675482"/>
    <w:rsid w:val="0067574D"/>
    <w:rsid w:val="00677003"/>
    <w:rsid w:val="0067780A"/>
    <w:rsid w:val="00677A40"/>
    <w:rsid w:val="00677CF6"/>
    <w:rsid w:val="00677F61"/>
    <w:rsid w:val="0068000A"/>
    <w:rsid w:val="00680547"/>
    <w:rsid w:val="006856F4"/>
    <w:rsid w:val="0068608B"/>
    <w:rsid w:val="00686662"/>
    <w:rsid w:val="00690A7E"/>
    <w:rsid w:val="006913F0"/>
    <w:rsid w:val="00691F95"/>
    <w:rsid w:val="00692893"/>
    <w:rsid w:val="00693E4D"/>
    <w:rsid w:val="0069409B"/>
    <w:rsid w:val="00694801"/>
    <w:rsid w:val="00694956"/>
    <w:rsid w:val="00696C42"/>
    <w:rsid w:val="00696F8D"/>
    <w:rsid w:val="00697366"/>
    <w:rsid w:val="006A1417"/>
    <w:rsid w:val="006A1FA7"/>
    <w:rsid w:val="006A2A22"/>
    <w:rsid w:val="006A4243"/>
    <w:rsid w:val="006A4B7E"/>
    <w:rsid w:val="006A5807"/>
    <w:rsid w:val="006A646D"/>
    <w:rsid w:val="006A6A29"/>
    <w:rsid w:val="006A6BE4"/>
    <w:rsid w:val="006A6CA8"/>
    <w:rsid w:val="006B15AC"/>
    <w:rsid w:val="006B15FF"/>
    <w:rsid w:val="006B1D04"/>
    <w:rsid w:val="006B34D0"/>
    <w:rsid w:val="006B38EC"/>
    <w:rsid w:val="006B4127"/>
    <w:rsid w:val="006B4430"/>
    <w:rsid w:val="006B5788"/>
    <w:rsid w:val="006B7072"/>
    <w:rsid w:val="006B78D8"/>
    <w:rsid w:val="006B7AF6"/>
    <w:rsid w:val="006C16A5"/>
    <w:rsid w:val="006C26E5"/>
    <w:rsid w:val="006C3455"/>
    <w:rsid w:val="006C3C51"/>
    <w:rsid w:val="006C433D"/>
    <w:rsid w:val="006C4744"/>
    <w:rsid w:val="006C4AD8"/>
    <w:rsid w:val="006C4ECA"/>
    <w:rsid w:val="006C56FF"/>
    <w:rsid w:val="006C5A00"/>
    <w:rsid w:val="006C6595"/>
    <w:rsid w:val="006C6854"/>
    <w:rsid w:val="006D1484"/>
    <w:rsid w:val="006D1865"/>
    <w:rsid w:val="006D52EC"/>
    <w:rsid w:val="006D5A0A"/>
    <w:rsid w:val="006D780F"/>
    <w:rsid w:val="006E0571"/>
    <w:rsid w:val="006E09F5"/>
    <w:rsid w:val="006E0D6A"/>
    <w:rsid w:val="006E0E46"/>
    <w:rsid w:val="006E2B82"/>
    <w:rsid w:val="006E2C43"/>
    <w:rsid w:val="006E51E0"/>
    <w:rsid w:val="006E53AA"/>
    <w:rsid w:val="006E75DF"/>
    <w:rsid w:val="006E7941"/>
    <w:rsid w:val="006F0261"/>
    <w:rsid w:val="006F06D0"/>
    <w:rsid w:val="006F0BF8"/>
    <w:rsid w:val="006F1529"/>
    <w:rsid w:val="006F1A10"/>
    <w:rsid w:val="006F1D32"/>
    <w:rsid w:val="006F212F"/>
    <w:rsid w:val="006F2206"/>
    <w:rsid w:val="006F22D3"/>
    <w:rsid w:val="006F32A4"/>
    <w:rsid w:val="006F33EB"/>
    <w:rsid w:val="006F34DB"/>
    <w:rsid w:val="006F3655"/>
    <w:rsid w:val="006F37ED"/>
    <w:rsid w:val="006F3EE2"/>
    <w:rsid w:val="006F4133"/>
    <w:rsid w:val="006F4324"/>
    <w:rsid w:val="006F5FA8"/>
    <w:rsid w:val="006F7FA4"/>
    <w:rsid w:val="007019D3"/>
    <w:rsid w:val="00701CFF"/>
    <w:rsid w:val="00704141"/>
    <w:rsid w:val="00705467"/>
    <w:rsid w:val="00705878"/>
    <w:rsid w:val="00705E70"/>
    <w:rsid w:val="00706073"/>
    <w:rsid w:val="00706162"/>
    <w:rsid w:val="0070631E"/>
    <w:rsid w:val="00706AC2"/>
    <w:rsid w:val="00706CAB"/>
    <w:rsid w:val="007076D1"/>
    <w:rsid w:val="00707E35"/>
    <w:rsid w:val="00710DCF"/>
    <w:rsid w:val="00711093"/>
    <w:rsid w:val="00711945"/>
    <w:rsid w:val="00713CFA"/>
    <w:rsid w:val="00714D38"/>
    <w:rsid w:val="007151DB"/>
    <w:rsid w:val="007152C6"/>
    <w:rsid w:val="00715630"/>
    <w:rsid w:val="00715990"/>
    <w:rsid w:val="007167E2"/>
    <w:rsid w:val="007168D7"/>
    <w:rsid w:val="007170D8"/>
    <w:rsid w:val="007206C4"/>
    <w:rsid w:val="007208AE"/>
    <w:rsid w:val="00723693"/>
    <w:rsid w:val="007236CE"/>
    <w:rsid w:val="00724099"/>
    <w:rsid w:val="007247B1"/>
    <w:rsid w:val="0072587C"/>
    <w:rsid w:val="007258D3"/>
    <w:rsid w:val="0072637C"/>
    <w:rsid w:val="00726BB5"/>
    <w:rsid w:val="0072706B"/>
    <w:rsid w:val="00727619"/>
    <w:rsid w:val="00727E31"/>
    <w:rsid w:val="00727F85"/>
    <w:rsid w:val="00730D96"/>
    <w:rsid w:val="00731946"/>
    <w:rsid w:val="0073249F"/>
    <w:rsid w:val="007333C6"/>
    <w:rsid w:val="007338B4"/>
    <w:rsid w:val="00733BF0"/>
    <w:rsid w:val="00734544"/>
    <w:rsid w:val="00734B5C"/>
    <w:rsid w:val="00734F6B"/>
    <w:rsid w:val="0073537F"/>
    <w:rsid w:val="007353DB"/>
    <w:rsid w:val="0074205C"/>
    <w:rsid w:val="00743993"/>
    <w:rsid w:val="007445BE"/>
    <w:rsid w:val="007449AF"/>
    <w:rsid w:val="007451DA"/>
    <w:rsid w:val="00745C96"/>
    <w:rsid w:val="007462E0"/>
    <w:rsid w:val="007473E7"/>
    <w:rsid w:val="00750497"/>
    <w:rsid w:val="00750858"/>
    <w:rsid w:val="00750CE5"/>
    <w:rsid w:val="00751FE5"/>
    <w:rsid w:val="007533B5"/>
    <w:rsid w:val="007568B0"/>
    <w:rsid w:val="00760B04"/>
    <w:rsid w:val="00760D77"/>
    <w:rsid w:val="0076201C"/>
    <w:rsid w:val="007637E1"/>
    <w:rsid w:val="007643AD"/>
    <w:rsid w:val="00765023"/>
    <w:rsid w:val="00765352"/>
    <w:rsid w:val="00765DE3"/>
    <w:rsid w:val="0076692F"/>
    <w:rsid w:val="00766BAF"/>
    <w:rsid w:val="0077010F"/>
    <w:rsid w:val="00773CE8"/>
    <w:rsid w:val="007745D6"/>
    <w:rsid w:val="00774A96"/>
    <w:rsid w:val="00775E2B"/>
    <w:rsid w:val="00776351"/>
    <w:rsid w:val="00776AB5"/>
    <w:rsid w:val="0077718B"/>
    <w:rsid w:val="007774AC"/>
    <w:rsid w:val="007800CF"/>
    <w:rsid w:val="00780525"/>
    <w:rsid w:val="00780F8E"/>
    <w:rsid w:val="007811A9"/>
    <w:rsid w:val="0078152F"/>
    <w:rsid w:val="007818A0"/>
    <w:rsid w:val="00781B27"/>
    <w:rsid w:val="0078219A"/>
    <w:rsid w:val="00782EFF"/>
    <w:rsid w:val="007832D7"/>
    <w:rsid w:val="00783707"/>
    <w:rsid w:val="007838D9"/>
    <w:rsid w:val="00784024"/>
    <w:rsid w:val="0078433E"/>
    <w:rsid w:val="00784D1A"/>
    <w:rsid w:val="0078589E"/>
    <w:rsid w:val="007869DC"/>
    <w:rsid w:val="00787573"/>
    <w:rsid w:val="0079023F"/>
    <w:rsid w:val="00791DBF"/>
    <w:rsid w:val="00791EF4"/>
    <w:rsid w:val="00791FFE"/>
    <w:rsid w:val="007920AE"/>
    <w:rsid w:val="00792298"/>
    <w:rsid w:val="00794D53"/>
    <w:rsid w:val="0079518C"/>
    <w:rsid w:val="00795D4F"/>
    <w:rsid w:val="0079653E"/>
    <w:rsid w:val="00797D2A"/>
    <w:rsid w:val="007A02A4"/>
    <w:rsid w:val="007A35EB"/>
    <w:rsid w:val="007A6693"/>
    <w:rsid w:val="007A69C2"/>
    <w:rsid w:val="007A7D04"/>
    <w:rsid w:val="007B0EB3"/>
    <w:rsid w:val="007B224B"/>
    <w:rsid w:val="007B2BC5"/>
    <w:rsid w:val="007B34AA"/>
    <w:rsid w:val="007B5E8F"/>
    <w:rsid w:val="007B7E9F"/>
    <w:rsid w:val="007B7EAF"/>
    <w:rsid w:val="007C2195"/>
    <w:rsid w:val="007C21A3"/>
    <w:rsid w:val="007C30C1"/>
    <w:rsid w:val="007C3C03"/>
    <w:rsid w:val="007C4752"/>
    <w:rsid w:val="007C496C"/>
    <w:rsid w:val="007C59B8"/>
    <w:rsid w:val="007C5A00"/>
    <w:rsid w:val="007C714A"/>
    <w:rsid w:val="007C7CAE"/>
    <w:rsid w:val="007D257A"/>
    <w:rsid w:val="007D2E2D"/>
    <w:rsid w:val="007D308A"/>
    <w:rsid w:val="007D33F5"/>
    <w:rsid w:val="007D341A"/>
    <w:rsid w:val="007D3B7B"/>
    <w:rsid w:val="007D3BEC"/>
    <w:rsid w:val="007D3FEF"/>
    <w:rsid w:val="007D587A"/>
    <w:rsid w:val="007D5E63"/>
    <w:rsid w:val="007D6079"/>
    <w:rsid w:val="007D63B1"/>
    <w:rsid w:val="007D76A8"/>
    <w:rsid w:val="007D7FDD"/>
    <w:rsid w:val="007E1347"/>
    <w:rsid w:val="007E15F8"/>
    <w:rsid w:val="007E24A2"/>
    <w:rsid w:val="007E42AB"/>
    <w:rsid w:val="007E515C"/>
    <w:rsid w:val="007E5346"/>
    <w:rsid w:val="007E6366"/>
    <w:rsid w:val="007F21E9"/>
    <w:rsid w:val="007F4D16"/>
    <w:rsid w:val="00800500"/>
    <w:rsid w:val="00800AE8"/>
    <w:rsid w:val="00801037"/>
    <w:rsid w:val="008015A4"/>
    <w:rsid w:val="00801D63"/>
    <w:rsid w:val="0080259F"/>
    <w:rsid w:val="00802B8A"/>
    <w:rsid w:val="008030CE"/>
    <w:rsid w:val="0080526C"/>
    <w:rsid w:val="00805E22"/>
    <w:rsid w:val="008079EE"/>
    <w:rsid w:val="00811565"/>
    <w:rsid w:val="008118E6"/>
    <w:rsid w:val="00813309"/>
    <w:rsid w:val="008148F6"/>
    <w:rsid w:val="00815BDF"/>
    <w:rsid w:val="00815D28"/>
    <w:rsid w:val="0081643F"/>
    <w:rsid w:val="00817C6F"/>
    <w:rsid w:val="008200F3"/>
    <w:rsid w:val="008216D4"/>
    <w:rsid w:val="00821BA2"/>
    <w:rsid w:val="00823448"/>
    <w:rsid w:val="00823517"/>
    <w:rsid w:val="0082476C"/>
    <w:rsid w:val="00824AD4"/>
    <w:rsid w:val="00825770"/>
    <w:rsid w:val="00826ED3"/>
    <w:rsid w:val="0082767C"/>
    <w:rsid w:val="00830FE8"/>
    <w:rsid w:val="008313B8"/>
    <w:rsid w:val="00832265"/>
    <w:rsid w:val="00833727"/>
    <w:rsid w:val="00833AB7"/>
    <w:rsid w:val="00833E0D"/>
    <w:rsid w:val="00834227"/>
    <w:rsid w:val="00834354"/>
    <w:rsid w:val="008349DA"/>
    <w:rsid w:val="00834BE6"/>
    <w:rsid w:val="0083606C"/>
    <w:rsid w:val="0083641D"/>
    <w:rsid w:val="0083690D"/>
    <w:rsid w:val="0084058D"/>
    <w:rsid w:val="00840BA0"/>
    <w:rsid w:val="0084197B"/>
    <w:rsid w:val="008422D0"/>
    <w:rsid w:val="008426D8"/>
    <w:rsid w:val="008427AD"/>
    <w:rsid w:val="00843277"/>
    <w:rsid w:val="00844FF8"/>
    <w:rsid w:val="008465B6"/>
    <w:rsid w:val="00847C58"/>
    <w:rsid w:val="00847D7E"/>
    <w:rsid w:val="00850220"/>
    <w:rsid w:val="0085046C"/>
    <w:rsid w:val="008512DD"/>
    <w:rsid w:val="0085136D"/>
    <w:rsid w:val="008514B1"/>
    <w:rsid w:val="0085184B"/>
    <w:rsid w:val="00851A2F"/>
    <w:rsid w:val="00851DB0"/>
    <w:rsid w:val="0085252D"/>
    <w:rsid w:val="008527F1"/>
    <w:rsid w:val="008538BB"/>
    <w:rsid w:val="008549AC"/>
    <w:rsid w:val="00855754"/>
    <w:rsid w:val="00856D87"/>
    <w:rsid w:val="008612DD"/>
    <w:rsid w:val="00861BC3"/>
    <w:rsid w:val="008623C0"/>
    <w:rsid w:val="00862860"/>
    <w:rsid w:val="00862CFA"/>
    <w:rsid w:val="00863036"/>
    <w:rsid w:val="00863539"/>
    <w:rsid w:val="008639B2"/>
    <w:rsid w:val="00864CBF"/>
    <w:rsid w:val="00865241"/>
    <w:rsid w:val="00866DDE"/>
    <w:rsid w:val="00866F5F"/>
    <w:rsid w:val="0086707D"/>
    <w:rsid w:val="00867EDF"/>
    <w:rsid w:val="00872389"/>
    <w:rsid w:val="00872E61"/>
    <w:rsid w:val="008743A6"/>
    <w:rsid w:val="008766EE"/>
    <w:rsid w:val="00876BCE"/>
    <w:rsid w:val="00876EBB"/>
    <w:rsid w:val="008775FE"/>
    <w:rsid w:val="00880395"/>
    <w:rsid w:val="00881F2C"/>
    <w:rsid w:val="00882E29"/>
    <w:rsid w:val="0088427B"/>
    <w:rsid w:val="00884313"/>
    <w:rsid w:val="00884772"/>
    <w:rsid w:val="00884774"/>
    <w:rsid w:val="00884D98"/>
    <w:rsid w:val="00885A8F"/>
    <w:rsid w:val="00885CA4"/>
    <w:rsid w:val="00885EE1"/>
    <w:rsid w:val="00887FB2"/>
    <w:rsid w:val="00890B0E"/>
    <w:rsid w:val="00890F3A"/>
    <w:rsid w:val="008916FB"/>
    <w:rsid w:val="00891BF2"/>
    <w:rsid w:val="00891E9F"/>
    <w:rsid w:val="00893AB6"/>
    <w:rsid w:val="00893C32"/>
    <w:rsid w:val="00894D61"/>
    <w:rsid w:val="00894FE2"/>
    <w:rsid w:val="00895A48"/>
    <w:rsid w:val="00895CB6"/>
    <w:rsid w:val="00896277"/>
    <w:rsid w:val="0089661C"/>
    <w:rsid w:val="008974A8"/>
    <w:rsid w:val="00897F11"/>
    <w:rsid w:val="008A253F"/>
    <w:rsid w:val="008A323F"/>
    <w:rsid w:val="008A3680"/>
    <w:rsid w:val="008A3870"/>
    <w:rsid w:val="008A3D87"/>
    <w:rsid w:val="008A3F32"/>
    <w:rsid w:val="008A4275"/>
    <w:rsid w:val="008A4F3D"/>
    <w:rsid w:val="008A5926"/>
    <w:rsid w:val="008B010E"/>
    <w:rsid w:val="008B022C"/>
    <w:rsid w:val="008B02C0"/>
    <w:rsid w:val="008B0387"/>
    <w:rsid w:val="008B055E"/>
    <w:rsid w:val="008B1869"/>
    <w:rsid w:val="008B2015"/>
    <w:rsid w:val="008B23C3"/>
    <w:rsid w:val="008B2C60"/>
    <w:rsid w:val="008B3E45"/>
    <w:rsid w:val="008B44B9"/>
    <w:rsid w:val="008B468A"/>
    <w:rsid w:val="008B4968"/>
    <w:rsid w:val="008B5174"/>
    <w:rsid w:val="008B5D60"/>
    <w:rsid w:val="008B60B7"/>
    <w:rsid w:val="008B6D93"/>
    <w:rsid w:val="008B7F3E"/>
    <w:rsid w:val="008C0880"/>
    <w:rsid w:val="008C16F1"/>
    <w:rsid w:val="008C185C"/>
    <w:rsid w:val="008C188E"/>
    <w:rsid w:val="008C29EB"/>
    <w:rsid w:val="008C37A1"/>
    <w:rsid w:val="008C68F7"/>
    <w:rsid w:val="008C7732"/>
    <w:rsid w:val="008D055D"/>
    <w:rsid w:val="008D13CA"/>
    <w:rsid w:val="008D1DEE"/>
    <w:rsid w:val="008D25B7"/>
    <w:rsid w:val="008D34DE"/>
    <w:rsid w:val="008D4130"/>
    <w:rsid w:val="008D53C8"/>
    <w:rsid w:val="008D545B"/>
    <w:rsid w:val="008D5703"/>
    <w:rsid w:val="008D5DCB"/>
    <w:rsid w:val="008D5FA5"/>
    <w:rsid w:val="008D68FA"/>
    <w:rsid w:val="008D7F73"/>
    <w:rsid w:val="008E0265"/>
    <w:rsid w:val="008E0BD5"/>
    <w:rsid w:val="008E28AB"/>
    <w:rsid w:val="008E2F72"/>
    <w:rsid w:val="008E4FBD"/>
    <w:rsid w:val="008E6692"/>
    <w:rsid w:val="008E6C7B"/>
    <w:rsid w:val="008E6CE1"/>
    <w:rsid w:val="008E6E86"/>
    <w:rsid w:val="008F0101"/>
    <w:rsid w:val="008F01B7"/>
    <w:rsid w:val="008F0735"/>
    <w:rsid w:val="008F4456"/>
    <w:rsid w:val="008F47AF"/>
    <w:rsid w:val="008F5384"/>
    <w:rsid w:val="008F5847"/>
    <w:rsid w:val="008F5B69"/>
    <w:rsid w:val="008F5EC3"/>
    <w:rsid w:val="009000B5"/>
    <w:rsid w:val="00900676"/>
    <w:rsid w:val="00900CD5"/>
    <w:rsid w:val="00902053"/>
    <w:rsid w:val="00903A59"/>
    <w:rsid w:val="00906316"/>
    <w:rsid w:val="00906662"/>
    <w:rsid w:val="00906868"/>
    <w:rsid w:val="00907782"/>
    <w:rsid w:val="009077B0"/>
    <w:rsid w:val="00907FA8"/>
    <w:rsid w:val="009109A5"/>
    <w:rsid w:val="009120FA"/>
    <w:rsid w:val="00912C67"/>
    <w:rsid w:val="00913203"/>
    <w:rsid w:val="00914A7F"/>
    <w:rsid w:val="00915EC0"/>
    <w:rsid w:val="0091603F"/>
    <w:rsid w:val="009161F6"/>
    <w:rsid w:val="009162D4"/>
    <w:rsid w:val="00916E5C"/>
    <w:rsid w:val="009170E9"/>
    <w:rsid w:val="00920EF5"/>
    <w:rsid w:val="0092169B"/>
    <w:rsid w:val="0092352D"/>
    <w:rsid w:val="009242E8"/>
    <w:rsid w:val="00924ED2"/>
    <w:rsid w:val="00925B03"/>
    <w:rsid w:val="00925EA0"/>
    <w:rsid w:val="00925EF9"/>
    <w:rsid w:val="009267DF"/>
    <w:rsid w:val="00926829"/>
    <w:rsid w:val="00926F96"/>
    <w:rsid w:val="00927057"/>
    <w:rsid w:val="00927358"/>
    <w:rsid w:val="00927765"/>
    <w:rsid w:val="009279BD"/>
    <w:rsid w:val="00930409"/>
    <w:rsid w:val="00930C7C"/>
    <w:rsid w:val="00930CFB"/>
    <w:rsid w:val="009310E1"/>
    <w:rsid w:val="0093130D"/>
    <w:rsid w:val="00932F3D"/>
    <w:rsid w:val="00933050"/>
    <w:rsid w:val="009331CD"/>
    <w:rsid w:val="00933CA2"/>
    <w:rsid w:val="00934813"/>
    <w:rsid w:val="009361E9"/>
    <w:rsid w:val="0093773D"/>
    <w:rsid w:val="0093783D"/>
    <w:rsid w:val="009404A6"/>
    <w:rsid w:val="0094134F"/>
    <w:rsid w:val="009423D8"/>
    <w:rsid w:val="00942BB5"/>
    <w:rsid w:val="00942E68"/>
    <w:rsid w:val="00943E75"/>
    <w:rsid w:val="009448B5"/>
    <w:rsid w:val="00946339"/>
    <w:rsid w:val="009465CE"/>
    <w:rsid w:val="00950C60"/>
    <w:rsid w:val="00951158"/>
    <w:rsid w:val="009511BD"/>
    <w:rsid w:val="009524C6"/>
    <w:rsid w:val="00952888"/>
    <w:rsid w:val="009528F4"/>
    <w:rsid w:val="00952F4A"/>
    <w:rsid w:val="0095355D"/>
    <w:rsid w:val="00953F30"/>
    <w:rsid w:val="009541BE"/>
    <w:rsid w:val="00954A47"/>
    <w:rsid w:val="00954B5B"/>
    <w:rsid w:val="0095685C"/>
    <w:rsid w:val="00956D17"/>
    <w:rsid w:val="0095796D"/>
    <w:rsid w:val="00957DE7"/>
    <w:rsid w:val="00960EBF"/>
    <w:rsid w:val="00961131"/>
    <w:rsid w:val="00961199"/>
    <w:rsid w:val="009616BC"/>
    <w:rsid w:val="00961C64"/>
    <w:rsid w:val="009629F9"/>
    <w:rsid w:val="00962A80"/>
    <w:rsid w:val="00963274"/>
    <w:rsid w:val="009651F1"/>
    <w:rsid w:val="009655ED"/>
    <w:rsid w:val="00965B20"/>
    <w:rsid w:val="00966396"/>
    <w:rsid w:val="00967DA8"/>
    <w:rsid w:val="00967F13"/>
    <w:rsid w:val="00967F39"/>
    <w:rsid w:val="00970246"/>
    <w:rsid w:val="009723F5"/>
    <w:rsid w:val="009725FC"/>
    <w:rsid w:val="00972C0F"/>
    <w:rsid w:val="00973E8A"/>
    <w:rsid w:val="0097515B"/>
    <w:rsid w:val="00976861"/>
    <w:rsid w:val="009770FD"/>
    <w:rsid w:val="0097725C"/>
    <w:rsid w:val="00977281"/>
    <w:rsid w:val="009776BC"/>
    <w:rsid w:val="0097780E"/>
    <w:rsid w:val="00977B01"/>
    <w:rsid w:val="00980C6D"/>
    <w:rsid w:val="00980E97"/>
    <w:rsid w:val="00981C0C"/>
    <w:rsid w:val="00981D2B"/>
    <w:rsid w:val="0098280E"/>
    <w:rsid w:val="0098559B"/>
    <w:rsid w:val="009876AD"/>
    <w:rsid w:val="00987944"/>
    <w:rsid w:val="00990943"/>
    <w:rsid w:val="00990DEB"/>
    <w:rsid w:val="00990FDF"/>
    <w:rsid w:val="0099213A"/>
    <w:rsid w:val="009931CC"/>
    <w:rsid w:val="00993E21"/>
    <w:rsid w:val="00993F9A"/>
    <w:rsid w:val="009945CD"/>
    <w:rsid w:val="00996383"/>
    <w:rsid w:val="00996E35"/>
    <w:rsid w:val="00997273"/>
    <w:rsid w:val="009A0AB9"/>
    <w:rsid w:val="009A134E"/>
    <w:rsid w:val="009A14D8"/>
    <w:rsid w:val="009A1536"/>
    <w:rsid w:val="009A1B56"/>
    <w:rsid w:val="009A2A05"/>
    <w:rsid w:val="009A2CDB"/>
    <w:rsid w:val="009A2E86"/>
    <w:rsid w:val="009A34C3"/>
    <w:rsid w:val="009A3DA0"/>
    <w:rsid w:val="009A413A"/>
    <w:rsid w:val="009A5268"/>
    <w:rsid w:val="009A5671"/>
    <w:rsid w:val="009A56FA"/>
    <w:rsid w:val="009A6468"/>
    <w:rsid w:val="009A6CB7"/>
    <w:rsid w:val="009A7193"/>
    <w:rsid w:val="009A7F6D"/>
    <w:rsid w:val="009B1B01"/>
    <w:rsid w:val="009B42B8"/>
    <w:rsid w:val="009B4351"/>
    <w:rsid w:val="009B43F7"/>
    <w:rsid w:val="009B453D"/>
    <w:rsid w:val="009B4970"/>
    <w:rsid w:val="009B4B38"/>
    <w:rsid w:val="009B4CE2"/>
    <w:rsid w:val="009B54B8"/>
    <w:rsid w:val="009B637B"/>
    <w:rsid w:val="009B68A5"/>
    <w:rsid w:val="009B6CE3"/>
    <w:rsid w:val="009B7D8D"/>
    <w:rsid w:val="009C0198"/>
    <w:rsid w:val="009C0EB5"/>
    <w:rsid w:val="009C1012"/>
    <w:rsid w:val="009C174C"/>
    <w:rsid w:val="009C22EB"/>
    <w:rsid w:val="009C29F4"/>
    <w:rsid w:val="009C2E21"/>
    <w:rsid w:val="009C398C"/>
    <w:rsid w:val="009C423A"/>
    <w:rsid w:val="009C4252"/>
    <w:rsid w:val="009C4815"/>
    <w:rsid w:val="009C48B6"/>
    <w:rsid w:val="009C49B8"/>
    <w:rsid w:val="009C6668"/>
    <w:rsid w:val="009D15F3"/>
    <w:rsid w:val="009D1779"/>
    <w:rsid w:val="009D2E44"/>
    <w:rsid w:val="009D3C84"/>
    <w:rsid w:val="009D3E17"/>
    <w:rsid w:val="009D40BE"/>
    <w:rsid w:val="009D4166"/>
    <w:rsid w:val="009D41D4"/>
    <w:rsid w:val="009D4A86"/>
    <w:rsid w:val="009D52A2"/>
    <w:rsid w:val="009D5309"/>
    <w:rsid w:val="009D53B1"/>
    <w:rsid w:val="009D53BC"/>
    <w:rsid w:val="009D5F07"/>
    <w:rsid w:val="009D6352"/>
    <w:rsid w:val="009D796B"/>
    <w:rsid w:val="009D7B95"/>
    <w:rsid w:val="009D7FE3"/>
    <w:rsid w:val="009E00B8"/>
    <w:rsid w:val="009E1BBA"/>
    <w:rsid w:val="009E2700"/>
    <w:rsid w:val="009E2C3C"/>
    <w:rsid w:val="009E2F0B"/>
    <w:rsid w:val="009E3313"/>
    <w:rsid w:val="009E3898"/>
    <w:rsid w:val="009E44CE"/>
    <w:rsid w:val="009E57F8"/>
    <w:rsid w:val="009E5AA2"/>
    <w:rsid w:val="009E6BBC"/>
    <w:rsid w:val="009E6D0C"/>
    <w:rsid w:val="009F0D67"/>
    <w:rsid w:val="009F105D"/>
    <w:rsid w:val="009F16DC"/>
    <w:rsid w:val="009F1789"/>
    <w:rsid w:val="009F1886"/>
    <w:rsid w:val="009F3E6C"/>
    <w:rsid w:val="009F4C15"/>
    <w:rsid w:val="009F6064"/>
    <w:rsid w:val="009F6729"/>
    <w:rsid w:val="009F7065"/>
    <w:rsid w:val="009F77A9"/>
    <w:rsid w:val="00A0016E"/>
    <w:rsid w:val="00A00911"/>
    <w:rsid w:val="00A012F2"/>
    <w:rsid w:val="00A024B0"/>
    <w:rsid w:val="00A02F0A"/>
    <w:rsid w:val="00A0432D"/>
    <w:rsid w:val="00A0497B"/>
    <w:rsid w:val="00A04F0E"/>
    <w:rsid w:val="00A05142"/>
    <w:rsid w:val="00A058CC"/>
    <w:rsid w:val="00A060CB"/>
    <w:rsid w:val="00A067E8"/>
    <w:rsid w:val="00A07247"/>
    <w:rsid w:val="00A07588"/>
    <w:rsid w:val="00A077E1"/>
    <w:rsid w:val="00A1159A"/>
    <w:rsid w:val="00A11918"/>
    <w:rsid w:val="00A1202B"/>
    <w:rsid w:val="00A12154"/>
    <w:rsid w:val="00A12624"/>
    <w:rsid w:val="00A12BD0"/>
    <w:rsid w:val="00A13DE4"/>
    <w:rsid w:val="00A13EB0"/>
    <w:rsid w:val="00A13EBC"/>
    <w:rsid w:val="00A14729"/>
    <w:rsid w:val="00A151F4"/>
    <w:rsid w:val="00A164E2"/>
    <w:rsid w:val="00A16E73"/>
    <w:rsid w:val="00A172D1"/>
    <w:rsid w:val="00A172D7"/>
    <w:rsid w:val="00A179A6"/>
    <w:rsid w:val="00A2060D"/>
    <w:rsid w:val="00A20988"/>
    <w:rsid w:val="00A21935"/>
    <w:rsid w:val="00A21D7E"/>
    <w:rsid w:val="00A25BD0"/>
    <w:rsid w:val="00A25DA6"/>
    <w:rsid w:val="00A26249"/>
    <w:rsid w:val="00A268BF"/>
    <w:rsid w:val="00A27BFD"/>
    <w:rsid w:val="00A301B2"/>
    <w:rsid w:val="00A314AB"/>
    <w:rsid w:val="00A31771"/>
    <w:rsid w:val="00A31983"/>
    <w:rsid w:val="00A333A5"/>
    <w:rsid w:val="00A334E3"/>
    <w:rsid w:val="00A33EAE"/>
    <w:rsid w:val="00A34521"/>
    <w:rsid w:val="00A37702"/>
    <w:rsid w:val="00A37A51"/>
    <w:rsid w:val="00A37EC6"/>
    <w:rsid w:val="00A40ABE"/>
    <w:rsid w:val="00A43ABB"/>
    <w:rsid w:val="00A43F50"/>
    <w:rsid w:val="00A4523B"/>
    <w:rsid w:val="00A4631A"/>
    <w:rsid w:val="00A476D8"/>
    <w:rsid w:val="00A47EA9"/>
    <w:rsid w:val="00A51564"/>
    <w:rsid w:val="00A51B13"/>
    <w:rsid w:val="00A51DC5"/>
    <w:rsid w:val="00A52C26"/>
    <w:rsid w:val="00A52C2F"/>
    <w:rsid w:val="00A5387C"/>
    <w:rsid w:val="00A53BDD"/>
    <w:rsid w:val="00A55467"/>
    <w:rsid w:val="00A5576E"/>
    <w:rsid w:val="00A55AF5"/>
    <w:rsid w:val="00A573C3"/>
    <w:rsid w:val="00A606EC"/>
    <w:rsid w:val="00A61A25"/>
    <w:rsid w:val="00A624D9"/>
    <w:rsid w:val="00A62BAC"/>
    <w:rsid w:val="00A645CF"/>
    <w:rsid w:val="00A655AB"/>
    <w:rsid w:val="00A65AC1"/>
    <w:rsid w:val="00A65C37"/>
    <w:rsid w:val="00A66718"/>
    <w:rsid w:val="00A6713A"/>
    <w:rsid w:val="00A677E1"/>
    <w:rsid w:val="00A701B0"/>
    <w:rsid w:val="00A70210"/>
    <w:rsid w:val="00A716D4"/>
    <w:rsid w:val="00A7227F"/>
    <w:rsid w:val="00A7327B"/>
    <w:rsid w:val="00A742B4"/>
    <w:rsid w:val="00A74577"/>
    <w:rsid w:val="00A7609C"/>
    <w:rsid w:val="00A76338"/>
    <w:rsid w:val="00A764EA"/>
    <w:rsid w:val="00A765EC"/>
    <w:rsid w:val="00A77E1B"/>
    <w:rsid w:val="00A8040C"/>
    <w:rsid w:val="00A80567"/>
    <w:rsid w:val="00A80E6F"/>
    <w:rsid w:val="00A8190C"/>
    <w:rsid w:val="00A81BD4"/>
    <w:rsid w:val="00A81C81"/>
    <w:rsid w:val="00A8238A"/>
    <w:rsid w:val="00A824FB"/>
    <w:rsid w:val="00A84551"/>
    <w:rsid w:val="00A84857"/>
    <w:rsid w:val="00A85D58"/>
    <w:rsid w:val="00A90543"/>
    <w:rsid w:val="00A9108F"/>
    <w:rsid w:val="00A91132"/>
    <w:rsid w:val="00A911D6"/>
    <w:rsid w:val="00A936B9"/>
    <w:rsid w:val="00A93F10"/>
    <w:rsid w:val="00A943B8"/>
    <w:rsid w:val="00A961BE"/>
    <w:rsid w:val="00AA0228"/>
    <w:rsid w:val="00AA1416"/>
    <w:rsid w:val="00AA2532"/>
    <w:rsid w:val="00AA2BD8"/>
    <w:rsid w:val="00AA3D50"/>
    <w:rsid w:val="00AA54A0"/>
    <w:rsid w:val="00AA58AD"/>
    <w:rsid w:val="00AA76D6"/>
    <w:rsid w:val="00AA79B8"/>
    <w:rsid w:val="00AA7A8D"/>
    <w:rsid w:val="00AA7DDC"/>
    <w:rsid w:val="00AB0816"/>
    <w:rsid w:val="00AB2D6B"/>
    <w:rsid w:val="00AB2E62"/>
    <w:rsid w:val="00AB4F6C"/>
    <w:rsid w:val="00AB5820"/>
    <w:rsid w:val="00AB6DF0"/>
    <w:rsid w:val="00AC010E"/>
    <w:rsid w:val="00AC021D"/>
    <w:rsid w:val="00AC05F7"/>
    <w:rsid w:val="00AC0853"/>
    <w:rsid w:val="00AC0F1E"/>
    <w:rsid w:val="00AC137F"/>
    <w:rsid w:val="00AC14AD"/>
    <w:rsid w:val="00AC254B"/>
    <w:rsid w:val="00AC5161"/>
    <w:rsid w:val="00AC5382"/>
    <w:rsid w:val="00AC5B45"/>
    <w:rsid w:val="00AC6143"/>
    <w:rsid w:val="00AC6519"/>
    <w:rsid w:val="00AC66AF"/>
    <w:rsid w:val="00AC6D57"/>
    <w:rsid w:val="00AD0A69"/>
    <w:rsid w:val="00AD1197"/>
    <w:rsid w:val="00AD189F"/>
    <w:rsid w:val="00AD1BFE"/>
    <w:rsid w:val="00AD3453"/>
    <w:rsid w:val="00AD3B3E"/>
    <w:rsid w:val="00AD3F6F"/>
    <w:rsid w:val="00AD43E9"/>
    <w:rsid w:val="00AD44E3"/>
    <w:rsid w:val="00AD4824"/>
    <w:rsid w:val="00AD5AA2"/>
    <w:rsid w:val="00AD7490"/>
    <w:rsid w:val="00AE0344"/>
    <w:rsid w:val="00AE1972"/>
    <w:rsid w:val="00AE1C58"/>
    <w:rsid w:val="00AE2625"/>
    <w:rsid w:val="00AE2BDA"/>
    <w:rsid w:val="00AE3489"/>
    <w:rsid w:val="00AE47CC"/>
    <w:rsid w:val="00AE4A99"/>
    <w:rsid w:val="00AE4EF7"/>
    <w:rsid w:val="00AE5ED7"/>
    <w:rsid w:val="00AE6240"/>
    <w:rsid w:val="00AE7767"/>
    <w:rsid w:val="00AF04F7"/>
    <w:rsid w:val="00AF0EF4"/>
    <w:rsid w:val="00AF10A5"/>
    <w:rsid w:val="00AF14F4"/>
    <w:rsid w:val="00AF1D32"/>
    <w:rsid w:val="00AF35F2"/>
    <w:rsid w:val="00AF3B63"/>
    <w:rsid w:val="00AF440D"/>
    <w:rsid w:val="00AF4D89"/>
    <w:rsid w:val="00AF4DAC"/>
    <w:rsid w:val="00AF6021"/>
    <w:rsid w:val="00AF66FF"/>
    <w:rsid w:val="00AF6B09"/>
    <w:rsid w:val="00AF7B2D"/>
    <w:rsid w:val="00AF7C3F"/>
    <w:rsid w:val="00B00878"/>
    <w:rsid w:val="00B028B9"/>
    <w:rsid w:val="00B04013"/>
    <w:rsid w:val="00B055EE"/>
    <w:rsid w:val="00B05DFF"/>
    <w:rsid w:val="00B05E39"/>
    <w:rsid w:val="00B061DD"/>
    <w:rsid w:val="00B063B7"/>
    <w:rsid w:val="00B06C45"/>
    <w:rsid w:val="00B06CB3"/>
    <w:rsid w:val="00B0764A"/>
    <w:rsid w:val="00B079A7"/>
    <w:rsid w:val="00B1048D"/>
    <w:rsid w:val="00B1089E"/>
    <w:rsid w:val="00B1275C"/>
    <w:rsid w:val="00B13C8F"/>
    <w:rsid w:val="00B1414B"/>
    <w:rsid w:val="00B14D26"/>
    <w:rsid w:val="00B1535A"/>
    <w:rsid w:val="00B161E5"/>
    <w:rsid w:val="00B1627C"/>
    <w:rsid w:val="00B174F9"/>
    <w:rsid w:val="00B2024C"/>
    <w:rsid w:val="00B20370"/>
    <w:rsid w:val="00B23464"/>
    <w:rsid w:val="00B23D10"/>
    <w:rsid w:val="00B2426B"/>
    <w:rsid w:val="00B24956"/>
    <w:rsid w:val="00B24BA7"/>
    <w:rsid w:val="00B262D3"/>
    <w:rsid w:val="00B264B5"/>
    <w:rsid w:val="00B26925"/>
    <w:rsid w:val="00B2799E"/>
    <w:rsid w:val="00B27FD2"/>
    <w:rsid w:val="00B302F4"/>
    <w:rsid w:val="00B30B4C"/>
    <w:rsid w:val="00B30F39"/>
    <w:rsid w:val="00B3291B"/>
    <w:rsid w:val="00B329BE"/>
    <w:rsid w:val="00B33184"/>
    <w:rsid w:val="00B334C7"/>
    <w:rsid w:val="00B33FE7"/>
    <w:rsid w:val="00B34751"/>
    <w:rsid w:val="00B349AD"/>
    <w:rsid w:val="00B34DA8"/>
    <w:rsid w:val="00B34E9E"/>
    <w:rsid w:val="00B34FB9"/>
    <w:rsid w:val="00B3519E"/>
    <w:rsid w:val="00B36F0B"/>
    <w:rsid w:val="00B37129"/>
    <w:rsid w:val="00B37357"/>
    <w:rsid w:val="00B411C1"/>
    <w:rsid w:val="00B41DF7"/>
    <w:rsid w:val="00B43351"/>
    <w:rsid w:val="00B444DB"/>
    <w:rsid w:val="00B44800"/>
    <w:rsid w:val="00B47EF9"/>
    <w:rsid w:val="00B50231"/>
    <w:rsid w:val="00B502A5"/>
    <w:rsid w:val="00B519A1"/>
    <w:rsid w:val="00B5277C"/>
    <w:rsid w:val="00B529BD"/>
    <w:rsid w:val="00B5306E"/>
    <w:rsid w:val="00B531FE"/>
    <w:rsid w:val="00B53433"/>
    <w:rsid w:val="00B53972"/>
    <w:rsid w:val="00B5415B"/>
    <w:rsid w:val="00B55024"/>
    <w:rsid w:val="00B559F1"/>
    <w:rsid w:val="00B568B4"/>
    <w:rsid w:val="00B6149E"/>
    <w:rsid w:val="00B61D25"/>
    <w:rsid w:val="00B63815"/>
    <w:rsid w:val="00B641CE"/>
    <w:rsid w:val="00B642E9"/>
    <w:rsid w:val="00B645A1"/>
    <w:rsid w:val="00B64886"/>
    <w:rsid w:val="00B66CC4"/>
    <w:rsid w:val="00B67D47"/>
    <w:rsid w:val="00B711F2"/>
    <w:rsid w:val="00B71D0E"/>
    <w:rsid w:val="00B71D7E"/>
    <w:rsid w:val="00B7257A"/>
    <w:rsid w:val="00B72A23"/>
    <w:rsid w:val="00B72DFD"/>
    <w:rsid w:val="00B73787"/>
    <w:rsid w:val="00B73FE6"/>
    <w:rsid w:val="00B746A4"/>
    <w:rsid w:val="00B74F8A"/>
    <w:rsid w:val="00B75F8F"/>
    <w:rsid w:val="00B768D4"/>
    <w:rsid w:val="00B77078"/>
    <w:rsid w:val="00B77AB9"/>
    <w:rsid w:val="00B80A61"/>
    <w:rsid w:val="00B81783"/>
    <w:rsid w:val="00B81B0E"/>
    <w:rsid w:val="00B874C0"/>
    <w:rsid w:val="00B87723"/>
    <w:rsid w:val="00B90F8C"/>
    <w:rsid w:val="00B938C1"/>
    <w:rsid w:val="00B94102"/>
    <w:rsid w:val="00B95076"/>
    <w:rsid w:val="00B95D9C"/>
    <w:rsid w:val="00B963B4"/>
    <w:rsid w:val="00B9700A"/>
    <w:rsid w:val="00B971F8"/>
    <w:rsid w:val="00B973F6"/>
    <w:rsid w:val="00B9772D"/>
    <w:rsid w:val="00BA07AD"/>
    <w:rsid w:val="00BA1687"/>
    <w:rsid w:val="00BA2AF8"/>
    <w:rsid w:val="00BA3BF9"/>
    <w:rsid w:val="00BA4428"/>
    <w:rsid w:val="00BA487D"/>
    <w:rsid w:val="00BA4B9D"/>
    <w:rsid w:val="00BA4D9F"/>
    <w:rsid w:val="00BA6CF8"/>
    <w:rsid w:val="00BA6F10"/>
    <w:rsid w:val="00BA7108"/>
    <w:rsid w:val="00BA736E"/>
    <w:rsid w:val="00BA7E76"/>
    <w:rsid w:val="00BB087A"/>
    <w:rsid w:val="00BB295B"/>
    <w:rsid w:val="00BB37FE"/>
    <w:rsid w:val="00BB3A54"/>
    <w:rsid w:val="00BB3C13"/>
    <w:rsid w:val="00BB3D36"/>
    <w:rsid w:val="00BB3EA4"/>
    <w:rsid w:val="00BB6B19"/>
    <w:rsid w:val="00BB7D0A"/>
    <w:rsid w:val="00BB7E08"/>
    <w:rsid w:val="00BC0050"/>
    <w:rsid w:val="00BC1C6D"/>
    <w:rsid w:val="00BC3718"/>
    <w:rsid w:val="00BC38B0"/>
    <w:rsid w:val="00BC44D9"/>
    <w:rsid w:val="00BC5379"/>
    <w:rsid w:val="00BC6EF5"/>
    <w:rsid w:val="00BC7B56"/>
    <w:rsid w:val="00BC7DC5"/>
    <w:rsid w:val="00BD1574"/>
    <w:rsid w:val="00BD1E26"/>
    <w:rsid w:val="00BD2415"/>
    <w:rsid w:val="00BD25D4"/>
    <w:rsid w:val="00BD2623"/>
    <w:rsid w:val="00BD2AF5"/>
    <w:rsid w:val="00BD3091"/>
    <w:rsid w:val="00BD3BA6"/>
    <w:rsid w:val="00BD403A"/>
    <w:rsid w:val="00BD4200"/>
    <w:rsid w:val="00BD5B51"/>
    <w:rsid w:val="00BD652A"/>
    <w:rsid w:val="00BD7E14"/>
    <w:rsid w:val="00BE0EDE"/>
    <w:rsid w:val="00BE1A0B"/>
    <w:rsid w:val="00BE20CD"/>
    <w:rsid w:val="00BE27E6"/>
    <w:rsid w:val="00BE2F99"/>
    <w:rsid w:val="00BE3380"/>
    <w:rsid w:val="00BE3EB7"/>
    <w:rsid w:val="00BE4713"/>
    <w:rsid w:val="00BE47FE"/>
    <w:rsid w:val="00BE6300"/>
    <w:rsid w:val="00BE6390"/>
    <w:rsid w:val="00BE75B9"/>
    <w:rsid w:val="00BF0296"/>
    <w:rsid w:val="00BF0613"/>
    <w:rsid w:val="00BF0785"/>
    <w:rsid w:val="00BF09E5"/>
    <w:rsid w:val="00BF0F94"/>
    <w:rsid w:val="00BF0FD0"/>
    <w:rsid w:val="00BF1AB9"/>
    <w:rsid w:val="00BF2938"/>
    <w:rsid w:val="00BF3B65"/>
    <w:rsid w:val="00BF3FF3"/>
    <w:rsid w:val="00BF5A87"/>
    <w:rsid w:val="00BF5C44"/>
    <w:rsid w:val="00BF6F62"/>
    <w:rsid w:val="00BF714C"/>
    <w:rsid w:val="00BF746B"/>
    <w:rsid w:val="00BF771F"/>
    <w:rsid w:val="00BF777F"/>
    <w:rsid w:val="00BF7907"/>
    <w:rsid w:val="00BF7A38"/>
    <w:rsid w:val="00C00628"/>
    <w:rsid w:val="00C00A49"/>
    <w:rsid w:val="00C00F66"/>
    <w:rsid w:val="00C012F8"/>
    <w:rsid w:val="00C01490"/>
    <w:rsid w:val="00C01540"/>
    <w:rsid w:val="00C0426A"/>
    <w:rsid w:val="00C0630D"/>
    <w:rsid w:val="00C07F81"/>
    <w:rsid w:val="00C10686"/>
    <w:rsid w:val="00C10875"/>
    <w:rsid w:val="00C112D7"/>
    <w:rsid w:val="00C11994"/>
    <w:rsid w:val="00C12742"/>
    <w:rsid w:val="00C12835"/>
    <w:rsid w:val="00C12A88"/>
    <w:rsid w:val="00C13495"/>
    <w:rsid w:val="00C13D2A"/>
    <w:rsid w:val="00C14DBA"/>
    <w:rsid w:val="00C14FF7"/>
    <w:rsid w:val="00C15D09"/>
    <w:rsid w:val="00C16049"/>
    <w:rsid w:val="00C17569"/>
    <w:rsid w:val="00C20F3A"/>
    <w:rsid w:val="00C2149B"/>
    <w:rsid w:val="00C21977"/>
    <w:rsid w:val="00C232E8"/>
    <w:rsid w:val="00C23826"/>
    <w:rsid w:val="00C239DB"/>
    <w:rsid w:val="00C23EE1"/>
    <w:rsid w:val="00C242A3"/>
    <w:rsid w:val="00C24D62"/>
    <w:rsid w:val="00C2532C"/>
    <w:rsid w:val="00C307A7"/>
    <w:rsid w:val="00C30B44"/>
    <w:rsid w:val="00C30D0B"/>
    <w:rsid w:val="00C314E4"/>
    <w:rsid w:val="00C31FF2"/>
    <w:rsid w:val="00C3265F"/>
    <w:rsid w:val="00C328F1"/>
    <w:rsid w:val="00C34435"/>
    <w:rsid w:val="00C3547D"/>
    <w:rsid w:val="00C35E6A"/>
    <w:rsid w:val="00C409FD"/>
    <w:rsid w:val="00C41112"/>
    <w:rsid w:val="00C415F3"/>
    <w:rsid w:val="00C462AA"/>
    <w:rsid w:val="00C46D65"/>
    <w:rsid w:val="00C46ED1"/>
    <w:rsid w:val="00C4734A"/>
    <w:rsid w:val="00C50E06"/>
    <w:rsid w:val="00C51234"/>
    <w:rsid w:val="00C5151E"/>
    <w:rsid w:val="00C51524"/>
    <w:rsid w:val="00C51D4D"/>
    <w:rsid w:val="00C51DCD"/>
    <w:rsid w:val="00C52C75"/>
    <w:rsid w:val="00C52D48"/>
    <w:rsid w:val="00C530E2"/>
    <w:rsid w:val="00C55043"/>
    <w:rsid w:val="00C560D4"/>
    <w:rsid w:val="00C57815"/>
    <w:rsid w:val="00C604AC"/>
    <w:rsid w:val="00C615F8"/>
    <w:rsid w:val="00C6230A"/>
    <w:rsid w:val="00C62877"/>
    <w:rsid w:val="00C634C4"/>
    <w:rsid w:val="00C6376F"/>
    <w:rsid w:val="00C64517"/>
    <w:rsid w:val="00C652A4"/>
    <w:rsid w:val="00C66784"/>
    <w:rsid w:val="00C66E77"/>
    <w:rsid w:val="00C67063"/>
    <w:rsid w:val="00C72506"/>
    <w:rsid w:val="00C72530"/>
    <w:rsid w:val="00C7275D"/>
    <w:rsid w:val="00C735A5"/>
    <w:rsid w:val="00C73D7B"/>
    <w:rsid w:val="00C749CD"/>
    <w:rsid w:val="00C75446"/>
    <w:rsid w:val="00C76760"/>
    <w:rsid w:val="00C770E4"/>
    <w:rsid w:val="00C805A2"/>
    <w:rsid w:val="00C80997"/>
    <w:rsid w:val="00C80AFF"/>
    <w:rsid w:val="00C81AF8"/>
    <w:rsid w:val="00C81F4B"/>
    <w:rsid w:val="00C822C6"/>
    <w:rsid w:val="00C8280E"/>
    <w:rsid w:val="00C82C04"/>
    <w:rsid w:val="00C8331A"/>
    <w:rsid w:val="00C83661"/>
    <w:rsid w:val="00C836DE"/>
    <w:rsid w:val="00C83E1E"/>
    <w:rsid w:val="00C8484C"/>
    <w:rsid w:val="00C851A4"/>
    <w:rsid w:val="00C860B5"/>
    <w:rsid w:val="00C869AD"/>
    <w:rsid w:val="00C87B56"/>
    <w:rsid w:val="00C87C4F"/>
    <w:rsid w:val="00C90E8B"/>
    <w:rsid w:val="00C91A3B"/>
    <w:rsid w:val="00C91D8C"/>
    <w:rsid w:val="00C91DFE"/>
    <w:rsid w:val="00C9290F"/>
    <w:rsid w:val="00C9294A"/>
    <w:rsid w:val="00C933BA"/>
    <w:rsid w:val="00C96379"/>
    <w:rsid w:val="00C964E3"/>
    <w:rsid w:val="00C96A7E"/>
    <w:rsid w:val="00CA0105"/>
    <w:rsid w:val="00CA0764"/>
    <w:rsid w:val="00CA17BA"/>
    <w:rsid w:val="00CA1F5D"/>
    <w:rsid w:val="00CA320F"/>
    <w:rsid w:val="00CA34ED"/>
    <w:rsid w:val="00CA36B8"/>
    <w:rsid w:val="00CA437C"/>
    <w:rsid w:val="00CA465F"/>
    <w:rsid w:val="00CA4670"/>
    <w:rsid w:val="00CA53CB"/>
    <w:rsid w:val="00CA55B7"/>
    <w:rsid w:val="00CA5A38"/>
    <w:rsid w:val="00CA5CA7"/>
    <w:rsid w:val="00CA619E"/>
    <w:rsid w:val="00CA6592"/>
    <w:rsid w:val="00CA6FA6"/>
    <w:rsid w:val="00CB07AE"/>
    <w:rsid w:val="00CB0B42"/>
    <w:rsid w:val="00CB2EA1"/>
    <w:rsid w:val="00CB3279"/>
    <w:rsid w:val="00CB3729"/>
    <w:rsid w:val="00CB5703"/>
    <w:rsid w:val="00CB5E95"/>
    <w:rsid w:val="00CB6C4F"/>
    <w:rsid w:val="00CB7FBE"/>
    <w:rsid w:val="00CC0A3E"/>
    <w:rsid w:val="00CC0B73"/>
    <w:rsid w:val="00CC0BF8"/>
    <w:rsid w:val="00CC237C"/>
    <w:rsid w:val="00CC369A"/>
    <w:rsid w:val="00CC3781"/>
    <w:rsid w:val="00CC3E54"/>
    <w:rsid w:val="00CC419C"/>
    <w:rsid w:val="00CC42C5"/>
    <w:rsid w:val="00CC4669"/>
    <w:rsid w:val="00CC4CD2"/>
    <w:rsid w:val="00CC61EC"/>
    <w:rsid w:val="00CC6DF2"/>
    <w:rsid w:val="00CD3C96"/>
    <w:rsid w:val="00CD4FF0"/>
    <w:rsid w:val="00CD65A1"/>
    <w:rsid w:val="00CD6834"/>
    <w:rsid w:val="00CD68BF"/>
    <w:rsid w:val="00CD6DC1"/>
    <w:rsid w:val="00CD7884"/>
    <w:rsid w:val="00CD79D8"/>
    <w:rsid w:val="00CD7B03"/>
    <w:rsid w:val="00CD7B21"/>
    <w:rsid w:val="00CE02B1"/>
    <w:rsid w:val="00CE094B"/>
    <w:rsid w:val="00CE1365"/>
    <w:rsid w:val="00CE1E06"/>
    <w:rsid w:val="00CE3553"/>
    <w:rsid w:val="00CE3D69"/>
    <w:rsid w:val="00CE417A"/>
    <w:rsid w:val="00CE51E4"/>
    <w:rsid w:val="00CE6D76"/>
    <w:rsid w:val="00CE7031"/>
    <w:rsid w:val="00CF0B08"/>
    <w:rsid w:val="00CF1894"/>
    <w:rsid w:val="00CF1F15"/>
    <w:rsid w:val="00CF2B7C"/>
    <w:rsid w:val="00CF2EF9"/>
    <w:rsid w:val="00CF3149"/>
    <w:rsid w:val="00CF3B38"/>
    <w:rsid w:val="00CF4D3E"/>
    <w:rsid w:val="00CF541A"/>
    <w:rsid w:val="00CF60BF"/>
    <w:rsid w:val="00CF61C2"/>
    <w:rsid w:val="00CF63DE"/>
    <w:rsid w:val="00CF6933"/>
    <w:rsid w:val="00CF6DE2"/>
    <w:rsid w:val="00CF77C1"/>
    <w:rsid w:val="00CF7CC2"/>
    <w:rsid w:val="00CF7E29"/>
    <w:rsid w:val="00D01654"/>
    <w:rsid w:val="00D02FD5"/>
    <w:rsid w:val="00D0431F"/>
    <w:rsid w:val="00D04E71"/>
    <w:rsid w:val="00D05D1D"/>
    <w:rsid w:val="00D05FB7"/>
    <w:rsid w:val="00D069CA"/>
    <w:rsid w:val="00D10B1C"/>
    <w:rsid w:val="00D10D0B"/>
    <w:rsid w:val="00D11329"/>
    <w:rsid w:val="00D116F0"/>
    <w:rsid w:val="00D14812"/>
    <w:rsid w:val="00D14FB6"/>
    <w:rsid w:val="00D15EF1"/>
    <w:rsid w:val="00D20578"/>
    <w:rsid w:val="00D21752"/>
    <w:rsid w:val="00D249CE"/>
    <w:rsid w:val="00D2552F"/>
    <w:rsid w:val="00D25533"/>
    <w:rsid w:val="00D255D5"/>
    <w:rsid w:val="00D269B6"/>
    <w:rsid w:val="00D3172F"/>
    <w:rsid w:val="00D31F4E"/>
    <w:rsid w:val="00D32724"/>
    <w:rsid w:val="00D329D0"/>
    <w:rsid w:val="00D32FC3"/>
    <w:rsid w:val="00D349EC"/>
    <w:rsid w:val="00D40052"/>
    <w:rsid w:val="00D40A33"/>
    <w:rsid w:val="00D40CDF"/>
    <w:rsid w:val="00D4120B"/>
    <w:rsid w:val="00D41A0A"/>
    <w:rsid w:val="00D41F89"/>
    <w:rsid w:val="00D42F3E"/>
    <w:rsid w:val="00D43166"/>
    <w:rsid w:val="00D43CA1"/>
    <w:rsid w:val="00D43CFA"/>
    <w:rsid w:val="00D44E88"/>
    <w:rsid w:val="00D46E3D"/>
    <w:rsid w:val="00D4729B"/>
    <w:rsid w:val="00D475FE"/>
    <w:rsid w:val="00D478CE"/>
    <w:rsid w:val="00D47989"/>
    <w:rsid w:val="00D52A81"/>
    <w:rsid w:val="00D53435"/>
    <w:rsid w:val="00D53457"/>
    <w:rsid w:val="00D53804"/>
    <w:rsid w:val="00D53924"/>
    <w:rsid w:val="00D54CCC"/>
    <w:rsid w:val="00D54F72"/>
    <w:rsid w:val="00D5745D"/>
    <w:rsid w:val="00D613FD"/>
    <w:rsid w:val="00D61752"/>
    <w:rsid w:val="00D6277A"/>
    <w:rsid w:val="00D6344C"/>
    <w:rsid w:val="00D646F8"/>
    <w:rsid w:val="00D64F05"/>
    <w:rsid w:val="00D65A44"/>
    <w:rsid w:val="00D66843"/>
    <w:rsid w:val="00D6710B"/>
    <w:rsid w:val="00D7055E"/>
    <w:rsid w:val="00D71033"/>
    <w:rsid w:val="00D71180"/>
    <w:rsid w:val="00D71A22"/>
    <w:rsid w:val="00D7287F"/>
    <w:rsid w:val="00D72909"/>
    <w:rsid w:val="00D74FF3"/>
    <w:rsid w:val="00D7520A"/>
    <w:rsid w:val="00D77882"/>
    <w:rsid w:val="00D80831"/>
    <w:rsid w:val="00D80E8C"/>
    <w:rsid w:val="00D820E5"/>
    <w:rsid w:val="00D83B24"/>
    <w:rsid w:val="00D8501C"/>
    <w:rsid w:val="00D863B1"/>
    <w:rsid w:val="00D86AA8"/>
    <w:rsid w:val="00D901FC"/>
    <w:rsid w:val="00D908CA"/>
    <w:rsid w:val="00D91183"/>
    <w:rsid w:val="00D94B04"/>
    <w:rsid w:val="00D96794"/>
    <w:rsid w:val="00D96846"/>
    <w:rsid w:val="00D96AEB"/>
    <w:rsid w:val="00D96F8D"/>
    <w:rsid w:val="00D9792A"/>
    <w:rsid w:val="00DA1934"/>
    <w:rsid w:val="00DA3B5C"/>
    <w:rsid w:val="00DA4E29"/>
    <w:rsid w:val="00DA4E5E"/>
    <w:rsid w:val="00DA4FBA"/>
    <w:rsid w:val="00DB00F1"/>
    <w:rsid w:val="00DB0378"/>
    <w:rsid w:val="00DB0556"/>
    <w:rsid w:val="00DB1515"/>
    <w:rsid w:val="00DB1593"/>
    <w:rsid w:val="00DB279C"/>
    <w:rsid w:val="00DB337B"/>
    <w:rsid w:val="00DB3CB6"/>
    <w:rsid w:val="00DB470C"/>
    <w:rsid w:val="00DB53BD"/>
    <w:rsid w:val="00DB59CA"/>
    <w:rsid w:val="00DB5D15"/>
    <w:rsid w:val="00DB64CA"/>
    <w:rsid w:val="00DB6BDE"/>
    <w:rsid w:val="00DC04ED"/>
    <w:rsid w:val="00DC1AF0"/>
    <w:rsid w:val="00DC2F6D"/>
    <w:rsid w:val="00DC3D2F"/>
    <w:rsid w:val="00DC5555"/>
    <w:rsid w:val="00DC7CE7"/>
    <w:rsid w:val="00DD0782"/>
    <w:rsid w:val="00DD10AA"/>
    <w:rsid w:val="00DD1270"/>
    <w:rsid w:val="00DD1926"/>
    <w:rsid w:val="00DD2081"/>
    <w:rsid w:val="00DD4094"/>
    <w:rsid w:val="00DD478E"/>
    <w:rsid w:val="00DD4FDD"/>
    <w:rsid w:val="00DD57CE"/>
    <w:rsid w:val="00DD60CD"/>
    <w:rsid w:val="00DD7756"/>
    <w:rsid w:val="00DD7CB9"/>
    <w:rsid w:val="00DE1A80"/>
    <w:rsid w:val="00DE1EB8"/>
    <w:rsid w:val="00DE2E9E"/>
    <w:rsid w:val="00DE3BBF"/>
    <w:rsid w:val="00DE404C"/>
    <w:rsid w:val="00DE4579"/>
    <w:rsid w:val="00DE4975"/>
    <w:rsid w:val="00DE5030"/>
    <w:rsid w:val="00DE6E45"/>
    <w:rsid w:val="00DE7960"/>
    <w:rsid w:val="00DF0D07"/>
    <w:rsid w:val="00DF2916"/>
    <w:rsid w:val="00DF3455"/>
    <w:rsid w:val="00DF4322"/>
    <w:rsid w:val="00DF5246"/>
    <w:rsid w:val="00DF5B36"/>
    <w:rsid w:val="00DF67DF"/>
    <w:rsid w:val="00E0070C"/>
    <w:rsid w:val="00E03853"/>
    <w:rsid w:val="00E03DF1"/>
    <w:rsid w:val="00E05215"/>
    <w:rsid w:val="00E057C0"/>
    <w:rsid w:val="00E05F37"/>
    <w:rsid w:val="00E06884"/>
    <w:rsid w:val="00E06DCE"/>
    <w:rsid w:val="00E106CD"/>
    <w:rsid w:val="00E10BDE"/>
    <w:rsid w:val="00E1168B"/>
    <w:rsid w:val="00E11A73"/>
    <w:rsid w:val="00E11B32"/>
    <w:rsid w:val="00E11B6D"/>
    <w:rsid w:val="00E13A01"/>
    <w:rsid w:val="00E13E27"/>
    <w:rsid w:val="00E13F02"/>
    <w:rsid w:val="00E15078"/>
    <w:rsid w:val="00E157CE"/>
    <w:rsid w:val="00E17543"/>
    <w:rsid w:val="00E1785D"/>
    <w:rsid w:val="00E21D89"/>
    <w:rsid w:val="00E21F26"/>
    <w:rsid w:val="00E22B2D"/>
    <w:rsid w:val="00E22BC6"/>
    <w:rsid w:val="00E22D19"/>
    <w:rsid w:val="00E24CC6"/>
    <w:rsid w:val="00E24E9A"/>
    <w:rsid w:val="00E25B29"/>
    <w:rsid w:val="00E25D98"/>
    <w:rsid w:val="00E26AF8"/>
    <w:rsid w:val="00E26BAB"/>
    <w:rsid w:val="00E26D4C"/>
    <w:rsid w:val="00E26D61"/>
    <w:rsid w:val="00E30168"/>
    <w:rsid w:val="00E3038E"/>
    <w:rsid w:val="00E3083C"/>
    <w:rsid w:val="00E31CE9"/>
    <w:rsid w:val="00E32262"/>
    <w:rsid w:val="00E322FD"/>
    <w:rsid w:val="00E32A67"/>
    <w:rsid w:val="00E32AE1"/>
    <w:rsid w:val="00E32C70"/>
    <w:rsid w:val="00E337B9"/>
    <w:rsid w:val="00E33E23"/>
    <w:rsid w:val="00E36B0D"/>
    <w:rsid w:val="00E36C9B"/>
    <w:rsid w:val="00E3703D"/>
    <w:rsid w:val="00E40294"/>
    <w:rsid w:val="00E431B7"/>
    <w:rsid w:val="00E432FE"/>
    <w:rsid w:val="00E4461D"/>
    <w:rsid w:val="00E44709"/>
    <w:rsid w:val="00E44A7D"/>
    <w:rsid w:val="00E463D7"/>
    <w:rsid w:val="00E46917"/>
    <w:rsid w:val="00E50011"/>
    <w:rsid w:val="00E50018"/>
    <w:rsid w:val="00E50045"/>
    <w:rsid w:val="00E51047"/>
    <w:rsid w:val="00E51E66"/>
    <w:rsid w:val="00E52EB9"/>
    <w:rsid w:val="00E52F9A"/>
    <w:rsid w:val="00E53D6D"/>
    <w:rsid w:val="00E543BC"/>
    <w:rsid w:val="00E5476D"/>
    <w:rsid w:val="00E54B35"/>
    <w:rsid w:val="00E5520E"/>
    <w:rsid w:val="00E56409"/>
    <w:rsid w:val="00E5640E"/>
    <w:rsid w:val="00E5726B"/>
    <w:rsid w:val="00E601C7"/>
    <w:rsid w:val="00E62A17"/>
    <w:rsid w:val="00E6327E"/>
    <w:rsid w:val="00E635AD"/>
    <w:rsid w:val="00E63FCB"/>
    <w:rsid w:val="00E64ED7"/>
    <w:rsid w:val="00E65125"/>
    <w:rsid w:val="00E65653"/>
    <w:rsid w:val="00E65AB4"/>
    <w:rsid w:val="00E65D55"/>
    <w:rsid w:val="00E661E3"/>
    <w:rsid w:val="00E66301"/>
    <w:rsid w:val="00E663A0"/>
    <w:rsid w:val="00E664CF"/>
    <w:rsid w:val="00E6677B"/>
    <w:rsid w:val="00E668BF"/>
    <w:rsid w:val="00E66A24"/>
    <w:rsid w:val="00E66BB9"/>
    <w:rsid w:val="00E67423"/>
    <w:rsid w:val="00E67817"/>
    <w:rsid w:val="00E6793A"/>
    <w:rsid w:val="00E67B97"/>
    <w:rsid w:val="00E703F2"/>
    <w:rsid w:val="00E718C7"/>
    <w:rsid w:val="00E74E21"/>
    <w:rsid w:val="00E756EE"/>
    <w:rsid w:val="00E76240"/>
    <w:rsid w:val="00E76D02"/>
    <w:rsid w:val="00E773C3"/>
    <w:rsid w:val="00E803F5"/>
    <w:rsid w:val="00E80721"/>
    <w:rsid w:val="00E80EFD"/>
    <w:rsid w:val="00E8288A"/>
    <w:rsid w:val="00E83636"/>
    <w:rsid w:val="00E83C02"/>
    <w:rsid w:val="00E844D4"/>
    <w:rsid w:val="00E846B2"/>
    <w:rsid w:val="00E850F5"/>
    <w:rsid w:val="00E85DE5"/>
    <w:rsid w:val="00E8639E"/>
    <w:rsid w:val="00E86498"/>
    <w:rsid w:val="00E86BDB"/>
    <w:rsid w:val="00E910EA"/>
    <w:rsid w:val="00E926B4"/>
    <w:rsid w:val="00E94832"/>
    <w:rsid w:val="00E950F2"/>
    <w:rsid w:val="00E956FB"/>
    <w:rsid w:val="00E95A48"/>
    <w:rsid w:val="00E95AC5"/>
    <w:rsid w:val="00E95EFD"/>
    <w:rsid w:val="00E9660D"/>
    <w:rsid w:val="00E96CED"/>
    <w:rsid w:val="00E96D44"/>
    <w:rsid w:val="00E97E6C"/>
    <w:rsid w:val="00EA01F2"/>
    <w:rsid w:val="00EA0D26"/>
    <w:rsid w:val="00EA150D"/>
    <w:rsid w:val="00EA572F"/>
    <w:rsid w:val="00EA65DD"/>
    <w:rsid w:val="00EA669C"/>
    <w:rsid w:val="00EB04A3"/>
    <w:rsid w:val="00EB0F0E"/>
    <w:rsid w:val="00EB1197"/>
    <w:rsid w:val="00EB2078"/>
    <w:rsid w:val="00EB227E"/>
    <w:rsid w:val="00EB2389"/>
    <w:rsid w:val="00EB331B"/>
    <w:rsid w:val="00EB3CCF"/>
    <w:rsid w:val="00EB3DB1"/>
    <w:rsid w:val="00EB3E0A"/>
    <w:rsid w:val="00EB3F05"/>
    <w:rsid w:val="00EB4F62"/>
    <w:rsid w:val="00EB6A6A"/>
    <w:rsid w:val="00EB6B6B"/>
    <w:rsid w:val="00EB77C0"/>
    <w:rsid w:val="00EB7864"/>
    <w:rsid w:val="00EC149D"/>
    <w:rsid w:val="00EC2704"/>
    <w:rsid w:val="00EC2738"/>
    <w:rsid w:val="00EC3587"/>
    <w:rsid w:val="00EC571C"/>
    <w:rsid w:val="00EC60A3"/>
    <w:rsid w:val="00EC6697"/>
    <w:rsid w:val="00EC7550"/>
    <w:rsid w:val="00ED085B"/>
    <w:rsid w:val="00ED0F5F"/>
    <w:rsid w:val="00ED29D6"/>
    <w:rsid w:val="00ED3D0E"/>
    <w:rsid w:val="00ED4405"/>
    <w:rsid w:val="00ED5288"/>
    <w:rsid w:val="00ED57DE"/>
    <w:rsid w:val="00ED6040"/>
    <w:rsid w:val="00ED61D8"/>
    <w:rsid w:val="00ED6969"/>
    <w:rsid w:val="00ED6B8A"/>
    <w:rsid w:val="00ED7549"/>
    <w:rsid w:val="00ED78C0"/>
    <w:rsid w:val="00ED7CFE"/>
    <w:rsid w:val="00ED7DB7"/>
    <w:rsid w:val="00ED7E6E"/>
    <w:rsid w:val="00EE04ED"/>
    <w:rsid w:val="00EE1717"/>
    <w:rsid w:val="00EE187C"/>
    <w:rsid w:val="00EE1E34"/>
    <w:rsid w:val="00EE26E4"/>
    <w:rsid w:val="00EE30B8"/>
    <w:rsid w:val="00EE3CA1"/>
    <w:rsid w:val="00EE3E20"/>
    <w:rsid w:val="00EE442A"/>
    <w:rsid w:val="00EE4D7A"/>
    <w:rsid w:val="00EE4FD9"/>
    <w:rsid w:val="00EE559F"/>
    <w:rsid w:val="00EE584A"/>
    <w:rsid w:val="00EE68C5"/>
    <w:rsid w:val="00EE6B7B"/>
    <w:rsid w:val="00EF04CF"/>
    <w:rsid w:val="00EF13E7"/>
    <w:rsid w:val="00EF1BAB"/>
    <w:rsid w:val="00EF336A"/>
    <w:rsid w:val="00EF3A77"/>
    <w:rsid w:val="00EF3E25"/>
    <w:rsid w:val="00EF403E"/>
    <w:rsid w:val="00EF4441"/>
    <w:rsid w:val="00EF505B"/>
    <w:rsid w:val="00EF696C"/>
    <w:rsid w:val="00EF6B9D"/>
    <w:rsid w:val="00F002EB"/>
    <w:rsid w:val="00F0202E"/>
    <w:rsid w:val="00F03319"/>
    <w:rsid w:val="00F03825"/>
    <w:rsid w:val="00F04096"/>
    <w:rsid w:val="00F042F8"/>
    <w:rsid w:val="00F0497E"/>
    <w:rsid w:val="00F04FA2"/>
    <w:rsid w:val="00F06634"/>
    <w:rsid w:val="00F07999"/>
    <w:rsid w:val="00F07CEA"/>
    <w:rsid w:val="00F106B3"/>
    <w:rsid w:val="00F10A82"/>
    <w:rsid w:val="00F1126F"/>
    <w:rsid w:val="00F11E17"/>
    <w:rsid w:val="00F12E52"/>
    <w:rsid w:val="00F13882"/>
    <w:rsid w:val="00F13A26"/>
    <w:rsid w:val="00F14D55"/>
    <w:rsid w:val="00F15302"/>
    <w:rsid w:val="00F15530"/>
    <w:rsid w:val="00F15AB9"/>
    <w:rsid w:val="00F170CB"/>
    <w:rsid w:val="00F177DF"/>
    <w:rsid w:val="00F17E9F"/>
    <w:rsid w:val="00F209E7"/>
    <w:rsid w:val="00F21484"/>
    <w:rsid w:val="00F21EF8"/>
    <w:rsid w:val="00F21F2B"/>
    <w:rsid w:val="00F22540"/>
    <w:rsid w:val="00F22828"/>
    <w:rsid w:val="00F22D52"/>
    <w:rsid w:val="00F239A5"/>
    <w:rsid w:val="00F24302"/>
    <w:rsid w:val="00F2482C"/>
    <w:rsid w:val="00F24C05"/>
    <w:rsid w:val="00F2604A"/>
    <w:rsid w:val="00F27BC8"/>
    <w:rsid w:val="00F27D0D"/>
    <w:rsid w:val="00F320B2"/>
    <w:rsid w:val="00F3298F"/>
    <w:rsid w:val="00F35EEA"/>
    <w:rsid w:val="00F373FD"/>
    <w:rsid w:val="00F37C14"/>
    <w:rsid w:val="00F37E38"/>
    <w:rsid w:val="00F37EE6"/>
    <w:rsid w:val="00F37F51"/>
    <w:rsid w:val="00F40838"/>
    <w:rsid w:val="00F40D0D"/>
    <w:rsid w:val="00F41813"/>
    <w:rsid w:val="00F4254D"/>
    <w:rsid w:val="00F42959"/>
    <w:rsid w:val="00F42B70"/>
    <w:rsid w:val="00F441FE"/>
    <w:rsid w:val="00F44381"/>
    <w:rsid w:val="00F449EE"/>
    <w:rsid w:val="00F45669"/>
    <w:rsid w:val="00F45A82"/>
    <w:rsid w:val="00F465A0"/>
    <w:rsid w:val="00F471A7"/>
    <w:rsid w:val="00F47524"/>
    <w:rsid w:val="00F4786D"/>
    <w:rsid w:val="00F50A2F"/>
    <w:rsid w:val="00F50DFC"/>
    <w:rsid w:val="00F51D26"/>
    <w:rsid w:val="00F525BC"/>
    <w:rsid w:val="00F548BB"/>
    <w:rsid w:val="00F54C60"/>
    <w:rsid w:val="00F54FF9"/>
    <w:rsid w:val="00F5534D"/>
    <w:rsid w:val="00F553DA"/>
    <w:rsid w:val="00F556E8"/>
    <w:rsid w:val="00F56E94"/>
    <w:rsid w:val="00F60491"/>
    <w:rsid w:val="00F62025"/>
    <w:rsid w:val="00F620CB"/>
    <w:rsid w:val="00F6215C"/>
    <w:rsid w:val="00F62394"/>
    <w:rsid w:val="00F63CCE"/>
    <w:rsid w:val="00F6473C"/>
    <w:rsid w:val="00F65098"/>
    <w:rsid w:val="00F650BB"/>
    <w:rsid w:val="00F65D5F"/>
    <w:rsid w:val="00F67920"/>
    <w:rsid w:val="00F70DAA"/>
    <w:rsid w:val="00F70F33"/>
    <w:rsid w:val="00F712D4"/>
    <w:rsid w:val="00F726B3"/>
    <w:rsid w:val="00F72E10"/>
    <w:rsid w:val="00F73A7F"/>
    <w:rsid w:val="00F74EB9"/>
    <w:rsid w:val="00F76294"/>
    <w:rsid w:val="00F81410"/>
    <w:rsid w:val="00F81D72"/>
    <w:rsid w:val="00F822EF"/>
    <w:rsid w:val="00F82C9C"/>
    <w:rsid w:val="00F835FA"/>
    <w:rsid w:val="00F93E5B"/>
    <w:rsid w:val="00F95B10"/>
    <w:rsid w:val="00F968F4"/>
    <w:rsid w:val="00F96FE1"/>
    <w:rsid w:val="00F9714C"/>
    <w:rsid w:val="00FA05EE"/>
    <w:rsid w:val="00FA1BEA"/>
    <w:rsid w:val="00FA31F3"/>
    <w:rsid w:val="00FA4C21"/>
    <w:rsid w:val="00FA52A3"/>
    <w:rsid w:val="00FA630B"/>
    <w:rsid w:val="00FA6A72"/>
    <w:rsid w:val="00FA6BB3"/>
    <w:rsid w:val="00FA7320"/>
    <w:rsid w:val="00FB03D9"/>
    <w:rsid w:val="00FB079A"/>
    <w:rsid w:val="00FB1EC0"/>
    <w:rsid w:val="00FB2C65"/>
    <w:rsid w:val="00FB3B9B"/>
    <w:rsid w:val="00FB3EE3"/>
    <w:rsid w:val="00FB55F8"/>
    <w:rsid w:val="00FB59D9"/>
    <w:rsid w:val="00FB62D1"/>
    <w:rsid w:val="00FB6B59"/>
    <w:rsid w:val="00FB7F4C"/>
    <w:rsid w:val="00FC17AB"/>
    <w:rsid w:val="00FC1FE5"/>
    <w:rsid w:val="00FC2A3D"/>
    <w:rsid w:val="00FC357F"/>
    <w:rsid w:val="00FC4589"/>
    <w:rsid w:val="00FC4643"/>
    <w:rsid w:val="00FC4EDE"/>
    <w:rsid w:val="00FC55BB"/>
    <w:rsid w:val="00FC584B"/>
    <w:rsid w:val="00FC58F1"/>
    <w:rsid w:val="00FC7FAF"/>
    <w:rsid w:val="00FD0C0F"/>
    <w:rsid w:val="00FD135A"/>
    <w:rsid w:val="00FD25E1"/>
    <w:rsid w:val="00FD2985"/>
    <w:rsid w:val="00FD36FA"/>
    <w:rsid w:val="00FD3A45"/>
    <w:rsid w:val="00FD3CBB"/>
    <w:rsid w:val="00FD3E15"/>
    <w:rsid w:val="00FD44C7"/>
    <w:rsid w:val="00FD6226"/>
    <w:rsid w:val="00FD6A9B"/>
    <w:rsid w:val="00FD746B"/>
    <w:rsid w:val="00FD767F"/>
    <w:rsid w:val="00FE1728"/>
    <w:rsid w:val="00FE300D"/>
    <w:rsid w:val="00FE31B2"/>
    <w:rsid w:val="00FE35A9"/>
    <w:rsid w:val="00FE4F80"/>
    <w:rsid w:val="00FE5607"/>
    <w:rsid w:val="00FE5E1A"/>
    <w:rsid w:val="00FE6088"/>
    <w:rsid w:val="00FF09DA"/>
    <w:rsid w:val="00FF0BC4"/>
    <w:rsid w:val="00FF1C68"/>
    <w:rsid w:val="00FF3159"/>
    <w:rsid w:val="00FF48EC"/>
    <w:rsid w:val="00FF58AB"/>
    <w:rsid w:val="00FF65F0"/>
    <w:rsid w:val="00FF772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B9C90"/>
  <w15:docId w15:val="{58AF900E-43E5-47DB-A312-618F734B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989"/>
    <w:pPr>
      <w:spacing w:after="0" w:line="48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8D1DEE"/>
    <w:pPr>
      <w:keepNext/>
      <w:keepLines/>
      <w:spacing w:before="360" w:after="120" w:line="240" w:lineRule="auto"/>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autoRedefine/>
    <w:uiPriority w:val="9"/>
    <w:unhideWhenUsed/>
    <w:qFormat/>
    <w:rsid w:val="00CA5A38"/>
    <w:pPr>
      <w:keepNext/>
      <w:keepLines/>
      <w:spacing w:before="240"/>
      <w:outlineLvl w:val="1"/>
    </w:pPr>
    <w:rPr>
      <w:rFonts w:eastAsiaTheme="majorEastAsia" w:cs="Times New Roman (CS-rubriker)"/>
      <w:b/>
      <w:caps/>
      <w:szCs w:val="26"/>
    </w:rPr>
  </w:style>
  <w:style w:type="paragraph" w:styleId="Rubrik3">
    <w:name w:val="heading 3"/>
    <w:basedOn w:val="Normal"/>
    <w:next w:val="Normal"/>
    <w:link w:val="Rubrik3Char"/>
    <w:uiPriority w:val="9"/>
    <w:unhideWhenUsed/>
    <w:qFormat/>
    <w:rsid w:val="00AF66FF"/>
    <w:pPr>
      <w:outlineLvl w:val="2"/>
    </w:pPr>
    <w:rPr>
      <w:b/>
      <w:iCs/>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ndNoteBibliographyTitle">
    <w:name w:val="EndNote Bibliography Title"/>
    <w:basedOn w:val="Normal"/>
    <w:link w:val="EndNoteBibliographyTitleChar"/>
    <w:rsid w:val="000D3319"/>
    <w:pPr>
      <w:jc w:val="center"/>
    </w:pPr>
    <w:rPr>
      <w:rFonts w:ascii="Calibri" w:hAnsi="Calibri" w:cs="Calibri"/>
      <w:noProof/>
      <w:sz w:val="22"/>
    </w:rPr>
  </w:style>
  <w:style w:type="character" w:customStyle="1" w:styleId="EndNoteBibliographyTitleChar">
    <w:name w:val="EndNote Bibliography Title Char"/>
    <w:basedOn w:val="Standardstycketeckensnitt"/>
    <w:link w:val="EndNoteBibliographyTitle"/>
    <w:rsid w:val="000D3319"/>
    <w:rPr>
      <w:rFonts w:ascii="Calibri" w:eastAsia="Times New Roman" w:hAnsi="Calibri" w:cs="Calibri"/>
      <w:noProof/>
      <w:szCs w:val="24"/>
      <w:lang w:eastAsia="sv-SE"/>
    </w:rPr>
  </w:style>
  <w:style w:type="paragraph" w:customStyle="1" w:styleId="EndNoteBibliography">
    <w:name w:val="EndNote Bibliography"/>
    <w:basedOn w:val="Normal"/>
    <w:link w:val="EndNoteBibliographyChar"/>
    <w:rsid w:val="000D3319"/>
    <w:pPr>
      <w:spacing w:line="240" w:lineRule="auto"/>
    </w:pPr>
    <w:rPr>
      <w:rFonts w:ascii="Calibri" w:hAnsi="Calibri" w:cs="Calibri"/>
      <w:noProof/>
      <w:sz w:val="22"/>
    </w:rPr>
  </w:style>
  <w:style w:type="character" w:customStyle="1" w:styleId="EndNoteBibliographyChar">
    <w:name w:val="EndNote Bibliography Char"/>
    <w:basedOn w:val="Standardstycketeckensnitt"/>
    <w:link w:val="EndNoteBibliography"/>
    <w:rsid w:val="000D3319"/>
    <w:rPr>
      <w:rFonts w:ascii="Calibri" w:eastAsia="Times New Roman" w:hAnsi="Calibri" w:cs="Calibri"/>
      <w:noProof/>
      <w:szCs w:val="24"/>
      <w:lang w:eastAsia="sv-SE"/>
    </w:rPr>
  </w:style>
  <w:style w:type="character" w:styleId="Hyperlnk">
    <w:name w:val="Hyperlink"/>
    <w:basedOn w:val="Standardstycketeckensnitt"/>
    <w:uiPriority w:val="99"/>
    <w:unhideWhenUsed/>
    <w:rsid w:val="003E30E1"/>
    <w:rPr>
      <w:color w:val="0563C1" w:themeColor="hyperlink"/>
      <w:u w:val="single"/>
    </w:rPr>
  </w:style>
  <w:style w:type="paragraph" w:styleId="Ballongtext">
    <w:name w:val="Balloon Text"/>
    <w:basedOn w:val="Normal"/>
    <w:link w:val="BallongtextChar"/>
    <w:uiPriority w:val="99"/>
    <w:semiHidden/>
    <w:unhideWhenUsed/>
    <w:rsid w:val="00541A4A"/>
    <w:rPr>
      <w:sz w:val="18"/>
      <w:szCs w:val="18"/>
    </w:rPr>
  </w:style>
  <w:style w:type="character" w:customStyle="1" w:styleId="BallongtextChar">
    <w:name w:val="Ballongtext Char"/>
    <w:basedOn w:val="Standardstycketeckensnitt"/>
    <w:link w:val="Ballongtext"/>
    <w:uiPriority w:val="99"/>
    <w:semiHidden/>
    <w:rsid w:val="00541A4A"/>
    <w:rPr>
      <w:rFonts w:ascii="Times New Roman" w:hAnsi="Times New Roman" w:cs="Times New Roman"/>
      <w:sz w:val="18"/>
      <w:szCs w:val="18"/>
    </w:rPr>
  </w:style>
  <w:style w:type="character" w:styleId="Kommentarsreferens">
    <w:name w:val="annotation reference"/>
    <w:basedOn w:val="Standardstycketeckensnitt"/>
    <w:uiPriority w:val="99"/>
    <w:semiHidden/>
    <w:unhideWhenUsed/>
    <w:rsid w:val="00541A4A"/>
    <w:rPr>
      <w:sz w:val="18"/>
      <w:szCs w:val="18"/>
    </w:rPr>
  </w:style>
  <w:style w:type="paragraph" w:styleId="Kommentarer">
    <w:name w:val="annotation text"/>
    <w:basedOn w:val="Normal"/>
    <w:link w:val="KommentarerChar"/>
    <w:uiPriority w:val="99"/>
    <w:unhideWhenUsed/>
    <w:rsid w:val="00541A4A"/>
  </w:style>
  <w:style w:type="character" w:customStyle="1" w:styleId="KommentarerChar">
    <w:name w:val="Kommentarer Char"/>
    <w:basedOn w:val="Standardstycketeckensnitt"/>
    <w:link w:val="Kommentarer"/>
    <w:uiPriority w:val="99"/>
    <w:rsid w:val="00541A4A"/>
    <w:rPr>
      <w:sz w:val="24"/>
      <w:szCs w:val="24"/>
    </w:rPr>
  </w:style>
  <w:style w:type="paragraph" w:styleId="Kommentarsmne">
    <w:name w:val="annotation subject"/>
    <w:basedOn w:val="Kommentarer"/>
    <w:next w:val="Kommentarer"/>
    <w:link w:val="KommentarsmneChar"/>
    <w:uiPriority w:val="99"/>
    <w:semiHidden/>
    <w:unhideWhenUsed/>
    <w:rsid w:val="00541A4A"/>
    <w:rPr>
      <w:b/>
      <w:bCs/>
      <w:sz w:val="20"/>
      <w:szCs w:val="20"/>
    </w:rPr>
  </w:style>
  <w:style w:type="character" w:customStyle="1" w:styleId="KommentarsmneChar">
    <w:name w:val="Kommentarsämne Char"/>
    <w:basedOn w:val="KommentarerChar"/>
    <w:link w:val="Kommentarsmne"/>
    <w:uiPriority w:val="99"/>
    <w:semiHidden/>
    <w:rsid w:val="00541A4A"/>
    <w:rPr>
      <w:b/>
      <w:bCs/>
      <w:sz w:val="20"/>
      <w:szCs w:val="20"/>
    </w:rPr>
  </w:style>
  <w:style w:type="character" w:customStyle="1" w:styleId="Rubrik1Char">
    <w:name w:val="Rubrik 1 Char"/>
    <w:basedOn w:val="Standardstycketeckensnitt"/>
    <w:link w:val="Rubrik1"/>
    <w:uiPriority w:val="9"/>
    <w:rsid w:val="008D1DEE"/>
    <w:rPr>
      <w:rFonts w:asciiTheme="majorHAnsi" w:eastAsiaTheme="majorEastAsia" w:hAnsiTheme="majorHAnsi" w:cstheme="majorBidi"/>
      <w:b/>
      <w:sz w:val="32"/>
      <w:szCs w:val="32"/>
      <w:lang w:eastAsia="sv-SE"/>
    </w:rPr>
  </w:style>
  <w:style w:type="character" w:customStyle="1" w:styleId="Rubrik2Char">
    <w:name w:val="Rubrik 2 Char"/>
    <w:basedOn w:val="Standardstycketeckensnitt"/>
    <w:link w:val="Rubrik2"/>
    <w:uiPriority w:val="9"/>
    <w:rsid w:val="00CA5A38"/>
    <w:rPr>
      <w:rFonts w:ascii="Times New Roman" w:eastAsiaTheme="majorEastAsia" w:hAnsi="Times New Roman" w:cs="Times New Roman (CS-rubriker)"/>
      <w:b/>
      <w:caps/>
      <w:sz w:val="24"/>
      <w:szCs w:val="26"/>
      <w:lang w:eastAsia="sv-SE"/>
    </w:rPr>
  </w:style>
  <w:style w:type="table" w:styleId="Tabellrutnt">
    <w:name w:val="Table Grid"/>
    <w:basedOn w:val="Normaltabell"/>
    <w:uiPriority w:val="39"/>
    <w:rsid w:val="00AE2BD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AE2BDA"/>
    <w:pPr>
      <w:spacing w:before="100" w:beforeAutospacing="1" w:after="100" w:afterAutospacing="1"/>
    </w:pPr>
    <w:rPr>
      <w:rFonts w:eastAsiaTheme="minorEastAsia"/>
      <w:lang w:eastAsia="en-AU"/>
    </w:rPr>
  </w:style>
  <w:style w:type="paragraph" w:styleId="Sidhuvud">
    <w:name w:val="header"/>
    <w:basedOn w:val="Normal"/>
    <w:link w:val="SidhuvudChar"/>
    <w:uiPriority w:val="99"/>
    <w:unhideWhenUsed/>
    <w:rsid w:val="00AE2BDA"/>
    <w:pPr>
      <w:tabs>
        <w:tab w:val="center" w:pos="4513"/>
        <w:tab w:val="right" w:pos="9026"/>
      </w:tabs>
    </w:pPr>
  </w:style>
  <w:style w:type="character" w:customStyle="1" w:styleId="SidhuvudChar">
    <w:name w:val="Sidhuvud Char"/>
    <w:basedOn w:val="Standardstycketeckensnitt"/>
    <w:link w:val="Sidhuvud"/>
    <w:uiPriority w:val="99"/>
    <w:rsid w:val="00AE2BDA"/>
    <w:rPr>
      <w:rFonts w:ascii="Times New Roman" w:hAnsi="Times New Roman"/>
      <w:sz w:val="24"/>
      <w:lang w:val="en-US"/>
    </w:rPr>
  </w:style>
  <w:style w:type="paragraph" w:styleId="Sidfot">
    <w:name w:val="footer"/>
    <w:basedOn w:val="Normal"/>
    <w:link w:val="SidfotChar"/>
    <w:uiPriority w:val="99"/>
    <w:unhideWhenUsed/>
    <w:rsid w:val="00AE2BDA"/>
    <w:pPr>
      <w:tabs>
        <w:tab w:val="center" w:pos="4513"/>
        <w:tab w:val="right" w:pos="9026"/>
      </w:tabs>
    </w:pPr>
  </w:style>
  <w:style w:type="character" w:customStyle="1" w:styleId="SidfotChar">
    <w:name w:val="Sidfot Char"/>
    <w:basedOn w:val="Standardstycketeckensnitt"/>
    <w:link w:val="Sidfot"/>
    <w:uiPriority w:val="99"/>
    <w:rsid w:val="00AE2BDA"/>
    <w:rPr>
      <w:rFonts w:ascii="Times New Roman" w:hAnsi="Times New Roman"/>
      <w:sz w:val="24"/>
      <w:lang w:val="en-US"/>
    </w:rPr>
  </w:style>
  <w:style w:type="character" w:styleId="AnvndHyperlnk">
    <w:name w:val="FollowedHyperlink"/>
    <w:basedOn w:val="Standardstycketeckensnitt"/>
    <w:uiPriority w:val="99"/>
    <w:semiHidden/>
    <w:unhideWhenUsed/>
    <w:rsid w:val="00D21752"/>
    <w:rPr>
      <w:color w:val="954F72" w:themeColor="followedHyperlink"/>
      <w:u w:val="single"/>
    </w:rPr>
  </w:style>
  <w:style w:type="paragraph" w:styleId="Revision">
    <w:name w:val="Revision"/>
    <w:hidden/>
    <w:uiPriority w:val="99"/>
    <w:semiHidden/>
    <w:rsid w:val="00F06634"/>
    <w:pPr>
      <w:spacing w:after="0" w:line="240" w:lineRule="auto"/>
    </w:pPr>
    <w:rPr>
      <w:rFonts w:ascii="Times New Roman" w:hAnsi="Times New Roman"/>
      <w:sz w:val="24"/>
      <w:lang w:val="en-US"/>
    </w:rPr>
  </w:style>
  <w:style w:type="character" w:customStyle="1" w:styleId="UnresolvedMention1">
    <w:name w:val="Unresolved Mention1"/>
    <w:basedOn w:val="Standardstycketeckensnitt"/>
    <w:uiPriority w:val="99"/>
    <w:semiHidden/>
    <w:unhideWhenUsed/>
    <w:rsid w:val="00065336"/>
    <w:rPr>
      <w:color w:val="605E5C"/>
      <w:shd w:val="clear" w:color="auto" w:fill="E1DFDD"/>
    </w:rPr>
  </w:style>
  <w:style w:type="paragraph" w:styleId="Liststycke">
    <w:name w:val="List Paragraph"/>
    <w:basedOn w:val="Normal"/>
    <w:uiPriority w:val="34"/>
    <w:qFormat/>
    <w:rsid w:val="00993F9A"/>
    <w:pPr>
      <w:ind w:left="720"/>
      <w:contextualSpacing/>
    </w:pPr>
  </w:style>
  <w:style w:type="paragraph" w:customStyle="1" w:styleId="cl-6e4ad038">
    <w:name w:val="cl-6e4ad038"/>
    <w:basedOn w:val="Normal"/>
    <w:rsid w:val="00033D34"/>
    <w:pPr>
      <w:spacing w:before="100" w:beforeAutospacing="1" w:after="100" w:afterAutospacing="1"/>
    </w:pPr>
  </w:style>
  <w:style w:type="character" w:customStyle="1" w:styleId="cl-6e4ac188">
    <w:name w:val="cl-6e4ac188"/>
    <w:basedOn w:val="Standardstycketeckensnitt"/>
    <w:rsid w:val="00033D34"/>
  </w:style>
  <w:style w:type="paragraph" w:customStyle="1" w:styleId="cl-d12f8f14">
    <w:name w:val="cl-d12f8f14"/>
    <w:basedOn w:val="Normal"/>
    <w:rsid w:val="00B71D0E"/>
    <w:pPr>
      <w:spacing w:before="100" w:beforeAutospacing="1" w:after="100" w:afterAutospacing="1"/>
    </w:pPr>
  </w:style>
  <w:style w:type="character" w:customStyle="1" w:styleId="cl-d12f8636">
    <w:name w:val="cl-d12f8636"/>
    <w:basedOn w:val="Standardstycketeckensnitt"/>
    <w:rsid w:val="00B71D0E"/>
  </w:style>
  <w:style w:type="paragraph" w:customStyle="1" w:styleId="Tabelltext">
    <w:name w:val="Tabelltext"/>
    <w:basedOn w:val="Normal"/>
    <w:qFormat/>
    <w:rsid w:val="000D03AB"/>
    <w:pPr>
      <w:spacing w:after="120"/>
    </w:pPr>
    <w:rPr>
      <w:sz w:val="20"/>
      <w:szCs w:val="20"/>
    </w:rPr>
  </w:style>
  <w:style w:type="paragraph" w:customStyle="1" w:styleId="Tabell">
    <w:name w:val="Tabell"/>
    <w:basedOn w:val="Normal"/>
    <w:qFormat/>
    <w:rsid w:val="000D03AB"/>
    <w:rPr>
      <w:sz w:val="20"/>
      <w:szCs w:val="20"/>
    </w:rPr>
  </w:style>
  <w:style w:type="paragraph" w:customStyle="1" w:styleId="xmsonormal">
    <w:name w:val="x_msonormal"/>
    <w:basedOn w:val="Normal"/>
    <w:rsid w:val="000F748C"/>
    <w:rPr>
      <w:rFonts w:ascii="Calibri" w:hAnsi="Calibri" w:cs="Calibri"/>
      <w:sz w:val="20"/>
      <w:szCs w:val="20"/>
    </w:rPr>
  </w:style>
  <w:style w:type="character" w:customStyle="1" w:styleId="cl-ed588b6e">
    <w:name w:val="cl-ed588b6e"/>
    <w:basedOn w:val="Standardstycketeckensnitt"/>
    <w:rsid w:val="000F748C"/>
  </w:style>
  <w:style w:type="character" w:customStyle="1" w:styleId="cl-10a0b4fc">
    <w:name w:val="cl-10a0b4fc"/>
    <w:basedOn w:val="Standardstycketeckensnitt"/>
    <w:rsid w:val="000F748C"/>
  </w:style>
  <w:style w:type="paragraph" w:customStyle="1" w:styleId="cl-eccfc638">
    <w:name w:val="cl-eccfc638"/>
    <w:basedOn w:val="Normal"/>
    <w:rsid w:val="00361655"/>
    <w:pPr>
      <w:spacing w:before="100" w:beforeAutospacing="1" w:after="100" w:afterAutospacing="1"/>
    </w:pPr>
  </w:style>
  <w:style w:type="character" w:customStyle="1" w:styleId="cl-eccfbdfa">
    <w:name w:val="cl-eccfbdfa"/>
    <w:basedOn w:val="Standardstycketeckensnitt"/>
    <w:rsid w:val="00361655"/>
  </w:style>
  <w:style w:type="paragraph" w:customStyle="1" w:styleId="cl-eccfc639">
    <w:name w:val="cl-eccfc639"/>
    <w:basedOn w:val="Normal"/>
    <w:rsid w:val="00361655"/>
    <w:pPr>
      <w:spacing w:before="100" w:beforeAutospacing="1" w:after="100" w:afterAutospacing="1"/>
    </w:pPr>
  </w:style>
  <w:style w:type="character" w:customStyle="1" w:styleId="cl-eccfbe04">
    <w:name w:val="cl-eccfbe04"/>
    <w:basedOn w:val="Standardstycketeckensnitt"/>
    <w:rsid w:val="00361655"/>
  </w:style>
  <w:style w:type="paragraph" w:customStyle="1" w:styleId="cl-04ac6e32">
    <w:name w:val="cl-04ac6e32"/>
    <w:basedOn w:val="Normal"/>
    <w:rsid w:val="00361655"/>
    <w:pPr>
      <w:spacing w:before="100" w:beforeAutospacing="1" w:after="100" w:afterAutospacing="1"/>
    </w:pPr>
  </w:style>
  <w:style w:type="character" w:customStyle="1" w:styleId="cl-04ac6540">
    <w:name w:val="cl-04ac6540"/>
    <w:basedOn w:val="Standardstycketeckensnitt"/>
    <w:rsid w:val="00361655"/>
  </w:style>
  <w:style w:type="paragraph" w:customStyle="1" w:styleId="cl-04ac6e3c">
    <w:name w:val="cl-04ac6e3c"/>
    <w:basedOn w:val="Normal"/>
    <w:rsid w:val="00361655"/>
    <w:pPr>
      <w:spacing w:before="100" w:beforeAutospacing="1" w:after="100" w:afterAutospacing="1"/>
    </w:pPr>
  </w:style>
  <w:style w:type="character" w:customStyle="1" w:styleId="cl-04ac654a">
    <w:name w:val="cl-04ac654a"/>
    <w:basedOn w:val="Standardstycketeckensnitt"/>
    <w:rsid w:val="00361655"/>
  </w:style>
  <w:style w:type="paragraph" w:customStyle="1" w:styleId="cl-1f65c476">
    <w:name w:val="cl-1f65c476"/>
    <w:basedOn w:val="Normal"/>
    <w:rsid w:val="00361655"/>
    <w:pPr>
      <w:spacing w:before="100" w:beforeAutospacing="1" w:after="100" w:afterAutospacing="1"/>
    </w:pPr>
  </w:style>
  <w:style w:type="character" w:customStyle="1" w:styleId="cl-1f65ba8a">
    <w:name w:val="cl-1f65ba8a"/>
    <w:basedOn w:val="Standardstycketeckensnitt"/>
    <w:rsid w:val="00361655"/>
  </w:style>
  <w:style w:type="paragraph" w:customStyle="1" w:styleId="cl-1f65c477">
    <w:name w:val="cl-1f65c477"/>
    <w:basedOn w:val="Normal"/>
    <w:rsid w:val="00361655"/>
    <w:pPr>
      <w:spacing w:before="100" w:beforeAutospacing="1" w:after="100" w:afterAutospacing="1"/>
    </w:pPr>
  </w:style>
  <w:style w:type="character" w:customStyle="1" w:styleId="cl-1f65ba94">
    <w:name w:val="cl-1f65ba94"/>
    <w:basedOn w:val="Standardstycketeckensnitt"/>
    <w:rsid w:val="00361655"/>
  </w:style>
  <w:style w:type="character" w:customStyle="1" w:styleId="cl-fbcd6400">
    <w:name w:val="cl-fbcd6400"/>
    <w:basedOn w:val="Standardstycketeckensnitt"/>
    <w:rsid w:val="00B53972"/>
  </w:style>
  <w:style w:type="character" w:customStyle="1" w:styleId="cl-3bf63cb4">
    <w:name w:val="cl-3bf63cb4"/>
    <w:basedOn w:val="Standardstycketeckensnitt"/>
    <w:rsid w:val="009528F4"/>
  </w:style>
  <w:style w:type="character" w:customStyle="1" w:styleId="cl-4fc4ce72">
    <w:name w:val="cl-4fc4ce72"/>
    <w:basedOn w:val="Standardstycketeckensnitt"/>
    <w:rsid w:val="009528F4"/>
  </w:style>
  <w:style w:type="character" w:customStyle="1" w:styleId="cl-9d53b44a">
    <w:name w:val="cl-9d53b44a"/>
    <w:basedOn w:val="Standardstycketeckensnitt"/>
    <w:rsid w:val="002364B9"/>
  </w:style>
  <w:style w:type="character" w:customStyle="1" w:styleId="cl-adb7aa10">
    <w:name w:val="cl-adb7aa10"/>
    <w:basedOn w:val="Standardstycketeckensnitt"/>
    <w:rsid w:val="007D33F5"/>
  </w:style>
  <w:style w:type="character" w:customStyle="1" w:styleId="cl-adce4432">
    <w:name w:val="cl-adce4432"/>
    <w:basedOn w:val="Standardstycketeckensnitt"/>
    <w:rsid w:val="007D33F5"/>
  </w:style>
  <w:style w:type="character" w:customStyle="1" w:styleId="cl-23c7ac96">
    <w:name w:val="cl-23c7ac96"/>
    <w:basedOn w:val="Standardstycketeckensnitt"/>
    <w:rsid w:val="00E106CD"/>
  </w:style>
  <w:style w:type="character" w:customStyle="1" w:styleId="cl-23b4192e">
    <w:name w:val="cl-23b4192e"/>
    <w:basedOn w:val="Standardstycketeckensnitt"/>
    <w:rsid w:val="00E106CD"/>
  </w:style>
  <w:style w:type="paragraph" w:styleId="HTML-frformaterad">
    <w:name w:val="HTML Preformatted"/>
    <w:basedOn w:val="Normal"/>
    <w:link w:val="HTML-frformateradChar"/>
    <w:uiPriority w:val="99"/>
    <w:semiHidden/>
    <w:unhideWhenUsed/>
    <w:rsid w:val="00291A72"/>
    <w:pPr>
      <w:spacing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291A72"/>
    <w:rPr>
      <w:rFonts w:ascii="Consolas" w:eastAsia="Times New Roman" w:hAnsi="Consolas" w:cs="Times New Roman"/>
      <w:sz w:val="20"/>
      <w:szCs w:val="20"/>
      <w:lang w:eastAsia="sv-SE"/>
    </w:rPr>
  </w:style>
  <w:style w:type="table" w:styleId="Tabellrutntljust">
    <w:name w:val="Grid Table Light"/>
    <w:basedOn w:val="Normaltabell"/>
    <w:uiPriority w:val="40"/>
    <w:rsid w:val="00D15E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adnummer">
    <w:name w:val="line number"/>
    <w:basedOn w:val="Standardstycketeckensnitt"/>
    <w:uiPriority w:val="99"/>
    <w:semiHidden/>
    <w:unhideWhenUsed/>
    <w:rsid w:val="00B1048D"/>
  </w:style>
  <w:style w:type="character" w:customStyle="1" w:styleId="Olstomnmnande1">
    <w:name w:val="Olöst omnämnande1"/>
    <w:basedOn w:val="Standardstycketeckensnitt"/>
    <w:uiPriority w:val="99"/>
    <w:semiHidden/>
    <w:unhideWhenUsed/>
    <w:rsid w:val="002B2A58"/>
    <w:rPr>
      <w:color w:val="605E5C"/>
      <w:shd w:val="clear" w:color="auto" w:fill="E1DFDD"/>
    </w:rPr>
  </w:style>
  <w:style w:type="character" w:customStyle="1" w:styleId="Rubrik3Char">
    <w:name w:val="Rubrik 3 Char"/>
    <w:basedOn w:val="Standardstycketeckensnitt"/>
    <w:link w:val="Rubrik3"/>
    <w:uiPriority w:val="9"/>
    <w:rsid w:val="00AF66FF"/>
    <w:rPr>
      <w:rFonts w:ascii="Times New Roman" w:eastAsia="Times New Roman" w:hAnsi="Times New Roman" w:cs="Times New Roman"/>
      <w:b/>
      <w:iCs/>
      <w:sz w:val="24"/>
      <w:szCs w:val="24"/>
      <w:lang w:val="en-GB" w:eastAsia="sv-SE"/>
    </w:rPr>
  </w:style>
  <w:style w:type="character" w:customStyle="1" w:styleId="apple-converted-space">
    <w:name w:val="apple-converted-space"/>
    <w:basedOn w:val="Standardstycketeckensnitt"/>
    <w:rsid w:val="008514B1"/>
  </w:style>
  <w:style w:type="character" w:customStyle="1" w:styleId="outlook-search-highlight">
    <w:name w:val="outlook-search-highlight"/>
    <w:basedOn w:val="Standardstycketeckensnitt"/>
    <w:rsid w:val="008514B1"/>
  </w:style>
  <w:style w:type="character" w:styleId="Olstomnmnande">
    <w:name w:val="Unresolved Mention"/>
    <w:basedOn w:val="Standardstycketeckensnitt"/>
    <w:uiPriority w:val="99"/>
    <w:semiHidden/>
    <w:unhideWhenUsed/>
    <w:rsid w:val="00CA5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111">
      <w:bodyDiv w:val="1"/>
      <w:marLeft w:val="0"/>
      <w:marRight w:val="0"/>
      <w:marTop w:val="0"/>
      <w:marBottom w:val="0"/>
      <w:divBdr>
        <w:top w:val="none" w:sz="0" w:space="0" w:color="auto"/>
        <w:left w:val="none" w:sz="0" w:space="0" w:color="auto"/>
        <w:bottom w:val="none" w:sz="0" w:space="0" w:color="auto"/>
        <w:right w:val="none" w:sz="0" w:space="0" w:color="auto"/>
      </w:divBdr>
      <w:divsChild>
        <w:div w:id="995761249">
          <w:marLeft w:val="0"/>
          <w:marRight w:val="0"/>
          <w:marTop w:val="0"/>
          <w:marBottom w:val="0"/>
          <w:divBdr>
            <w:top w:val="none" w:sz="0" w:space="0" w:color="auto"/>
            <w:left w:val="none" w:sz="0" w:space="0" w:color="auto"/>
            <w:bottom w:val="none" w:sz="0" w:space="0" w:color="auto"/>
            <w:right w:val="none" w:sz="0" w:space="0" w:color="auto"/>
          </w:divBdr>
          <w:divsChild>
            <w:div w:id="1695770040">
              <w:marLeft w:val="0"/>
              <w:marRight w:val="0"/>
              <w:marTop w:val="0"/>
              <w:marBottom w:val="0"/>
              <w:divBdr>
                <w:top w:val="none" w:sz="0" w:space="0" w:color="auto"/>
                <w:left w:val="none" w:sz="0" w:space="0" w:color="auto"/>
                <w:bottom w:val="none" w:sz="0" w:space="0" w:color="auto"/>
                <w:right w:val="none" w:sz="0" w:space="0" w:color="auto"/>
              </w:divBdr>
              <w:divsChild>
                <w:div w:id="1143424114">
                  <w:marLeft w:val="0"/>
                  <w:marRight w:val="0"/>
                  <w:marTop w:val="0"/>
                  <w:marBottom w:val="0"/>
                  <w:divBdr>
                    <w:top w:val="none" w:sz="0" w:space="0" w:color="auto"/>
                    <w:left w:val="none" w:sz="0" w:space="0" w:color="auto"/>
                    <w:bottom w:val="none" w:sz="0" w:space="0" w:color="auto"/>
                    <w:right w:val="none" w:sz="0" w:space="0" w:color="auto"/>
                  </w:divBdr>
                  <w:divsChild>
                    <w:div w:id="130708326">
                      <w:marLeft w:val="0"/>
                      <w:marRight w:val="150"/>
                      <w:marTop w:val="0"/>
                      <w:marBottom w:val="0"/>
                      <w:divBdr>
                        <w:top w:val="none" w:sz="0" w:space="0" w:color="auto"/>
                        <w:left w:val="none" w:sz="0" w:space="0" w:color="auto"/>
                        <w:bottom w:val="none" w:sz="0" w:space="0" w:color="auto"/>
                        <w:right w:val="none" w:sz="0" w:space="0" w:color="auto"/>
                      </w:divBdr>
                    </w:div>
                    <w:div w:id="1937901572">
                      <w:marLeft w:val="0"/>
                      <w:marRight w:val="150"/>
                      <w:marTop w:val="0"/>
                      <w:marBottom w:val="0"/>
                      <w:divBdr>
                        <w:top w:val="none" w:sz="0" w:space="0" w:color="auto"/>
                        <w:left w:val="none" w:sz="0" w:space="0" w:color="auto"/>
                        <w:bottom w:val="none" w:sz="0" w:space="0" w:color="auto"/>
                        <w:right w:val="none" w:sz="0" w:space="0" w:color="auto"/>
                      </w:divBdr>
                      <w:divsChild>
                        <w:div w:id="826895594">
                          <w:marLeft w:val="0"/>
                          <w:marRight w:val="150"/>
                          <w:marTop w:val="0"/>
                          <w:marBottom w:val="0"/>
                          <w:divBdr>
                            <w:top w:val="none" w:sz="0" w:space="0" w:color="auto"/>
                            <w:left w:val="none" w:sz="0" w:space="0" w:color="auto"/>
                            <w:bottom w:val="none" w:sz="0" w:space="0" w:color="auto"/>
                            <w:right w:val="none" w:sz="0" w:space="0" w:color="auto"/>
                          </w:divBdr>
                        </w:div>
                      </w:divsChild>
                    </w:div>
                    <w:div w:id="1749691734">
                      <w:marLeft w:val="0"/>
                      <w:marRight w:val="150"/>
                      <w:marTop w:val="0"/>
                      <w:marBottom w:val="0"/>
                      <w:divBdr>
                        <w:top w:val="none" w:sz="0" w:space="0" w:color="auto"/>
                        <w:left w:val="none" w:sz="0" w:space="0" w:color="auto"/>
                        <w:bottom w:val="none" w:sz="0" w:space="0" w:color="auto"/>
                        <w:right w:val="none" w:sz="0" w:space="0" w:color="auto"/>
                      </w:divBdr>
                      <w:divsChild>
                        <w:div w:id="107093700">
                          <w:marLeft w:val="0"/>
                          <w:marRight w:val="150"/>
                          <w:marTop w:val="0"/>
                          <w:marBottom w:val="0"/>
                          <w:divBdr>
                            <w:top w:val="none" w:sz="0" w:space="0" w:color="auto"/>
                            <w:left w:val="none" w:sz="0" w:space="0" w:color="auto"/>
                            <w:bottom w:val="none" w:sz="0" w:space="0" w:color="auto"/>
                            <w:right w:val="none" w:sz="0" w:space="0" w:color="auto"/>
                          </w:divBdr>
                        </w:div>
                      </w:divsChild>
                    </w:div>
                    <w:div w:id="503205144">
                      <w:marLeft w:val="0"/>
                      <w:marRight w:val="150"/>
                      <w:marTop w:val="0"/>
                      <w:marBottom w:val="0"/>
                      <w:divBdr>
                        <w:top w:val="none" w:sz="0" w:space="0" w:color="auto"/>
                        <w:left w:val="none" w:sz="0" w:space="0" w:color="auto"/>
                        <w:bottom w:val="none" w:sz="0" w:space="0" w:color="auto"/>
                        <w:right w:val="none" w:sz="0" w:space="0" w:color="auto"/>
                      </w:divBdr>
                      <w:divsChild>
                        <w:div w:id="12572085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36254397">
              <w:marLeft w:val="0"/>
              <w:marRight w:val="0"/>
              <w:marTop w:val="0"/>
              <w:marBottom w:val="0"/>
              <w:divBdr>
                <w:top w:val="none" w:sz="0" w:space="0" w:color="auto"/>
                <w:left w:val="none" w:sz="0" w:space="0" w:color="auto"/>
                <w:bottom w:val="none" w:sz="0" w:space="0" w:color="auto"/>
                <w:right w:val="none" w:sz="0" w:space="0" w:color="auto"/>
              </w:divBdr>
            </w:div>
            <w:div w:id="1433279805">
              <w:marLeft w:val="0"/>
              <w:marRight w:val="0"/>
              <w:marTop w:val="0"/>
              <w:marBottom w:val="0"/>
              <w:divBdr>
                <w:top w:val="none" w:sz="0" w:space="0" w:color="auto"/>
                <w:left w:val="none" w:sz="0" w:space="0" w:color="auto"/>
                <w:bottom w:val="none" w:sz="0" w:space="0" w:color="auto"/>
                <w:right w:val="none" w:sz="0" w:space="0" w:color="auto"/>
              </w:divBdr>
            </w:div>
            <w:div w:id="1032027390">
              <w:marLeft w:val="0"/>
              <w:marRight w:val="0"/>
              <w:marTop w:val="0"/>
              <w:marBottom w:val="0"/>
              <w:divBdr>
                <w:top w:val="none" w:sz="0" w:space="0" w:color="auto"/>
                <w:left w:val="none" w:sz="0" w:space="0" w:color="auto"/>
                <w:bottom w:val="none" w:sz="0" w:space="0" w:color="auto"/>
                <w:right w:val="none" w:sz="0" w:space="0" w:color="auto"/>
              </w:divBdr>
            </w:div>
            <w:div w:id="1532064662">
              <w:marLeft w:val="0"/>
              <w:marRight w:val="0"/>
              <w:marTop w:val="0"/>
              <w:marBottom w:val="0"/>
              <w:divBdr>
                <w:top w:val="none" w:sz="0" w:space="0" w:color="auto"/>
                <w:left w:val="none" w:sz="0" w:space="0" w:color="auto"/>
                <w:bottom w:val="none" w:sz="0" w:space="0" w:color="auto"/>
                <w:right w:val="none" w:sz="0" w:space="0" w:color="auto"/>
              </w:divBdr>
            </w:div>
            <w:div w:id="1683237400">
              <w:marLeft w:val="0"/>
              <w:marRight w:val="0"/>
              <w:marTop w:val="0"/>
              <w:marBottom w:val="0"/>
              <w:divBdr>
                <w:top w:val="none" w:sz="0" w:space="0" w:color="auto"/>
                <w:left w:val="none" w:sz="0" w:space="0" w:color="auto"/>
                <w:bottom w:val="none" w:sz="0" w:space="0" w:color="auto"/>
                <w:right w:val="none" w:sz="0" w:space="0" w:color="auto"/>
              </w:divBdr>
            </w:div>
            <w:div w:id="2095739378">
              <w:marLeft w:val="0"/>
              <w:marRight w:val="0"/>
              <w:marTop w:val="0"/>
              <w:marBottom w:val="0"/>
              <w:divBdr>
                <w:top w:val="none" w:sz="0" w:space="0" w:color="auto"/>
                <w:left w:val="none" w:sz="0" w:space="0" w:color="auto"/>
                <w:bottom w:val="none" w:sz="0" w:space="0" w:color="auto"/>
                <w:right w:val="none" w:sz="0" w:space="0" w:color="auto"/>
              </w:divBdr>
            </w:div>
            <w:div w:id="170993462">
              <w:marLeft w:val="0"/>
              <w:marRight w:val="0"/>
              <w:marTop w:val="0"/>
              <w:marBottom w:val="0"/>
              <w:divBdr>
                <w:top w:val="none" w:sz="0" w:space="0" w:color="auto"/>
                <w:left w:val="none" w:sz="0" w:space="0" w:color="auto"/>
                <w:bottom w:val="none" w:sz="0" w:space="0" w:color="auto"/>
                <w:right w:val="none" w:sz="0" w:space="0" w:color="auto"/>
              </w:divBdr>
            </w:div>
            <w:div w:id="1755055270">
              <w:marLeft w:val="0"/>
              <w:marRight w:val="0"/>
              <w:marTop w:val="0"/>
              <w:marBottom w:val="0"/>
              <w:divBdr>
                <w:top w:val="none" w:sz="0" w:space="0" w:color="auto"/>
                <w:left w:val="none" w:sz="0" w:space="0" w:color="auto"/>
                <w:bottom w:val="none" w:sz="0" w:space="0" w:color="auto"/>
                <w:right w:val="none" w:sz="0" w:space="0" w:color="auto"/>
              </w:divBdr>
            </w:div>
            <w:div w:id="1581135444">
              <w:marLeft w:val="0"/>
              <w:marRight w:val="0"/>
              <w:marTop w:val="0"/>
              <w:marBottom w:val="0"/>
              <w:divBdr>
                <w:top w:val="none" w:sz="0" w:space="0" w:color="auto"/>
                <w:left w:val="none" w:sz="0" w:space="0" w:color="auto"/>
                <w:bottom w:val="none" w:sz="0" w:space="0" w:color="auto"/>
                <w:right w:val="none" w:sz="0" w:space="0" w:color="auto"/>
              </w:divBdr>
            </w:div>
            <w:div w:id="1592157410">
              <w:marLeft w:val="0"/>
              <w:marRight w:val="0"/>
              <w:marTop w:val="0"/>
              <w:marBottom w:val="0"/>
              <w:divBdr>
                <w:top w:val="none" w:sz="0" w:space="0" w:color="auto"/>
                <w:left w:val="none" w:sz="0" w:space="0" w:color="auto"/>
                <w:bottom w:val="none" w:sz="0" w:space="0" w:color="auto"/>
                <w:right w:val="none" w:sz="0" w:space="0" w:color="auto"/>
              </w:divBdr>
            </w:div>
            <w:div w:id="1271283765">
              <w:marLeft w:val="0"/>
              <w:marRight w:val="0"/>
              <w:marTop w:val="0"/>
              <w:marBottom w:val="0"/>
              <w:divBdr>
                <w:top w:val="none" w:sz="0" w:space="0" w:color="auto"/>
                <w:left w:val="none" w:sz="0" w:space="0" w:color="auto"/>
                <w:bottom w:val="none" w:sz="0" w:space="0" w:color="auto"/>
                <w:right w:val="none" w:sz="0" w:space="0" w:color="auto"/>
              </w:divBdr>
            </w:div>
            <w:div w:id="1212303352">
              <w:marLeft w:val="0"/>
              <w:marRight w:val="0"/>
              <w:marTop w:val="0"/>
              <w:marBottom w:val="0"/>
              <w:divBdr>
                <w:top w:val="none" w:sz="0" w:space="0" w:color="auto"/>
                <w:left w:val="none" w:sz="0" w:space="0" w:color="auto"/>
                <w:bottom w:val="none" w:sz="0" w:space="0" w:color="auto"/>
                <w:right w:val="none" w:sz="0" w:space="0" w:color="auto"/>
              </w:divBdr>
            </w:div>
            <w:div w:id="37243274">
              <w:marLeft w:val="0"/>
              <w:marRight w:val="0"/>
              <w:marTop w:val="0"/>
              <w:marBottom w:val="0"/>
              <w:divBdr>
                <w:top w:val="none" w:sz="0" w:space="0" w:color="auto"/>
                <w:left w:val="none" w:sz="0" w:space="0" w:color="auto"/>
                <w:bottom w:val="none" w:sz="0" w:space="0" w:color="auto"/>
                <w:right w:val="none" w:sz="0" w:space="0" w:color="auto"/>
              </w:divBdr>
            </w:div>
            <w:div w:id="1430616494">
              <w:marLeft w:val="0"/>
              <w:marRight w:val="0"/>
              <w:marTop w:val="0"/>
              <w:marBottom w:val="0"/>
              <w:divBdr>
                <w:top w:val="none" w:sz="0" w:space="0" w:color="auto"/>
                <w:left w:val="none" w:sz="0" w:space="0" w:color="auto"/>
                <w:bottom w:val="none" w:sz="0" w:space="0" w:color="auto"/>
                <w:right w:val="none" w:sz="0" w:space="0" w:color="auto"/>
              </w:divBdr>
            </w:div>
            <w:div w:id="1162543980">
              <w:marLeft w:val="0"/>
              <w:marRight w:val="0"/>
              <w:marTop w:val="0"/>
              <w:marBottom w:val="0"/>
              <w:divBdr>
                <w:top w:val="none" w:sz="0" w:space="0" w:color="auto"/>
                <w:left w:val="none" w:sz="0" w:space="0" w:color="auto"/>
                <w:bottom w:val="none" w:sz="0" w:space="0" w:color="auto"/>
                <w:right w:val="none" w:sz="0" w:space="0" w:color="auto"/>
              </w:divBdr>
            </w:div>
            <w:div w:id="1192374030">
              <w:marLeft w:val="0"/>
              <w:marRight w:val="0"/>
              <w:marTop w:val="0"/>
              <w:marBottom w:val="0"/>
              <w:divBdr>
                <w:top w:val="none" w:sz="0" w:space="0" w:color="auto"/>
                <w:left w:val="none" w:sz="0" w:space="0" w:color="auto"/>
                <w:bottom w:val="none" w:sz="0" w:space="0" w:color="auto"/>
                <w:right w:val="none" w:sz="0" w:space="0" w:color="auto"/>
              </w:divBdr>
            </w:div>
            <w:div w:id="956450056">
              <w:marLeft w:val="0"/>
              <w:marRight w:val="0"/>
              <w:marTop w:val="0"/>
              <w:marBottom w:val="0"/>
              <w:divBdr>
                <w:top w:val="none" w:sz="0" w:space="0" w:color="auto"/>
                <w:left w:val="none" w:sz="0" w:space="0" w:color="auto"/>
                <w:bottom w:val="none" w:sz="0" w:space="0" w:color="auto"/>
                <w:right w:val="none" w:sz="0" w:space="0" w:color="auto"/>
              </w:divBdr>
            </w:div>
            <w:div w:id="1819494281">
              <w:marLeft w:val="0"/>
              <w:marRight w:val="0"/>
              <w:marTop w:val="0"/>
              <w:marBottom w:val="0"/>
              <w:divBdr>
                <w:top w:val="none" w:sz="0" w:space="0" w:color="auto"/>
                <w:left w:val="none" w:sz="0" w:space="0" w:color="auto"/>
                <w:bottom w:val="none" w:sz="0" w:space="0" w:color="auto"/>
                <w:right w:val="none" w:sz="0" w:space="0" w:color="auto"/>
              </w:divBdr>
            </w:div>
            <w:div w:id="1860925131">
              <w:marLeft w:val="0"/>
              <w:marRight w:val="0"/>
              <w:marTop w:val="0"/>
              <w:marBottom w:val="0"/>
              <w:divBdr>
                <w:top w:val="none" w:sz="0" w:space="0" w:color="auto"/>
                <w:left w:val="none" w:sz="0" w:space="0" w:color="auto"/>
                <w:bottom w:val="none" w:sz="0" w:space="0" w:color="auto"/>
                <w:right w:val="none" w:sz="0" w:space="0" w:color="auto"/>
              </w:divBdr>
            </w:div>
            <w:div w:id="2026899148">
              <w:marLeft w:val="0"/>
              <w:marRight w:val="0"/>
              <w:marTop w:val="0"/>
              <w:marBottom w:val="0"/>
              <w:divBdr>
                <w:top w:val="none" w:sz="0" w:space="0" w:color="auto"/>
                <w:left w:val="none" w:sz="0" w:space="0" w:color="auto"/>
                <w:bottom w:val="none" w:sz="0" w:space="0" w:color="auto"/>
                <w:right w:val="none" w:sz="0" w:space="0" w:color="auto"/>
              </w:divBdr>
            </w:div>
          </w:divsChild>
        </w:div>
        <w:div w:id="923492345">
          <w:marLeft w:val="0"/>
          <w:marRight w:val="0"/>
          <w:marTop w:val="0"/>
          <w:marBottom w:val="0"/>
          <w:divBdr>
            <w:top w:val="single" w:sz="6" w:space="4" w:color="0C1F30"/>
            <w:left w:val="none" w:sz="0" w:space="4" w:color="0C1F30"/>
            <w:bottom w:val="none" w:sz="0" w:space="4" w:color="0C1F30"/>
            <w:right w:val="none" w:sz="0" w:space="4" w:color="0C1F30"/>
          </w:divBdr>
        </w:div>
      </w:divsChild>
    </w:div>
    <w:div w:id="30883338">
      <w:bodyDiv w:val="1"/>
      <w:marLeft w:val="0"/>
      <w:marRight w:val="0"/>
      <w:marTop w:val="0"/>
      <w:marBottom w:val="0"/>
      <w:divBdr>
        <w:top w:val="none" w:sz="0" w:space="0" w:color="auto"/>
        <w:left w:val="none" w:sz="0" w:space="0" w:color="auto"/>
        <w:bottom w:val="none" w:sz="0" w:space="0" w:color="auto"/>
        <w:right w:val="none" w:sz="0" w:space="0" w:color="auto"/>
      </w:divBdr>
      <w:divsChild>
        <w:div w:id="109906811">
          <w:marLeft w:val="0"/>
          <w:marRight w:val="0"/>
          <w:marTop w:val="0"/>
          <w:marBottom w:val="0"/>
          <w:divBdr>
            <w:top w:val="none" w:sz="0" w:space="0" w:color="auto"/>
            <w:left w:val="none" w:sz="0" w:space="0" w:color="auto"/>
            <w:bottom w:val="none" w:sz="0" w:space="0" w:color="auto"/>
            <w:right w:val="none" w:sz="0" w:space="0" w:color="auto"/>
          </w:divBdr>
          <w:divsChild>
            <w:div w:id="1210188700">
              <w:marLeft w:val="0"/>
              <w:marRight w:val="0"/>
              <w:marTop w:val="0"/>
              <w:marBottom w:val="0"/>
              <w:divBdr>
                <w:top w:val="none" w:sz="0" w:space="0" w:color="auto"/>
                <w:left w:val="none" w:sz="0" w:space="0" w:color="auto"/>
                <w:bottom w:val="none" w:sz="0" w:space="0" w:color="auto"/>
                <w:right w:val="none" w:sz="0" w:space="0" w:color="auto"/>
              </w:divBdr>
              <w:divsChild>
                <w:div w:id="883177007">
                  <w:marLeft w:val="0"/>
                  <w:marRight w:val="0"/>
                  <w:marTop w:val="0"/>
                  <w:marBottom w:val="0"/>
                  <w:divBdr>
                    <w:top w:val="none" w:sz="0" w:space="0" w:color="auto"/>
                    <w:left w:val="none" w:sz="0" w:space="0" w:color="auto"/>
                    <w:bottom w:val="none" w:sz="0" w:space="0" w:color="auto"/>
                    <w:right w:val="none" w:sz="0" w:space="0" w:color="auto"/>
                  </w:divBdr>
                  <w:divsChild>
                    <w:div w:id="17970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01256">
      <w:bodyDiv w:val="1"/>
      <w:marLeft w:val="0"/>
      <w:marRight w:val="0"/>
      <w:marTop w:val="0"/>
      <w:marBottom w:val="0"/>
      <w:divBdr>
        <w:top w:val="none" w:sz="0" w:space="0" w:color="auto"/>
        <w:left w:val="none" w:sz="0" w:space="0" w:color="auto"/>
        <w:bottom w:val="none" w:sz="0" w:space="0" w:color="auto"/>
        <w:right w:val="none" w:sz="0" w:space="0" w:color="auto"/>
      </w:divBdr>
    </w:div>
    <w:div w:id="207648933">
      <w:bodyDiv w:val="1"/>
      <w:marLeft w:val="0"/>
      <w:marRight w:val="0"/>
      <w:marTop w:val="0"/>
      <w:marBottom w:val="0"/>
      <w:divBdr>
        <w:top w:val="none" w:sz="0" w:space="0" w:color="auto"/>
        <w:left w:val="none" w:sz="0" w:space="0" w:color="auto"/>
        <w:bottom w:val="none" w:sz="0" w:space="0" w:color="auto"/>
        <w:right w:val="none" w:sz="0" w:space="0" w:color="auto"/>
      </w:divBdr>
    </w:div>
    <w:div w:id="215817270">
      <w:bodyDiv w:val="1"/>
      <w:marLeft w:val="0"/>
      <w:marRight w:val="0"/>
      <w:marTop w:val="0"/>
      <w:marBottom w:val="0"/>
      <w:divBdr>
        <w:top w:val="none" w:sz="0" w:space="0" w:color="auto"/>
        <w:left w:val="none" w:sz="0" w:space="0" w:color="auto"/>
        <w:bottom w:val="none" w:sz="0" w:space="0" w:color="auto"/>
        <w:right w:val="none" w:sz="0" w:space="0" w:color="auto"/>
      </w:divBdr>
    </w:div>
    <w:div w:id="244728423">
      <w:bodyDiv w:val="1"/>
      <w:marLeft w:val="0"/>
      <w:marRight w:val="0"/>
      <w:marTop w:val="0"/>
      <w:marBottom w:val="0"/>
      <w:divBdr>
        <w:top w:val="none" w:sz="0" w:space="0" w:color="auto"/>
        <w:left w:val="none" w:sz="0" w:space="0" w:color="auto"/>
        <w:bottom w:val="none" w:sz="0" w:space="0" w:color="auto"/>
        <w:right w:val="none" w:sz="0" w:space="0" w:color="auto"/>
      </w:divBdr>
    </w:div>
    <w:div w:id="306865509">
      <w:bodyDiv w:val="1"/>
      <w:marLeft w:val="0"/>
      <w:marRight w:val="0"/>
      <w:marTop w:val="0"/>
      <w:marBottom w:val="0"/>
      <w:divBdr>
        <w:top w:val="none" w:sz="0" w:space="0" w:color="auto"/>
        <w:left w:val="none" w:sz="0" w:space="0" w:color="auto"/>
        <w:bottom w:val="none" w:sz="0" w:space="0" w:color="auto"/>
        <w:right w:val="none" w:sz="0" w:space="0" w:color="auto"/>
      </w:divBdr>
      <w:divsChild>
        <w:div w:id="760225694">
          <w:marLeft w:val="0"/>
          <w:marRight w:val="0"/>
          <w:marTop w:val="0"/>
          <w:marBottom w:val="0"/>
          <w:divBdr>
            <w:top w:val="none" w:sz="0" w:space="0" w:color="auto"/>
            <w:left w:val="none" w:sz="0" w:space="0" w:color="auto"/>
            <w:bottom w:val="none" w:sz="0" w:space="0" w:color="auto"/>
            <w:right w:val="none" w:sz="0" w:space="0" w:color="auto"/>
          </w:divBdr>
          <w:divsChild>
            <w:div w:id="1052652409">
              <w:marLeft w:val="0"/>
              <w:marRight w:val="0"/>
              <w:marTop w:val="0"/>
              <w:marBottom w:val="0"/>
              <w:divBdr>
                <w:top w:val="none" w:sz="0" w:space="0" w:color="auto"/>
                <w:left w:val="none" w:sz="0" w:space="0" w:color="auto"/>
                <w:bottom w:val="none" w:sz="0" w:space="0" w:color="auto"/>
                <w:right w:val="none" w:sz="0" w:space="0" w:color="auto"/>
              </w:divBdr>
              <w:divsChild>
                <w:div w:id="1090154162">
                  <w:marLeft w:val="0"/>
                  <w:marRight w:val="0"/>
                  <w:marTop w:val="0"/>
                  <w:marBottom w:val="0"/>
                  <w:divBdr>
                    <w:top w:val="none" w:sz="0" w:space="0" w:color="auto"/>
                    <w:left w:val="none" w:sz="0" w:space="0" w:color="auto"/>
                    <w:bottom w:val="none" w:sz="0" w:space="0" w:color="auto"/>
                    <w:right w:val="none" w:sz="0" w:space="0" w:color="auto"/>
                  </w:divBdr>
                  <w:divsChild>
                    <w:div w:id="12062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15455">
      <w:bodyDiv w:val="1"/>
      <w:marLeft w:val="0"/>
      <w:marRight w:val="0"/>
      <w:marTop w:val="0"/>
      <w:marBottom w:val="0"/>
      <w:divBdr>
        <w:top w:val="none" w:sz="0" w:space="0" w:color="auto"/>
        <w:left w:val="none" w:sz="0" w:space="0" w:color="auto"/>
        <w:bottom w:val="none" w:sz="0" w:space="0" w:color="auto"/>
        <w:right w:val="none" w:sz="0" w:space="0" w:color="auto"/>
      </w:divBdr>
    </w:div>
    <w:div w:id="341324422">
      <w:bodyDiv w:val="1"/>
      <w:marLeft w:val="0"/>
      <w:marRight w:val="0"/>
      <w:marTop w:val="0"/>
      <w:marBottom w:val="0"/>
      <w:divBdr>
        <w:top w:val="none" w:sz="0" w:space="0" w:color="auto"/>
        <w:left w:val="none" w:sz="0" w:space="0" w:color="auto"/>
        <w:bottom w:val="none" w:sz="0" w:space="0" w:color="auto"/>
        <w:right w:val="none" w:sz="0" w:space="0" w:color="auto"/>
      </w:divBdr>
    </w:div>
    <w:div w:id="429811400">
      <w:bodyDiv w:val="1"/>
      <w:marLeft w:val="0"/>
      <w:marRight w:val="0"/>
      <w:marTop w:val="0"/>
      <w:marBottom w:val="0"/>
      <w:divBdr>
        <w:top w:val="none" w:sz="0" w:space="0" w:color="auto"/>
        <w:left w:val="none" w:sz="0" w:space="0" w:color="auto"/>
        <w:bottom w:val="none" w:sz="0" w:space="0" w:color="auto"/>
        <w:right w:val="none" w:sz="0" w:space="0" w:color="auto"/>
      </w:divBdr>
    </w:div>
    <w:div w:id="473908698">
      <w:bodyDiv w:val="1"/>
      <w:marLeft w:val="0"/>
      <w:marRight w:val="0"/>
      <w:marTop w:val="0"/>
      <w:marBottom w:val="0"/>
      <w:divBdr>
        <w:top w:val="none" w:sz="0" w:space="0" w:color="auto"/>
        <w:left w:val="none" w:sz="0" w:space="0" w:color="auto"/>
        <w:bottom w:val="none" w:sz="0" w:space="0" w:color="auto"/>
        <w:right w:val="none" w:sz="0" w:space="0" w:color="auto"/>
      </w:divBdr>
    </w:div>
    <w:div w:id="536505086">
      <w:bodyDiv w:val="1"/>
      <w:marLeft w:val="0"/>
      <w:marRight w:val="0"/>
      <w:marTop w:val="0"/>
      <w:marBottom w:val="0"/>
      <w:divBdr>
        <w:top w:val="none" w:sz="0" w:space="0" w:color="auto"/>
        <w:left w:val="none" w:sz="0" w:space="0" w:color="auto"/>
        <w:bottom w:val="none" w:sz="0" w:space="0" w:color="auto"/>
        <w:right w:val="none" w:sz="0" w:space="0" w:color="auto"/>
      </w:divBdr>
    </w:div>
    <w:div w:id="549223287">
      <w:bodyDiv w:val="1"/>
      <w:marLeft w:val="0"/>
      <w:marRight w:val="0"/>
      <w:marTop w:val="0"/>
      <w:marBottom w:val="0"/>
      <w:divBdr>
        <w:top w:val="none" w:sz="0" w:space="0" w:color="auto"/>
        <w:left w:val="none" w:sz="0" w:space="0" w:color="auto"/>
        <w:bottom w:val="none" w:sz="0" w:space="0" w:color="auto"/>
        <w:right w:val="none" w:sz="0" w:space="0" w:color="auto"/>
      </w:divBdr>
    </w:div>
    <w:div w:id="569853970">
      <w:bodyDiv w:val="1"/>
      <w:marLeft w:val="0"/>
      <w:marRight w:val="0"/>
      <w:marTop w:val="0"/>
      <w:marBottom w:val="0"/>
      <w:divBdr>
        <w:top w:val="none" w:sz="0" w:space="0" w:color="auto"/>
        <w:left w:val="none" w:sz="0" w:space="0" w:color="auto"/>
        <w:bottom w:val="none" w:sz="0" w:space="0" w:color="auto"/>
        <w:right w:val="none" w:sz="0" w:space="0" w:color="auto"/>
      </w:divBdr>
    </w:div>
    <w:div w:id="659965944">
      <w:bodyDiv w:val="1"/>
      <w:marLeft w:val="0"/>
      <w:marRight w:val="0"/>
      <w:marTop w:val="0"/>
      <w:marBottom w:val="0"/>
      <w:divBdr>
        <w:top w:val="none" w:sz="0" w:space="0" w:color="auto"/>
        <w:left w:val="none" w:sz="0" w:space="0" w:color="auto"/>
        <w:bottom w:val="none" w:sz="0" w:space="0" w:color="auto"/>
        <w:right w:val="none" w:sz="0" w:space="0" w:color="auto"/>
      </w:divBdr>
      <w:divsChild>
        <w:div w:id="238444775">
          <w:marLeft w:val="0"/>
          <w:marRight w:val="0"/>
          <w:marTop w:val="0"/>
          <w:marBottom w:val="0"/>
          <w:divBdr>
            <w:top w:val="none" w:sz="0" w:space="0" w:color="auto"/>
            <w:left w:val="none" w:sz="0" w:space="0" w:color="auto"/>
            <w:bottom w:val="none" w:sz="0" w:space="0" w:color="auto"/>
            <w:right w:val="none" w:sz="0" w:space="0" w:color="auto"/>
          </w:divBdr>
        </w:div>
        <w:div w:id="303781410">
          <w:marLeft w:val="0"/>
          <w:marRight w:val="0"/>
          <w:marTop w:val="0"/>
          <w:marBottom w:val="0"/>
          <w:divBdr>
            <w:top w:val="none" w:sz="0" w:space="0" w:color="auto"/>
            <w:left w:val="none" w:sz="0" w:space="0" w:color="auto"/>
            <w:bottom w:val="none" w:sz="0" w:space="0" w:color="auto"/>
            <w:right w:val="none" w:sz="0" w:space="0" w:color="auto"/>
          </w:divBdr>
        </w:div>
        <w:div w:id="1747877783">
          <w:marLeft w:val="0"/>
          <w:marRight w:val="0"/>
          <w:marTop w:val="0"/>
          <w:marBottom w:val="0"/>
          <w:divBdr>
            <w:top w:val="none" w:sz="0" w:space="0" w:color="auto"/>
            <w:left w:val="none" w:sz="0" w:space="0" w:color="auto"/>
            <w:bottom w:val="none" w:sz="0" w:space="0" w:color="auto"/>
            <w:right w:val="none" w:sz="0" w:space="0" w:color="auto"/>
          </w:divBdr>
        </w:div>
      </w:divsChild>
    </w:div>
    <w:div w:id="686563142">
      <w:bodyDiv w:val="1"/>
      <w:marLeft w:val="0"/>
      <w:marRight w:val="0"/>
      <w:marTop w:val="0"/>
      <w:marBottom w:val="0"/>
      <w:divBdr>
        <w:top w:val="none" w:sz="0" w:space="0" w:color="auto"/>
        <w:left w:val="none" w:sz="0" w:space="0" w:color="auto"/>
        <w:bottom w:val="none" w:sz="0" w:space="0" w:color="auto"/>
        <w:right w:val="none" w:sz="0" w:space="0" w:color="auto"/>
      </w:divBdr>
    </w:div>
    <w:div w:id="723870298">
      <w:bodyDiv w:val="1"/>
      <w:marLeft w:val="0"/>
      <w:marRight w:val="0"/>
      <w:marTop w:val="0"/>
      <w:marBottom w:val="0"/>
      <w:divBdr>
        <w:top w:val="none" w:sz="0" w:space="0" w:color="auto"/>
        <w:left w:val="none" w:sz="0" w:space="0" w:color="auto"/>
        <w:bottom w:val="none" w:sz="0" w:space="0" w:color="auto"/>
        <w:right w:val="none" w:sz="0" w:space="0" w:color="auto"/>
      </w:divBdr>
    </w:div>
    <w:div w:id="768161799">
      <w:bodyDiv w:val="1"/>
      <w:marLeft w:val="0"/>
      <w:marRight w:val="0"/>
      <w:marTop w:val="0"/>
      <w:marBottom w:val="0"/>
      <w:divBdr>
        <w:top w:val="none" w:sz="0" w:space="0" w:color="auto"/>
        <w:left w:val="none" w:sz="0" w:space="0" w:color="auto"/>
        <w:bottom w:val="none" w:sz="0" w:space="0" w:color="auto"/>
        <w:right w:val="none" w:sz="0" w:space="0" w:color="auto"/>
      </w:divBdr>
    </w:div>
    <w:div w:id="770861956">
      <w:bodyDiv w:val="1"/>
      <w:marLeft w:val="0"/>
      <w:marRight w:val="0"/>
      <w:marTop w:val="0"/>
      <w:marBottom w:val="0"/>
      <w:divBdr>
        <w:top w:val="none" w:sz="0" w:space="0" w:color="auto"/>
        <w:left w:val="none" w:sz="0" w:space="0" w:color="auto"/>
        <w:bottom w:val="none" w:sz="0" w:space="0" w:color="auto"/>
        <w:right w:val="none" w:sz="0" w:space="0" w:color="auto"/>
      </w:divBdr>
    </w:div>
    <w:div w:id="833111107">
      <w:bodyDiv w:val="1"/>
      <w:marLeft w:val="0"/>
      <w:marRight w:val="0"/>
      <w:marTop w:val="0"/>
      <w:marBottom w:val="0"/>
      <w:divBdr>
        <w:top w:val="none" w:sz="0" w:space="0" w:color="auto"/>
        <w:left w:val="none" w:sz="0" w:space="0" w:color="auto"/>
        <w:bottom w:val="none" w:sz="0" w:space="0" w:color="auto"/>
        <w:right w:val="none" w:sz="0" w:space="0" w:color="auto"/>
      </w:divBdr>
      <w:divsChild>
        <w:div w:id="1828397311">
          <w:marLeft w:val="0"/>
          <w:marRight w:val="0"/>
          <w:marTop w:val="0"/>
          <w:marBottom w:val="0"/>
          <w:divBdr>
            <w:top w:val="none" w:sz="0" w:space="0" w:color="auto"/>
            <w:left w:val="none" w:sz="0" w:space="0" w:color="auto"/>
            <w:bottom w:val="none" w:sz="0" w:space="0" w:color="auto"/>
            <w:right w:val="none" w:sz="0" w:space="0" w:color="auto"/>
          </w:divBdr>
        </w:div>
        <w:div w:id="1457487394">
          <w:marLeft w:val="0"/>
          <w:marRight w:val="0"/>
          <w:marTop w:val="0"/>
          <w:marBottom w:val="0"/>
          <w:divBdr>
            <w:top w:val="none" w:sz="0" w:space="0" w:color="auto"/>
            <w:left w:val="none" w:sz="0" w:space="0" w:color="auto"/>
            <w:bottom w:val="none" w:sz="0" w:space="0" w:color="auto"/>
            <w:right w:val="none" w:sz="0" w:space="0" w:color="auto"/>
          </w:divBdr>
        </w:div>
        <w:div w:id="505829080">
          <w:marLeft w:val="0"/>
          <w:marRight w:val="0"/>
          <w:marTop w:val="0"/>
          <w:marBottom w:val="0"/>
          <w:divBdr>
            <w:top w:val="none" w:sz="0" w:space="0" w:color="auto"/>
            <w:left w:val="none" w:sz="0" w:space="0" w:color="auto"/>
            <w:bottom w:val="none" w:sz="0" w:space="0" w:color="auto"/>
            <w:right w:val="none" w:sz="0" w:space="0" w:color="auto"/>
          </w:divBdr>
        </w:div>
      </w:divsChild>
    </w:div>
    <w:div w:id="833377061">
      <w:bodyDiv w:val="1"/>
      <w:marLeft w:val="0"/>
      <w:marRight w:val="0"/>
      <w:marTop w:val="0"/>
      <w:marBottom w:val="0"/>
      <w:divBdr>
        <w:top w:val="none" w:sz="0" w:space="0" w:color="auto"/>
        <w:left w:val="none" w:sz="0" w:space="0" w:color="auto"/>
        <w:bottom w:val="none" w:sz="0" w:space="0" w:color="auto"/>
        <w:right w:val="none" w:sz="0" w:space="0" w:color="auto"/>
      </w:divBdr>
    </w:div>
    <w:div w:id="840506320">
      <w:bodyDiv w:val="1"/>
      <w:marLeft w:val="0"/>
      <w:marRight w:val="0"/>
      <w:marTop w:val="0"/>
      <w:marBottom w:val="0"/>
      <w:divBdr>
        <w:top w:val="none" w:sz="0" w:space="0" w:color="auto"/>
        <w:left w:val="none" w:sz="0" w:space="0" w:color="auto"/>
        <w:bottom w:val="none" w:sz="0" w:space="0" w:color="auto"/>
        <w:right w:val="none" w:sz="0" w:space="0" w:color="auto"/>
      </w:divBdr>
    </w:div>
    <w:div w:id="878081673">
      <w:bodyDiv w:val="1"/>
      <w:marLeft w:val="0"/>
      <w:marRight w:val="0"/>
      <w:marTop w:val="0"/>
      <w:marBottom w:val="0"/>
      <w:divBdr>
        <w:top w:val="none" w:sz="0" w:space="0" w:color="auto"/>
        <w:left w:val="none" w:sz="0" w:space="0" w:color="auto"/>
        <w:bottom w:val="none" w:sz="0" w:space="0" w:color="auto"/>
        <w:right w:val="none" w:sz="0" w:space="0" w:color="auto"/>
      </w:divBdr>
    </w:div>
    <w:div w:id="943347861">
      <w:bodyDiv w:val="1"/>
      <w:marLeft w:val="0"/>
      <w:marRight w:val="0"/>
      <w:marTop w:val="0"/>
      <w:marBottom w:val="0"/>
      <w:divBdr>
        <w:top w:val="none" w:sz="0" w:space="0" w:color="auto"/>
        <w:left w:val="none" w:sz="0" w:space="0" w:color="auto"/>
        <w:bottom w:val="none" w:sz="0" w:space="0" w:color="auto"/>
        <w:right w:val="none" w:sz="0" w:space="0" w:color="auto"/>
      </w:divBdr>
    </w:div>
    <w:div w:id="988051411">
      <w:bodyDiv w:val="1"/>
      <w:marLeft w:val="0"/>
      <w:marRight w:val="0"/>
      <w:marTop w:val="0"/>
      <w:marBottom w:val="0"/>
      <w:divBdr>
        <w:top w:val="none" w:sz="0" w:space="0" w:color="auto"/>
        <w:left w:val="none" w:sz="0" w:space="0" w:color="auto"/>
        <w:bottom w:val="none" w:sz="0" w:space="0" w:color="auto"/>
        <w:right w:val="none" w:sz="0" w:space="0" w:color="auto"/>
      </w:divBdr>
      <w:divsChild>
        <w:div w:id="1817453475">
          <w:marLeft w:val="0"/>
          <w:marRight w:val="0"/>
          <w:marTop w:val="0"/>
          <w:marBottom w:val="0"/>
          <w:divBdr>
            <w:top w:val="none" w:sz="0" w:space="0" w:color="auto"/>
            <w:left w:val="none" w:sz="0" w:space="0" w:color="auto"/>
            <w:bottom w:val="none" w:sz="0" w:space="0" w:color="auto"/>
            <w:right w:val="none" w:sz="0" w:space="0" w:color="auto"/>
          </w:divBdr>
          <w:divsChild>
            <w:div w:id="1059287107">
              <w:marLeft w:val="0"/>
              <w:marRight w:val="0"/>
              <w:marTop w:val="0"/>
              <w:marBottom w:val="0"/>
              <w:divBdr>
                <w:top w:val="none" w:sz="0" w:space="0" w:color="auto"/>
                <w:left w:val="none" w:sz="0" w:space="0" w:color="auto"/>
                <w:bottom w:val="none" w:sz="0" w:space="0" w:color="auto"/>
                <w:right w:val="none" w:sz="0" w:space="0" w:color="auto"/>
              </w:divBdr>
              <w:divsChild>
                <w:div w:id="795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55539">
      <w:bodyDiv w:val="1"/>
      <w:marLeft w:val="0"/>
      <w:marRight w:val="0"/>
      <w:marTop w:val="0"/>
      <w:marBottom w:val="0"/>
      <w:divBdr>
        <w:top w:val="none" w:sz="0" w:space="0" w:color="auto"/>
        <w:left w:val="none" w:sz="0" w:space="0" w:color="auto"/>
        <w:bottom w:val="none" w:sz="0" w:space="0" w:color="auto"/>
        <w:right w:val="none" w:sz="0" w:space="0" w:color="auto"/>
      </w:divBdr>
    </w:div>
    <w:div w:id="1029986640">
      <w:bodyDiv w:val="1"/>
      <w:marLeft w:val="0"/>
      <w:marRight w:val="0"/>
      <w:marTop w:val="0"/>
      <w:marBottom w:val="0"/>
      <w:divBdr>
        <w:top w:val="none" w:sz="0" w:space="0" w:color="auto"/>
        <w:left w:val="none" w:sz="0" w:space="0" w:color="auto"/>
        <w:bottom w:val="none" w:sz="0" w:space="0" w:color="auto"/>
        <w:right w:val="none" w:sz="0" w:space="0" w:color="auto"/>
      </w:divBdr>
      <w:divsChild>
        <w:div w:id="1474642600">
          <w:marLeft w:val="0"/>
          <w:marRight w:val="0"/>
          <w:marTop w:val="0"/>
          <w:marBottom w:val="0"/>
          <w:divBdr>
            <w:top w:val="none" w:sz="0" w:space="0" w:color="auto"/>
            <w:left w:val="none" w:sz="0" w:space="0" w:color="auto"/>
            <w:bottom w:val="none" w:sz="0" w:space="0" w:color="auto"/>
            <w:right w:val="none" w:sz="0" w:space="0" w:color="auto"/>
          </w:divBdr>
          <w:divsChild>
            <w:div w:id="1846477643">
              <w:marLeft w:val="0"/>
              <w:marRight w:val="0"/>
              <w:marTop w:val="0"/>
              <w:marBottom w:val="0"/>
              <w:divBdr>
                <w:top w:val="none" w:sz="0" w:space="0" w:color="auto"/>
                <w:left w:val="none" w:sz="0" w:space="0" w:color="auto"/>
                <w:bottom w:val="none" w:sz="0" w:space="0" w:color="auto"/>
                <w:right w:val="none" w:sz="0" w:space="0" w:color="auto"/>
              </w:divBdr>
              <w:divsChild>
                <w:div w:id="11161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3803">
      <w:bodyDiv w:val="1"/>
      <w:marLeft w:val="0"/>
      <w:marRight w:val="0"/>
      <w:marTop w:val="0"/>
      <w:marBottom w:val="0"/>
      <w:divBdr>
        <w:top w:val="none" w:sz="0" w:space="0" w:color="auto"/>
        <w:left w:val="none" w:sz="0" w:space="0" w:color="auto"/>
        <w:bottom w:val="none" w:sz="0" w:space="0" w:color="auto"/>
        <w:right w:val="none" w:sz="0" w:space="0" w:color="auto"/>
      </w:divBdr>
    </w:div>
    <w:div w:id="1072894228">
      <w:bodyDiv w:val="1"/>
      <w:marLeft w:val="0"/>
      <w:marRight w:val="0"/>
      <w:marTop w:val="0"/>
      <w:marBottom w:val="0"/>
      <w:divBdr>
        <w:top w:val="none" w:sz="0" w:space="0" w:color="auto"/>
        <w:left w:val="none" w:sz="0" w:space="0" w:color="auto"/>
        <w:bottom w:val="none" w:sz="0" w:space="0" w:color="auto"/>
        <w:right w:val="none" w:sz="0" w:space="0" w:color="auto"/>
      </w:divBdr>
    </w:div>
    <w:div w:id="1106458732">
      <w:bodyDiv w:val="1"/>
      <w:marLeft w:val="0"/>
      <w:marRight w:val="0"/>
      <w:marTop w:val="0"/>
      <w:marBottom w:val="0"/>
      <w:divBdr>
        <w:top w:val="none" w:sz="0" w:space="0" w:color="auto"/>
        <w:left w:val="none" w:sz="0" w:space="0" w:color="auto"/>
        <w:bottom w:val="none" w:sz="0" w:space="0" w:color="auto"/>
        <w:right w:val="none" w:sz="0" w:space="0" w:color="auto"/>
      </w:divBdr>
    </w:div>
    <w:div w:id="1138768458">
      <w:bodyDiv w:val="1"/>
      <w:marLeft w:val="0"/>
      <w:marRight w:val="0"/>
      <w:marTop w:val="0"/>
      <w:marBottom w:val="0"/>
      <w:divBdr>
        <w:top w:val="none" w:sz="0" w:space="0" w:color="auto"/>
        <w:left w:val="none" w:sz="0" w:space="0" w:color="auto"/>
        <w:bottom w:val="none" w:sz="0" w:space="0" w:color="auto"/>
        <w:right w:val="none" w:sz="0" w:space="0" w:color="auto"/>
      </w:divBdr>
    </w:div>
    <w:div w:id="1309169114">
      <w:bodyDiv w:val="1"/>
      <w:marLeft w:val="0"/>
      <w:marRight w:val="0"/>
      <w:marTop w:val="0"/>
      <w:marBottom w:val="0"/>
      <w:divBdr>
        <w:top w:val="none" w:sz="0" w:space="0" w:color="auto"/>
        <w:left w:val="none" w:sz="0" w:space="0" w:color="auto"/>
        <w:bottom w:val="none" w:sz="0" w:space="0" w:color="auto"/>
        <w:right w:val="none" w:sz="0" w:space="0" w:color="auto"/>
      </w:divBdr>
    </w:div>
    <w:div w:id="1351570612">
      <w:bodyDiv w:val="1"/>
      <w:marLeft w:val="0"/>
      <w:marRight w:val="0"/>
      <w:marTop w:val="0"/>
      <w:marBottom w:val="0"/>
      <w:divBdr>
        <w:top w:val="none" w:sz="0" w:space="0" w:color="auto"/>
        <w:left w:val="none" w:sz="0" w:space="0" w:color="auto"/>
        <w:bottom w:val="none" w:sz="0" w:space="0" w:color="auto"/>
        <w:right w:val="none" w:sz="0" w:space="0" w:color="auto"/>
      </w:divBdr>
    </w:div>
    <w:div w:id="1366103584">
      <w:bodyDiv w:val="1"/>
      <w:marLeft w:val="0"/>
      <w:marRight w:val="0"/>
      <w:marTop w:val="0"/>
      <w:marBottom w:val="0"/>
      <w:divBdr>
        <w:top w:val="none" w:sz="0" w:space="0" w:color="auto"/>
        <w:left w:val="none" w:sz="0" w:space="0" w:color="auto"/>
        <w:bottom w:val="none" w:sz="0" w:space="0" w:color="auto"/>
        <w:right w:val="none" w:sz="0" w:space="0" w:color="auto"/>
      </w:divBdr>
    </w:div>
    <w:div w:id="1424187625">
      <w:bodyDiv w:val="1"/>
      <w:marLeft w:val="0"/>
      <w:marRight w:val="0"/>
      <w:marTop w:val="0"/>
      <w:marBottom w:val="0"/>
      <w:divBdr>
        <w:top w:val="none" w:sz="0" w:space="0" w:color="auto"/>
        <w:left w:val="none" w:sz="0" w:space="0" w:color="auto"/>
        <w:bottom w:val="none" w:sz="0" w:space="0" w:color="auto"/>
        <w:right w:val="none" w:sz="0" w:space="0" w:color="auto"/>
      </w:divBdr>
    </w:div>
    <w:div w:id="1441029421">
      <w:bodyDiv w:val="1"/>
      <w:marLeft w:val="0"/>
      <w:marRight w:val="0"/>
      <w:marTop w:val="0"/>
      <w:marBottom w:val="0"/>
      <w:divBdr>
        <w:top w:val="none" w:sz="0" w:space="0" w:color="auto"/>
        <w:left w:val="none" w:sz="0" w:space="0" w:color="auto"/>
        <w:bottom w:val="none" w:sz="0" w:space="0" w:color="auto"/>
        <w:right w:val="none" w:sz="0" w:space="0" w:color="auto"/>
      </w:divBdr>
    </w:div>
    <w:div w:id="1448895145">
      <w:bodyDiv w:val="1"/>
      <w:marLeft w:val="0"/>
      <w:marRight w:val="0"/>
      <w:marTop w:val="0"/>
      <w:marBottom w:val="0"/>
      <w:divBdr>
        <w:top w:val="none" w:sz="0" w:space="0" w:color="auto"/>
        <w:left w:val="none" w:sz="0" w:space="0" w:color="auto"/>
        <w:bottom w:val="none" w:sz="0" w:space="0" w:color="auto"/>
        <w:right w:val="none" w:sz="0" w:space="0" w:color="auto"/>
      </w:divBdr>
    </w:div>
    <w:div w:id="1461611666">
      <w:bodyDiv w:val="1"/>
      <w:marLeft w:val="0"/>
      <w:marRight w:val="0"/>
      <w:marTop w:val="0"/>
      <w:marBottom w:val="0"/>
      <w:divBdr>
        <w:top w:val="none" w:sz="0" w:space="0" w:color="auto"/>
        <w:left w:val="none" w:sz="0" w:space="0" w:color="auto"/>
        <w:bottom w:val="none" w:sz="0" w:space="0" w:color="auto"/>
        <w:right w:val="none" w:sz="0" w:space="0" w:color="auto"/>
      </w:divBdr>
    </w:div>
    <w:div w:id="1538935228">
      <w:bodyDiv w:val="1"/>
      <w:marLeft w:val="0"/>
      <w:marRight w:val="0"/>
      <w:marTop w:val="0"/>
      <w:marBottom w:val="0"/>
      <w:divBdr>
        <w:top w:val="none" w:sz="0" w:space="0" w:color="auto"/>
        <w:left w:val="none" w:sz="0" w:space="0" w:color="auto"/>
        <w:bottom w:val="none" w:sz="0" w:space="0" w:color="auto"/>
        <w:right w:val="none" w:sz="0" w:space="0" w:color="auto"/>
      </w:divBdr>
    </w:div>
    <w:div w:id="1664891980">
      <w:bodyDiv w:val="1"/>
      <w:marLeft w:val="0"/>
      <w:marRight w:val="0"/>
      <w:marTop w:val="0"/>
      <w:marBottom w:val="0"/>
      <w:divBdr>
        <w:top w:val="none" w:sz="0" w:space="0" w:color="auto"/>
        <w:left w:val="none" w:sz="0" w:space="0" w:color="auto"/>
        <w:bottom w:val="none" w:sz="0" w:space="0" w:color="auto"/>
        <w:right w:val="none" w:sz="0" w:space="0" w:color="auto"/>
      </w:divBdr>
    </w:div>
    <w:div w:id="1748726847">
      <w:bodyDiv w:val="1"/>
      <w:marLeft w:val="0"/>
      <w:marRight w:val="0"/>
      <w:marTop w:val="0"/>
      <w:marBottom w:val="0"/>
      <w:divBdr>
        <w:top w:val="none" w:sz="0" w:space="0" w:color="auto"/>
        <w:left w:val="none" w:sz="0" w:space="0" w:color="auto"/>
        <w:bottom w:val="none" w:sz="0" w:space="0" w:color="auto"/>
        <w:right w:val="none" w:sz="0" w:space="0" w:color="auto"/>
      </w:divBdr>
    </w:div>
    <w:div w:id="1843005071">
      <w:bodyDiv w:val="1"/>
      <w:marLeft w:val="0"/>
      <w:marRight w:val="0"/>
      <w:marTop w:val="0"/>
      <w:marBottom w:val="0"/>
      <w:divBdr>
        <w:top w:val="none" w:sz="0" w:space="0" w:color="auto"/>
        <w:left w:val="none" w:sz="0" w:space="0" w:color="auto"/>
        <w:bottom w:val="none" w:sz="0" w:space="0" w:color="auto"/>
        <w:right w:val="none" w:sz="0" w:space="0" w:color="auto"/>
      </w:divBdr>
    </w:div>
    <w:div w:id="1908344079">
      <w:bodyDiv w:val="1"/>
      <w:marLeft w:val="0"/>
      <w:marRight w:val="0"/>
      <w:marTop w:val="0"/>
      <w:marBottom w:val="0"/>
      <w:divBdr>
        <w:top w:val="none" w:sz="0" w:space="0" w:color="auto"/>
        <w:left w:val="none" w:sz="0" w:space="0" w:color="auto"/>
        <w:bottom w:val="none" w:sz="0" w:space="0" w:color="auto"/>
        <w:right w:val="none" w:sz="0" w:space="0" w:color="auto"/>
      </w:divBdr>
    </w:div>
    <w:div w:id="1908878248">
      <w:bodyDiv w:val="1"/>
      <w:marLeft w:val="0"/>
      <w:marRight w:val="0"/>
      <w:marTop w:val="0"/>
      <w:marBottom w:val="0"/>
      <w:divBdr>
        <w:top w:val="none" w:sz="0" w:space="0" w:color="auto"/>
        <w:left w:val="none" w:sz="0" w:space="0" w:color="auto"/>
        <w:bottom w:val="none" w:sz="0" w:space="0" w:color="auto"/>
        <w:right w:val="none" w:sz="0" w:space="0" w:color="auto"/>
      </w:divBdr>
    </w:div>
    <w:div w:id="1922255916">
      <w:bodyDiv w:val="1"/>
      <w:marLeft w:val="0"/>
      <w:marRight w:val="0"/>
      <w:marTop w:val="0"/>
      <w:marBottom w:val="0"/>
      <w:divBdr>
        <w:top w:val="none" w:sz="0" w:space="0" w:color="auto"/>
        <w:left w:val="none" w:sz="0" w:space="0" w:color="auto"/>
        <w:bottom w:val="none" w:sz="0" w:space="0" w:color="auto"/>
        <w:right w:val="none" w:sz="0" w:space="0" w:color="auto"/>
      </w:divBdr>
      <w:divsChild>
        <w:div w:id="620502034">
          <w:marLeft w:val="0"/>
          <w:marRight w:val="0"/>
          <w:marTop w:val="0"/>
          <w:marBottom w:val="0"/>
          <w:divBdr>
            <w:top w:val="none" w:sz="0" w:space="0" w:color="auto"/>
            <w:left w:val="none" w:sz="0" w:space="0" w:color="auto"/>
            <w:bottom w:val="none" w:sz="0" w:space="0" w:color="auto"/>
            <w:right w:val="none" w:sz="0" w:space="0" w:color="auto"/>
          </w:divBdr>
          <w:divsChild>
            <w:div w:id="2113931589">
              <w:marLeft w:val="0"/>
              <w:marRight w:val="0"/>
              <w:marTop w:val="0"/>
              <w:marBottom w:val="0"/>
              <w:divBdr>
                <w:top w:val="none" w:sz="0" w:space="0" w:color="auto"/>
                <w:left w:val="none" w:sz="0" w:space="0" w:color="auto"/>
                <w:bottom w:val="none" w:sz="0" w:space="0" w:color="auto"/>
                <w:right w:val="none" w:sz="0" w:space="0" w:color="auto"/>
              </w:divBdr>
              <w:divsChild>
                <w:div w:id="1041393391">
                  <w:marLeft w:val="0"/>
                  <w:marRight w:val="0"/>
                  <w:marTop w:val="0"/>
                  <w:marBottom w:val="0"/>
                  <w:divBdr>
                    <w:top w:val="none" w:sz="0" w:space="0" w:color="auto"/>
                    <w:left w:val="none" w:sz="0" w:space="0" w:color="auto"/>
                    <w:bottom w:val="none" w:sz="0" w:space="0" w:color="auto"/>
                    <w:right w:val="none" w:sz="0" w:space="0" w:color="auto"/>
                  </w:divBdr>
                  <w:divsChild>
                    <w:div w:id="4499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775874">
      <w:bodyDiv w:val="1"/>
      <w:marLeft w:val="0"/>
      <w:marRight w:val="0"/>
      <w:marTop w:val="0"/>
      <w:marBottom w:val="0"/>
      <w:divBdr>
        <w:top w:val="none" w:sz="0" w:space="0" w:color="auto"/>
        <w:left w:val="none" w:sz="0" w:space="0" w:color="auto"/>
        <w:bottom w:val="none" w:sz="0" w:space="0" w:color="auto"/>
        <w:right w:val="none" w:sz="0" w:space="0" w:color="auto"/>
      </w:divBdr>
    </w:div>
    <w:div w:id="1966539832">
      <w:bodyDiv w:val="1"/>
      <w:marLeft w:val="0"/>
      <w:marRight w:val="0"/>
      <w:marTop w:val="0"/>
      <w:marBottom w:val="0"/>
      <w:divBdr>
        <w:top w:val="none" w:sz="0" w:space="0" w:color="auto"/>
        <w:left w:val="none" w:sz="0" w:space="0" w:color="auto"/>
        <w:bottom w:val="none" w:sz="0" w:space="0" w:color="auto"/>
        <w:right w:val="none" w:sz="0" w:space="0" w:color="auto"/>
      </w:divBdr>
    </w:div>
    <w:div w:id="2023361015">
      <w:bodyDiv w:val="1"/>
      <w:marLeft w:val="0"/>
      <w:marRight w:val="0"/>
      <w:marTop w:val="0"/>
      <w:marBottom w:val="0"/>
      <w:divBdr>
        <w:top w:val="none" w:sz="0" w:space="0" w:color="auto"/>
        <w:left w:val="none" w:sz="0" w:space="0" w:color="auto"/>
        <w:bottom w:val="none" w:sz="0" w:space="0" w:color="auto"/>
        <w:right w:val="none" w:sz="0" w:space="0" w:color="auto"/>
      </w:divBdr>
      <w:divsChild>
        <w:div w:id="229656127">
          <w:marLeft w:val="0"/>
          <w:marRight w:val="0"/>
          <w:marTop w:val="0"/>
          <w:marBottom w:val="0"/>
          <w:divBdr>
            <w:top w:val="none" w:sz="0" w:space="0" w:color="auto"/>
            <w:left w:val="none" w:sz="0" w:space="0" w:color="auto"/>
            <w:bottom w:val="none" w:sz="0" w:space="0" w:color="auto"/>
            <w:right w:val="none" w:sz="0" w:space="0" w:color="auto"/>
          </w:divBdr>
          <w:divsChild>
            <w:div w:id="1639191810">
              <w:marLeft w:val="0"/>
              <w:marRight w:val="0"/>
              <w:marTop w:val="0"/>
              <w:marBottom w:val="0"/>
              <w:divBdr>
                <w:top w:val="none" w:sz="0" w:space="0" w:color="auto"/>
                <w:left w:val="none" w:sz="0" w:space="0" w:color="auto"/>
                <w:bottom w:val="none" w:sz="0" w:space="0" w:color="auto"/>
                <w:right w:val="none" w:sz="0" w:space="0" w:color="auto"/>
              </w:divBdr>
              <w:divsChild>
                <w:div w:id="1918130391">
                  <w:marLeft w:val="0"/>
                  <w:marRight w:val="0"/>
                  <w:marTop w:val="0"/>
                  <w:marBottom w:val="0"/>
                  <w:divBdr>
                    <w:top w:val="none" w:sz="0" w:space="0" w:color="auto"/>
                    <w:left w:val="none" w:sz="0" w:space="0" w:color="auto"/>
                    <w:bottom w:val="none" w:sz="0" w:space="0" w:color="auto"/>
                    <w:right w:val="none" w:sz="0" w:space="0" w:color="auto"/>
                  </w:divBdr>
                  <w:divsChild>
                    <w:div w:id="20918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0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82C44-14E3-4A08-AF81-97A196ED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1121</Words>
  <Characters>5942</Characters>
  <Application>Microsoft Office Word</Application>
  <DocSecurity>0</DocSecurity>
  <Lines>49</Lines>
  <Paragraphs>14</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Linköpings universitet</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Rådholm</dc:creator>
  <cp:keywords/>
  <dc:description/>
  <cp:lastModifiedBy>Peder af Geijerstam</cp:lastModifiedBy>
  <cp:revision>31</cp:revision>
  <cp:lastPrinted>2021-03-12T10:13:00Z</cp:lastPrinted>
  <dcterms:created xsi:type="dcterms:W3CDTF">2023-04-25T10:16:00Z</dcterms:created>
  <dcterms:modified xsi:type="dcterms:W3CDTF">2023-11-15T22:14:00Z</dcterms:modified>
</cp:coreProperties>
</file>