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1" w:tblpY="20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40"/>
        <w:gridCol w:w="940"/>
        <w:gridCol w:w="4846"/>
        <w:gridCol w:w="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Description</w:t>
            </w:r>
          </w:p>
        </w:tc>
        <w:tc>
          <w:tcPr>
            <w:tcW w:w="162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pvalue</w:t>
            </w:r>
          </w:p>
        </w:tc>
        <w:tc>
          <w:tcPr>
            <w:tcW w:w="162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p.adjust</w:t>
            </w:r>
          </w:p>
        </w:tc>
        <w:tc>
          <w:tcPr>
            <w:tcW w:w="1499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geneID</w:t>
            </w:r>
          </w:p>
        </w:tc>
        <w:tc>
          <w:tcPr>
            <w:tcW w:w="1499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Count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Olfactory transduction</w:t>
            </w:r>
          </w:p>
        </w:tc>
        <w:tc>
          <w:tcPr>
            <w:tcW w:w="162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0.000620825</w:t>
            </w:r>
          </w:p>
        </w:tc>
        <w:tc>
          <w:tcPr>
            <w:tcW w:w="162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0.068911571</w:t>
            </w:r>
          </w:p>
        </w:tc>
        <w:tc>
          <w:tcPr>
            <w:tcW w:w="1499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>OR10A5/OR10K1/OR11H12/OR1L3/OR2L8/OR4K17/OR52E2/OR5I1/CAMK2G</w:t>
            </w:r>
          </w:p>
        </w:tc>
        <w:tc>
          <w:tcPr>
            <w:tcW w:w="1499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TGF-beta signaling pathway</w:t>
            </w:r>
          </w:p>
        </w:tc>
        <w:tc>
          <w:tcPr>
            <w:tcW w:w="162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0.003010868</w:t>
            </w:r>
          </w:p>
        </w:tc>
        <w:tc>
          <w:tcPr>
            <w:tcW w:w="162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0.167103148</w:t>
            </w:r>
          </w:p>
        </w:tc>
        <w:tc>
          <w:tcPr>
            <w:tcW w:w="1499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>ACVR2B/BMPR1A/SMAD6/THSD4</w:t>
            </w:r>
          </w:p>
        </w:tc>
        <w:tc>
          <w:tcPr>
            <w:tcW w:w="1499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Type I diabetes mellitus</w:t>
            </w:r>
          </w:p>
        </w:tc>
        <w:tc>
          <w:tcPr>
            <w:tcW w:w="162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0.023891195</w:t>
            </w:r>
          </w:p>
        </w:tc>
        <w:tc>
          <w:tcPr>
            <w:tcW w:w="162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0.719430013</w:t>
            </w:r>
          </w:p>
        </w:tc>
        <w:tc>
          <w:tcPr>
            <w:tcW w:w="1499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>CD80/LTA</w:t>
            </w:r>
          </w:p>
        </w:tc>
        <w:tc>
          <w:tcPr>
            <w:tcW w:w="1499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Phospholipase D signaling pathway</w:t>
            </w:r>
          </w:p>
        </w:tc>
        <w:tc>
          <w:tcPr>
            <w:tcW w:w="162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0.049417962</w:t>
            </w:r>
          </w:p>
        </w:tc>
        <w:tc>
          <w:tcPr>
            <w:tcW w:w="162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0.719430013</w:t>
            </w:r>
          </w:p>
        </w:tc>
        <w:tc>
          <w:tcPr>
            <w:tcW w:w="1499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>HOXB1/ACVR2B/BMPR1A</w:t>
            </w:r>
          </w:p>
        </w:tc>
        <w:tc>
          <w:tcPr>
            <w:tcW w:w="1499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Central carbon metabolism in cancer</w:t>
            </w:r>
          </w:p>
        </w:tc>
        <w:tc>
          <w:tcPr>
            <w:tcW w:w="162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0.058123292</w:t>
            </w:r>
          </w:p>
        </w:tc>
        <w:tc>
          <w:tcPr>
            <w:tcW w:w="162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0.719430013</w:t>
            </w:r>
          </w:p>
        </w:tc>
        <w:tc>
          <w:tcPr>
            <w:tcW w:w="1499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>PDHA2/KIT</w:t>
            </w:r>
          </w:p>
        </w:tc>
        <w:tc>
          <w:tcPr>
            <w:tcW w:w="1499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Cytokine-cytokine receptor interaction</w:t>
            </w:r>
          </w:p>
        </w:tc>
        <w:tc>
          <w:tcPr>
            <w:tcW w:w="1623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0.083351491</w:t>
            </w:r>
          </w:p>
        </w:tc>
        <w:tc>
          <w:tcPr>
            <w:tcW w:w="1624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</w:rPr>
              <w:t>0.719430013</w:t>
            </w:r>
          </w:p>
        </w:tc>
        <w:tc>
          <w:tcPr>
            <w:tcW w:w="1499" w:type="dxa"/>
            <w:vAlign w:val="center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>CCL7/LTA/ACVR2B/BMPR1A</w:t>
            </w:r>
          </w:p>
        </w:tc>
        <w:tc>
          <w:tcPr>
            <w:tcW w:w="1499" w:type="dxa"/>
            <w:vAlign w:val="top"/>
          </w:tcPr>
          <w:p>
            <w:pPr>
              <w:widowControl w:val="0"/>
              <w:spacing w:beforeLines="0" w:afterLines="0"/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4"/>
                <w:lang w:val="en-US" w:eastAsia="zh-CN"/>
              </w:rPr>
              <w:t>4</w:t>
            </w:r>
          </w:p>
        </w:tc>
      </w:tr>
    </w:tbl>
    <w:p>
      <w:pPr>
        <w:spacing w:beforeLines="0" w:afterLines="0"/>
        <w:jc w:val="left"/>
        <w:rPr>
          <w:rFonts w:hint="default" w:ascii="Times New Roman" w:hAnsi="Times New Roman" w:cs="Times New Roman"/>
          <w:color w:val="000000"/>
          <w:sz w:val="22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2"/>
          <w:szCs w:val="24"/>
          <w:lang w:val="en-US" w:eastAsia="zh-CN"/>
        </w:rPr>
        <w:t xml:space="preserve">Supplement Table </w:t>
      </w:r>
      <w:r>
        <w:rPr>
          <w:rFonts w:hint="eastAsia" w:ascii="Times New Roman" w:hAnsi="Times New Roman" w:cs="Times New Roman"/>
          <w:color w:val="000000"/>
          <w:sz w:val="22"/>
          <w:szCs w:val="24"/>
          <w:lang w:val="en-US" w:eastAsia="zh-CN"/>
        </w:rPr>
        <w:t>4.</w:t>
      </w:r>
      <w:r>
        <w:rPr>
          <w:rFonts w:hint="default" w:ascii="Times New Roman" w:hAnsi="Times New Roman" w:cs="Times New Roman"/>
          <w:color w:val="000000"/>
          <w:sz w:val="2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2"/>
          <w:szCs w:val="24"/>
          <w:lang w:val="en-US" w:eastAsia="zh-CN"/>
        </w:rPr>
        <w:t>Kegg</w:t>
      </w:r>
      <w:r>
        <w:rPr>
          <w:rFonts w:hint="default" w:ascii="Times New Roman" w:hAnsi="Times New Roman" w:cs="Times New Roman"/>
          <w:color w:val="000000"/>
          <w:sz w:val="22"/>
          <w:szCs w:val="24"/>
          <w:lang w:val="en-US" w:eastAsia="zh-CN"/>
        </w:rPr>
        <w:t xml:space="preserve"> enrichment analyses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color w:val="000000"/>
          <w:sz w:val="22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172A27"/>
    <w:rsid w:val="0B2D221A"/>
    <w:rsid w:val="3EA01752"/>
    <w:rsid w:val="416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2023-10-04T15:25:00Z</dcterms:created>
  <dc:creator>张乾坤</dc:creator>
  <cp:lastModifiedBy>红黑乾坤</cp:lastModifiedBy>
  <dcterms:modified xsi:type="dcterms:W3CDTF">2023-10-15T13:42:31Z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C7BC6B71DE1D42119C30EA7BE44D03E4_12</vt:lpwstr>
  </property>
</Properties>
</file>