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202000EE" w:rsidR="00654E8F" w:rsidRDefault="00654E8F" w:rsidP="0001436A">
      <w:pPr>
        <w:pStyle w:val="SupplementaryMaterial"/>
      </w:pPr>
      <w:r w:rsidRPr="001549D3">
        <w:t>Supplementary Material</w:t>
      </w:r>
    </w:p>
    <w:p w14:paraId="06D06A14" w14:textId="77777777" w:rsidR="003B26AF" w:rsidRPr="003B26AF" w:rsidRDefault="003B26AF" w:rsidP="003B26AF">
      <w:pPr>
        <w:pStyle w:val="Title"/>
      </w:pPr>
    </w:p>
    <w:p w14:paraId="5E584EE8" w14:textId="57F7372C" w:rsidR="00994A3D" w:rsidRDefault="00654E8F" w:rsidP="0001436A">
      <w:pPr>
        <w:pStyle w:val="Heading1"/>
      </w:pPr>
      <w:r w:rsidRPr="00994A3D">
        <w:t>Supplementary Figures and Tables</w:t>
      </w:r>
    </w:p>
    <w:p w14:paraId="46265F2A" w14:textId="77777777" w:rsidR="00807490" w:rsidRPr="00807490" w:rsidRDefault="00807490" w:rsidP="00807490"/>
    <w:p w14:paraId="525B31C0" w14:textId="2991C39D" w:rsidR="00807490" w:rsidRPr="00871859" w:rsidRDefault="00807490" w:rsidP="00807490">
      <w:pPr>
        <w:spacing w:before="0" w:after="200" w:line="276" w:lineRule="auto"/>
        <w:jc w:val="center"/>
        <w:rPr>
          <w:b/>
          <w:bCs/>
        </w:rPr>
      </w:pPr>
      <w:r>
        <w:rPr>
          <w:b/>
          <w:bCs/>
        </w:rPr>
        <w:t xml:space="preserve">Supplementary </w:t>
      </w:r>
      <w:r w:rsidRPr="00871859">
        <w:rPr>
          <w:b/>
          <w:bCs/>
        </w:rPr>
        <w:t xml:space="preserve">Table </w:t>
      </w:r>
      <w:r>
        <w:rPr>
          <w:b/>
          <w:bCs/>
        </w:rPr>
        <w:t>1</w:t>
      </w:r>
      <w:r w:rsidRPr="00871859">
        <w:rPr>
          <w:b/>
          <w:bCs/>
        </w:rPr>
        <w:t>: Tolerances</w:t>
      </w:r>
      <w:r>
        <w:rPr>
          <w:b/>
          <w:bCs/>
        </w:rPr>
        <w:t xml:space="preserve"> for the ElectronFLASH </w:t>
      </w:r>
      <w:r w:rsidRPr="00807490">
        <w:rPr>
          <w:b/>
          <w:bCs/>
        </w:rPr>
        <w:t xml:space="preserve">Customer Acceptance Test measurements  </w:t>
      </w:r>
    </w:p>
    <w:tbl>
      <w:tblPr>
        <w:tblStyle w:val="TableGrid"/>
        <w:tblW w:w="3823" w:type="dxa"/>
        <w:jc w:val="center"/>
        <w:tblLayout w:type="fixed"/>
        <w:tblLook w:val="04A0" w:firstRow="1" w:lastRow="0" w:firstColumn="1" w:lastColumn="0" w:noHBand="0" w:noVBand="1"/>
      </w:tblPr>
      <w:tblGrid>
        <w:gridCol w:w="2383"/>
        <w:gridCol w:w="1440"/>
      </w:tblGrid>
      <w:tr w:rsidR="00807490" w14:paraId="225F9F6A" w14:textId="77777777" w:rsidTr="00ED08F5">
        <w:trPr>
          <w:jc w:val="center"/>
        </w:trPr>
        <w:tc>
          <w:tcPr>
            <w:tcW w:w="2383" w:type="dxa"/>
          </w:tcPr>
          <w:p w14:paraId="0F906254" w14:textId="77777777" w:rsidR="00807490" w:rsidRDefault="00807490" w:rsidP="00ED08F5">
            <w:pPr>
              <w:widowControl w:val="0"/>
              <w:spacing w:after="0"/>
              <w:jc w:val="center"/>
              <w:rPr>
                <w:b/>
                <w:bCs/>
                <w:lang w:val="en-GB" w:eastAsia="it-IT"/>
              </w:rPr>
            </w:pPr>
            <w:r w:rsidRPr="00540FE0">
              <w:rPr>
                <w:rFonts w:eastAsia="Calibri"/>
                <w:b/>
                <w:bCs/>
                <w:lang w:val="en-GB" w:eastAsia="it-IT"/>
              </w:rPr>
              <w:t>Name</w:t>
            </w:r>
          </w:p>
        </w:tc>
        <w:tc>
          <w:tcPr>
            <w:tcW w:w="1440" w:type="dxa"/>
          </w:tcPr>
          <w:p w14:paraId="3118E03F" w14:textId="77777777" w:rsidR="00807490" w:rsidRDefault="00807490" w:rsidP="00ED08F5">
            <w:pPr>
              <w:widowControl w:val="0"/>
              <w:spacing w:after="0"/>
              <w:jc w:val="center"/>
              <w:rPr>
                <w:b/>
                <w:bCs/>
                <w:lang w:val="en-GB" w:eastAsia="it-IT"/>
              </w:rPr>
            </w:pPr>
            <w:r w:rsidRPr="00540FE0">
              <w:rPr>
                <w:rFonts w:eastAsia="Calibri"/>
                <w:b/>
                <w:bCs/>
                <w:lang w:val="en-GB" w:eastAsia="it-IT"/>
              </w:rPr>
              <w:t>Tolerance</w:t>
            </w:r>
          </w:p>
        </w:tc>
      </w:tr>
      <w:tr w:rsidR="00807490" w14:paraId="3CB7929E" w14:textId="77777777" w:rsidTr="00ED08F5">
        <w:trPr>
          <w:jc w:val="center"/>
        </w:trPr>
        <w:tc>
          <w:tcPr>
            <w:tcW w:w="2383" w:type="dxa"/>
          </w:tcPr>
          <w:p w14:paraId="497366C5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>
              <w:rPr>
                <w:rFonts w:eastAsia="Calibri"/>
                <w:lang w:val="en-GB" w:eastAsia="it-IT"/>
              </w:rPr>
              <w:t>Rotational g</w:t>
            </w:r>
            <w:r w:rsidRPr="00540FE0">
              <w:rPr>
                <w:rFonts w:eastAsia="Calibri"/>
                <w:lang w:val="en-GB" w:eastAsia="it-IT"/>
              </w:rPr>
              <w:t>antry movements</w:t>
            </w:r>
          </w:p>
        </w:tc>
        <w:tc>
          <w:tcPr>
            <w:tcW w:w="1440" w:type="dxa"/>
          </w:tcPr>
          <w:p w14:paraId="6B3A756C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&lt; 1°</w:t>
            </w:r>
          </w:p>
        </w:tc>
      </w:tr>
      <w:tr w:rsidR="00807490" w14:paraId="018CE6FB" w14:textId="77777777" w:rsidTr="00ED08F5">
        <w:trPr>
          <w:jc w:val="center"/>
        </w:trPr>
        <w:tc>
          <w:tcPr>
            <w:tcW w:w="2383" w:type="dxa"/>
          </w:tcPr>
          <w:p w14:paraId="69807DE7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Rp</w:t>
            </w:r>
          </w:p>
        </w:tc>
        <w:tc>
          <w:tcPr>
            <w:tcW w:w="1440" w:type="dxa"/>
          </w:tcPr>
          <w:p w14:paraId="016B0434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 xml:space="preserve"> </w:t>
            </w:r>
            <m:oMath>
              <m:r>
                <w:rPr>
                  <w:rFonts w:ascii="Cambria Math" w:eastAsia="Calibri" w:hAnsi="Cambria Math"/>
                  <w:lang w:val="en-GB" w:eastAsia="it-IT"/>
                </w:rPr>
                <m:t>±</m:t>
              </m:r>
            </m:oMath>
            <w:r w:rsidRPr="00540FE0">
              <w:rPr>
                <w:rFonts w:eastAsia="Calibri"/>
                <w:lang w:val="en-GB" w:eastAsia="it-IT"/>
              </w:rPr>
              <w:t>2 mm</w:t>
            </w:r>
          </w:p>
        </w:tc>
      </w:tr>
      <w:tr w:rsidR="00807490" w14:paraId="332AEDC3" w14:textId="77777777" w:rsidTr="00ED08F5">
        <w:trPr>
          <w:jc w:val="center"/>
        </w:trPr>
        <w:tc>
          <w:tcPr>
            <w:tcW w:w="2383" w:type="dxa"/>
          </w:tcPr>
          <w:p w14:paraId="1585E57B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R</w:t>
            </w:r>
            <w:r w:rsidRPr="00540FE0">
              <w:rPr>
                <w:rFonts w:eastAsia="Calibri"/>
                <w:vertAlign w:val="subscript"/>
                <w:lang w:val="en-GB" w:eastAsia="it-IT"/>
              </w:rPr>
              <w:t>50</w:t>
            </w:r>
          </w:p>
        </w:tc>
        <w:tc>
          <w:tcPr>
            <w:tcW w:w="1440" w:type="dxa"/>
          </w:tcPr>
          <w:p w14:paraId="4CC16ACC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m:oMath>
              <m:r>
                <w:rPr>
                  <w:rFonts w:ascii="Cambria Math" w:eastAsia="Calibri" w:hAnsi="Cambria Math"/>
                  <w:lang w:val="en-GB" w:eastAsia="it-IT"/>
                </w:rPr>
                <m:t>±</m:t>
              </m:r>
            </m:oMath>
            <w:r w:rsidRPr="00540FE0">
              <w:rPr>
                <w:rFonts w:eastAsia="Calibri"/>
                <w:lang w:val="en-GB" w:eastAsia="it-IT"/>
              </w:rPr>
              <w:t xml:space="preserve"> 2 mm</w:t>
            </w:r>
          </w:p>
        </w:tc>
      </w:tr>
      <w:tr w:rsidR="00807490" w14:paraId="521725C9" w14:textId="77777777" w:rsidTr="00ED08F5">
        <w:trPr>
          <w:jc w:val="center"/>
        </w:trPr>
        <w:tc>
          <w:tcPr>
            <w:tcW w:w="2383" w:type="dxa"/>
          </w:tcPr>
          <w:p w14:paraId="10F02550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R</w:t>
            </w:r>
            <w:r w:rsidRPr="00540FE0">
              <w:rPr>
                <w:rFonts w:eastAsia="Calibri"/>
                <w:vertAlign w:val="subscript"/>
                <w:lang w:val="en-GB" w:eastAsia="it-IT"/>
              </w:rPr>
              <w:t>90</w:t>
            </w:r>
          </w:p>
        </w:tc>
        <w:tc>
          <w:tcPr>
            <w:tcW w:w="1440" w:type="dxa"/>
          </w:tcPr>
          <w:p w14:paraId="67D42EE0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NA</w:t>
            </w:r>
          </w:p>
        </w:tc>
      </w:tr>
      <w:tr w:rsidR="00807490" w14:paraId="4017F60B" w14:textId="77777777" w:rsidTr="00ED08F5">
        <w:trPr>
          <w:jc w:val="center"/>
        </w:trPr>
        <w:tc>
          <w:tcPr>
            <w:tcW w:w="2383" w:type="dxa"/>
          </w:tcPr>
          <w:p w14:paraId="5D1164C3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R</w:t>
            </w:r>
            <w:r w:rsidRPr="00540FE0">
              <w:rPr>
                <w:rFonts w:eastAsia="Calibri"/>
                <w:vertAlign w:val="subscript"/>
                <w:lang w:val="en-GB" w:eastAsia="it-IT"/>
              </w:rPr>
              <w:t>100</w:t>
            </w:r>
          </w:p>
        </w:tc>
        <w:tc>
          <w:tcPr>
            <w:tcW w:w="1440" w:type="dxa"/>
          </w:tcPr>
          <w:p w14:paraId="7F537762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NA</w:t>
            </w:r>
          </w:p>
        </w:tc>
      </w:tr>
      <w:tr w:rsidR="00807490" w14:paraId="52DD29EE" w14:textId="77777777" w:rsidTr="00ED08F5">
        <w:trPr>
          <w:jc w:val="center"/>
        </w:trPr>
        <w:tc>
          <w:tcPr>
            <w:tcW w:w="2383" w:type="dxa"/>
          </w:tcPr>
          <w:p w14:paraId="7246DF2E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PDD stability (R</w:t>
            </w:r>
            <w:r w:rsidRPr="00540FE0">
              <w:rPr>
                <w:rFonts w:eastAsia="Calibri"/>
                <w:vertAlign w:val="subscript"/>
                <w:lang w:val="en-GB" w:eastAsia="it-IT"/>
              </w:rPr>
              <w:t>50</w:t>
            </w:r>
            <w:r w:rsidRPr="00540FE0">
              <w:rPr>
                <w:rFonts w:eastAsia="Calibri"/>
                <w:lang w:val="en-GB" w:eastAsia="it-IT"/>
              </w:rPr>
              <w:t>)</w:t>
            </w:r>
          </w:p>
        </w:tc>
        <w:tc>
          <w:tcPr>
            <w:tcW w:w="1440" w:type="dxa"/>
          </w:tcPr>
          <w:p w14:paraId="23ECEA17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m:oMath>
              <m:r>
                <w:rPr>
                  <w:rFonts w:ascii="Cambria Math" w:eastAsia="Calibri" w:hAnsi="Cambria Math"/>
                  <w:lang w:val="en-GB" w:eastAsia="it-IT"/>
                </w:rPr>
                <m:t>±</m:t>
              </m:r>
            </m:oMath>
            <w:r w:rsidRPr="00540FE0">
              <w:rPr>
                <w:rFonts w:eastAsia="Calibri"/>
                <w:lang w:val="en-GB" w:eastAsia="it-IT"/>
              </w:rPr>
              <w:t xml:space="preserve"> 1 mm</w:t>
            </w:r>
          </w:p>
        </w:tc>
      </w:tr>
      <w:tr w:rsidR="00807490" w14:paraId="68853070" w14:textId="77777777" w:rsidTr="00ED08F5">
        <w:trPr>
          <w:jc w:val="center"/>
        </w:trPr>
        <w:tc>
          <w:tcPr>
            <w:tcW w:w="2383" w:type="dxa"/>
          </w:tcPr>
          <w:p w14:paraId="099E646F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PDD stability (fields)</w:t>
            </w:r>
          </w:p>
        </w:tc>
        <w:tc>
          <w:tcPr>
            <w:tcW w:w="1440" w:type="dxa"/>
          </w:tcPr>
          <w:p w14:paraId="1C7FA90E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m:oMath>
              <m:r>
                <w:rPr>
                  <w:rFonts w:ascii="Cambria Math" w:eastAsia="Calibri" w:hAnsi="Cambria Math"/>
                  <w:lang w:val="en-GB" w:eastAsia="it-IT"/>
                </w:rPr>
                <m:t>±</m:t>
              </m:r>
            </m:oMath>
            <w:r w:rsidRPr="00540FE0">
              <w:rPr>
                <w:rFonts w:eastAsia="Calibri"/>
                <w:lang w:val="en-GB" w:eastAsia="it-IT"/>
              </w:rPr>
              <w:t xml:space="preserve"> 1 mm</w:t>
            </w:r>
          </w:p>
        </w:tc>
      </w:tr>
      <w:tr w:rsidR="00807490" w14:paraId="57B7005F" w14:textId="77777777" w:rsidTr="00ED08F5">
        <w:trPr>
          <w:jc w:val="center"/>
        </w:trPr>
        <w:tc>
          <w:tcPr>
            <w:tcW w:w="2383" w:type="dxa"/>
          </w:tcPr>
          <w:p w14:paraId="58A014EC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Symmetry</w:t>
            </w:r>
          </w:p>
        </w:tc>
        <w:tc>
          <w:tcPr>
            <w:tcW w:w="1440" w:type="dxa"/>
          </w:tcPr>
          <w:p w14:paraId="104F9294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&lt; 3%</w:t>
            </w:r>
          </w:p>
        </w:tc>
      </w:tr>
      <w:tr w:rsidR="00807490" w14:paraId="62B29CFD" w14:textId="77777777" w:rsidTr="00ED08F5">
        <w:trPr>
          <w:jc w:val="center"/>
        </w:trPr>
        <w:tc>
          <w:tcPr>
            <w:tcW w:w="2383" w:type="dxa"/>
          </w:tcPr>
          <w:p w14:paraId="229616BA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Flatness</w:t>
            </w:r>
          </w:p>
        </w:tc>
        <w:tc>
          <w:tcPr>
            <w:tcW w:w="1440" w:type="dxa"/>
          </w:tcPr>
          <w:p w14:paraId="72F2ABB8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NA</w:t>
            </w:r>
          </w:p>
        </w:tc>
      </w:tr>
      <w:tr w:rsidR="00807490" w14:paraId="6C70E0C9" w14:textId="77777777" w:rsidTr="00ED08F5">
        <w:trPr>
          <w:jc w:val="center"/>
        </w:trPr>
        <w:tc>
          <w:tcPr>
            <w:tcW w:w="2383" w:type="dxa"/>
          </w:tcPr>
          <w:p w14:paraId="793D8C85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Short term stability</w:t>
            </w:r>
          </w:p>
        </w:tc>
        <w:tc>
          <w:tcPr>
            <w:tcW w:w="1440" w:type="dxa"/>
          </w:tcPr>
          <w:p w14:paraId="4944B8C3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&lt; 2%</w:t>
            </w:r>
          </w:p>
        </w:tc>
      </w:tr>
      <w:tr w:rsidR="00807490" w14:paraId="0DD025FA" w14:textId="77777777" w:rsidTr="00ED08F5">
        <w:trPr>
          <w:jc w:val="center"/>
        </w:trPr>
        <w:tc>
          <w:tcPr>
            <w:tcW w:w="2383" w:type="dxa"/>
          </w:tcPr>
          <w:p w14:paraId="416C77F4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Long term stability</w:t>
            </w:r>
          </w:p>
        </w:tc>
        <w:tc>
          <w:tcPr>
            <w:tcW w:w="1440" w:type="dxa"/>
          </w:tcPr>
          <w:p w14:paraId="7942AC12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&lt; 5%</w:t>
            </w:r>
          </w:p>
        </w:tc>
      </w:tr>
      <w:tr w:rsidR="00807490" w14:paraId="0908C15F" w14:textId="77777777" w:rsidTr="00ED08F5">
        <w:trPr>
          <w:jc w:val="center"/>
        </w:trPr>
        <w:tc>
          <w:tcPr>
            <w:tcW w:w="2383" w:type="dxa"/>
          </w:tcPr>
          <w:p w14:paraId="054DAFFB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Linearity measurements</w:t>
            </w:r>
          </w:p>
        </w:tc>
        <w:tc>
          <w:tcPr>
            <w:tcW w:w="1440" w:type="dxa"/>
          </w:tcPr>
          <w:p w14:paraId="1064E097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R</w:t>
            </w:r>
            <w:r w:rsidRPr="00540FE0">
              <w:rPr>
                <w:rFonts w:eastAsia="Calibri"/>
                <w:vertAlign w:val="superscript"/>
                <w:lang w:val="en-GB" w:eastAsia="it-IT"/>
              </w:rPr>
              <w:t>2</w:t>
            </w:r>
            <w:r w:rsidRPr="00540FE0">
              <w:rPr>
                <w:rFonts w:eastAsia="Calibri"/>
                <w:lang w:val="en-GB" w:eastAsia="it-IT"/>
              </w:rPr>
              <w:t xml:space="preserve"> &gt; 0.995</w:t>
            </w:r>
          </w:p>
        </w:tc>
      </w:tr>
      <w:tr w:rsidR="00807490" w14:paraId="2C28AC8B" w14:textId="77777777" w:rsidTr="00ED08F5">
        <w:trPr>
          <w:jc w:val="center"/>
        </w:trPr>
        <w:tc>
          <w:tcPr>
            <w:tcW w:w="2383" w:type="dxa"/>
          </w:tcPr>
          <w:p w14:paraId="2FEF1C0D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Linearity dose - MU</w:t>
            </w:r>
          </w:p>
        </w:tc>
        <w:tc>
          <w:tcPr>
            <w:tcW w:w="1440" w:type="dxa"/>
          </w:tcPr>
          <w:p w14:paraId="0313DD97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&lt; 3%</w:t>
            </w:r>
          </w:p>
        </w:tc>
      </w:tr>
      <w:tr w:rsidR="00807490" w14:paraId="37E7C7B8" w14:textId="77777777" w:rsidTr="00ED08F5">
        <w:trPr>
          <w:jc w:val="center"/>
        </w:trPr>
        <w:tc>
          <w:tcPr>
            <w:tcW w:w="2383" w:type="dxa"/>
          </w:tcPr>
          <w:p w14:paraId="2F701D4D" w14:textId="77777777" w:rsidR="00807490" w:rsidRDefault="00807490" w:rsidP="00ED08F5">
            <w:pPr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Linearity dose - PRF</w:t>
            </w:r>
          </w:p>
        </w:tc>
        <w:tc>
          <w:tcPr>
            <w:tcW w:w="1440" w:type="dxa"/>
          </w:tcPr>
          <w:p w14:paraId="7B20E46B" w14:textId="77777777" w:rsidR="00807490" w:rsidRDefault="00807490" w:rsidP="00ED08F5">
            <w:pPr>
              <w:keepNext/>
              <w:widowControl w:val="0"/>
              <w:spacing w:after="0"/>
              <w:jc w:val="center"/>
              <w:rPr>
                <w:lang w:val="en-GB" w:eastAsia="it-IT"/>
              </w:rPr>
            </w:pPr>
            <w:r w:rsidRPr="00540FE0">
              <w:rPr>
                <w:rFonts w:eastAsia="Calibri"/>
                <w:lang w:val="en-GB" w:eastAsia="it-IT"/>
              </w:rPr>
              <w:t>&lt; 3%</w:t>
            </w:r>
          </w:p>
        </w:tc>
      </w:tr>
    </w:tbl>
    <w:p w14:paraId="4916FCC9" w14:textId="59BF9B1C" w:rsidR="00994A3D" w:rsidRDefault="00807490" w:rsidP="00E53C66">
      <w:pPr>
        <w:pStyle w:val="Heading2"/>
        <w:keepNext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644944E" wp14:editId="386A1BF7">
            <wp:simplePos x="0" y="0"/>
            <wp:positionH relativeFrom="page">
              <wp:align>center</wp:align>
            </wp:positionH>
            <wp:positionV relativeFrom="paragraph">
              <wp:posOffset>298450</wp:posOffset>
            </wp:positionV>
            <wp:extent cx="6208395" cy="475043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A3D" w:rsidRPr="0001436A">
        <w:t>Supplementary</w:t>
      </w:r>
      <w:r w:rsidR="00994A3D" w:rsidRPr="001549D3">
        <w:t xml:space="preserve"> Figures</w:t>
      </w:r>
    </w:p>
    <w:p w14:paraId="26AE6CD8" w14:textId="26700516" w:rsidR="00807490" w:rsidRPr="00807490" w:rsidRDefault="00807490" w:rsidP="00807490">
      <w:pPr>
        <w:keepNext/>
        <w:jc w:val="center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871859">
        <w:rPr>
          <w:b/>
          <w:bCs/>
        </w:rPr>
        <w:t>7MeV PDDs for various applicators</w:t>
      </w:r>
    </w:p>
    <w:p w14:paraId="23FD6852" w14:textId="22D9BE2F" w:rsidR="00807490" w:rsidRPr="00807490" w:rsidRDefault="00807490" w:rsidP="0080749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3017B7D" wp14:editId="77B9EDFC">
            <wp:extent cx="6208395" cy="475043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7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490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871859">
        <w:rPr>
          <w:b/>
          <w:bCs/>
        </w:rPr>
        <w:t>7MeV PDDs for different beam currents</w:t>
      </w:r>
    </w:p>
    <w:p w14:paraId="58F1AED1" w14:textId="4B97E2A3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6EA51" w14:textId="77777777" w:rsidR="000507AD" w:rsidRDefault="000507AD" w:rsidP="00117666">
      <w:pPr>
        <w:spacing w:after="0"/>
      </w:pPr>
      <w:r>
        <w:separator/>
      </w:r>
    </w:p>
  </w:endnote>
  <w:endnote w:type="continuationSeparator" w:id="0">
    <w:p w14:paraId="165B918D" w14:textId="77777777" w:rsidR="000507AD" w:rsidRDefault="000507A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A292D" w14:textId="77777777" w:rsidR="000507AD" w:rsidRDefault="000507AD" w:rsidP="00117666">
      <w:pPr>
        <w:spacing w:after="0"/>
      </w:pPr>
      <w:r>
        <w:separator/>
      </w:r>
    </w:p>
  </w:footnote>
  <w:footnote w:type="continuationSeparator" w:id="0">
    <w:p w14:paraId="4CB683F6" w14:textId="77777777" w:rsidR="000507AD" w:rsidRDefault="000507A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07AD"/>
    <w:rsid w:val="00052A14"/>
    <w:rsid w:val="00077D53"/>
    <w:rsid w:val="00105FD9"/>
    <w:rsid w:val="00117666"/>
    <w:rsid w:val="001549D3"/>
    <w:rsid w:val="00160065"/>
    <w:rsid w:val="00177D84"/>
    <w:rsid w:val="001A03B9"/>
    <w:rsid w:val="00267D18"/>
    <w:rsid w:val="002868E2"/>
    <w:rsid w:val="002869C3"/>
    <w:rsid w:val="002936E4"/>
    <w:rsid w:val="002B4A57"/>
    <w:rsid w:val="002C74CA"/>
    <w:rsid w:val="003544FB"/>
    <w:rsid w:val="003B26AF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07490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8</TotalTime>
  <Pages>3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Valentina Martini</cp:lastModifiedBy>
  <cp:revision>5</cp:revision>
  <cp:lastPrinted>2013-10-03T12:51:00Z</cp:lastPrinted>
  <dcterms:created xsi:type="dcterms:W3CDTF">2022-11-17T16:58:00Z</dcterms:created>
  <dcterms:modified xsi:type="dcterms:W3CDTF">2023-10-27T09:27:00Z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