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9DE6" w14:textId="57C2C3CB" w:rsidR="005C511A" w:rsidRDefault="005C511A" w:rsidP="005C511A">
      <w:pPr>
        <w:spacing w:line="240" w:lineRule="auto"/>
        <w:jc w:val="both"/>
        <w:rPr>
          <w:rFonts w:ascii="Times New Roman" w:hAnsi="Times New Roman"/>
          <w:sz w:val="24"/>
          <w:szCs w:val="24"/>
        </w:rPr>
      </w:pPr>
      <w:bookmarkStart w:id="0" w:name="_GoBack"/>
      <w:bookmarkEnd w:id="0"/>
      <w:r>
        <w:rPr>
          <w:rFonts w:ascii="Times New Roman" w:hAnsi="Times New Roman"/>
          <w:sz w:val="24"/>
          <w:szCs w:val="24"/>
        </w:rPr>
        <w:t xml:space="preserve">Table 1: </w:t>
      </w:r>
      <w:r w:rsidRPr="00BE6ECC">
        <w:rPr>
          <w:rFonts w:ascii="Times New Roman" w:hAnsi="Times New Roman"/>
          <w:b/>
          <w:bCs/>
          <w:sz w:val="24"/>
          <w:szCs w:val="24"/>
        </w:rPr>
        <w:t>Myt1 overexpression promotes resistance to DNA damage and cell cycle checkpoint kinase inhibitors</w:t>
      </w:r>
      <w:r>
        <w:rPr>
          <w:rFonts w:ascii="Times New Roman" w:hAnsi="Times New Roman"/>
          <w:sz w:val="24"/>
          <w:szCs w:val="24"/>
        </w:rPr>
        <w:t>. The table provides the IC50 values towards different cell cycle or DNA damage checkpoint kinase inhibitors calculated over 48 hours either in the presence or absence of tetracycline. The percent cell survival was evaluated using crystal violet assay and the</w:t>
      </w:r>
      <w:r w:rsidRPr="00A4221F">
        <w:rPr>
          <w:rFonts w:ascii="Times New Roman" w:hAnsi="Times New Roman"/>
          <w:sz w:val="24"/>
          <w:szCs w:val="24"/>
        </w:rPr>
        <w:t xml:space="preserve"> IC50</w:t>
      </w:r>
      <w:r>
        <w:rPr>
          <w:rFonts w:ascii="Times New Roman" w:hAnsi="Times New Roman"/>
          <w:sz w:val="24"/>
          <w:szCs w:val="24"/>
        </w:rPr>
        <w:t xml:space="preserve"> provided</w:t>
      </w:r>
      <w:r w:rsidRPr="00A4221F">
        <w:rPr>
          <w:rFonts w:ascii="Times New Roman" w:hAnsi="Times New Roman"/>
          <w:sz w:val="24"/>
          <w:szCs w:val="24"/>
        </w:rPr>
        <w:t xml:space="preserve"> is in </w:t>
      </w:r>
      <w:proofErr w:type="spellStart"/>
      <w:r w:rsidRPr="00A4221F">
        <w:rPr>
          <w:rFonts w:ascii="Times New Roman" w:hAnsi="Times New Roman"/>
          <w:sz w:val="24"/>
          <w:szCs w:val="24"/>
        </w:rPr>
        <w:t>nM</w:t>
      </w:r>
      <w:proofErr w:type="spellEnd"/>
      <w:r w:rsidRPr="00A4221F">
        <w:rPr>
          <w:rFonts w:ascii="Times New Roman" w:hAnsi="Times New Roman"/>
          <w:sz w:val="24"/>
          <w:szCs w:val="24"/>
        </w:rPr>
        <w:t xml:space="preserve"> with a corresponding 95%CI.</w:t>
      </w:r>
      <w:r>
        <w:rPr>
          <w:rFonts w:ascii="Times New Roman" w:hAnsi="Times New Roman"/>
          <w:sz w:val="24"/>
          <w:szCs w:val="24"/>
        </w:rPr>
        <w:t xml:space="preserve"> The experiment was repeated three times. </w:t>
      </w:r>
    </w:p>
    <w:p w14:paraId="65DE2161" w14:textId="77777777" w:rsidR="005C511A" w:rsidRDefault="005C511A" w:rsidP="005C511A">
      <w:pPr>
        <w:spacing w:line="240" w:lineRule="auto"/>
        <w:jc w:val="both"/>
        <w:rPr>
          <w:rFonts w:ascii="Times New Roman" w:hAnsi="Times New Roman"/>
          <w:sz w:val="24"/>
          <w:szCs w:val="24"/>
        </w:rPr>
      </w:pPr>
    </w:p>
    <w:tbl>
      <w:tblPr>
        <w:tblW w:w="5940" w:type="dxa"/>
        <w:shd w:val="clear" w:color="auto" w:fill="FFFFFF"/>
        <w:tblCellMar>
          <w:left w:w="0" w:type="dxa"/>
          <w:right w:w="0" w:type="dxa"/>
        </w:tblCellMar>
        <w:tblLook w:val="04A0" w:firstRow="1" w:lastRow="0" w:firstColumn="1" w:lastColumn="0" w:noHBand="0" w:noVBand="1"/>
      </w:tblPr>
      <w:tblGrid>
        <w:gridCol w:w="1320"/>
        <w:gridCol w:w="2233"/>
        <w:gridCol w:w="2387"/>
      </w:tblGrid>
      <w:tr w:rsidR="005C511A" w:rsidRPr="00A4221F" w14:paraId="236D7F11" w14:textId="77777777" w:rsidTr="00B429D5">
        <w:trPr>
          <w:trHeight w:val="320"/>
        </w:trPr>
        <w:tc>
          <w:tcPr>
            <w:tcW w:w="1320" w:type="dxa"/>
            <w:vMerge w:val="restart"/>
            <w:tcBorders>
              <w:top w:val="single" w:sz="8" w:space="0" w:color="auto"/>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6DF636C"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b/>
                <w:bCs/>
                <w:sz w:val="24"/>
                <w:szCs w:val="24"/>
              </w:rPr>
              <w:t>Treatment</w:t>
            </w:r>
          </w:p>
        </w:tc>
        <w:tc>
          <w:tcPr>
            <w:tcW w:w="4620" w:type="dxa"/>
            <w:gridSpan w:val="2"/>
            <w:tcBorders>
              <w:top w:val="single" w:sz="8" w:space="0" w:color="auto"/>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2F606BE"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b/>
                <w:bCs/>
                <w:sz w:val="24"/>
                <w:szCs w:val="24"/>
              </w:rPr>
              <w:t xml:space="preserve">IC50 post 48 h in </w:t>
            </w:r>
            <w:proofErr w:type="spellStart"/>
            <w:r w:rsidRPr="00A4221F">
              <w:rPr>
                <w:rFonts w:ascii="Times New Roman" w:hAnsi="Times New Roman"/>
                <w:b/>
                <w:bCs/>
                <w:sz w:val="24"/>
                <w:szCs w:val="24"/>
              </w:rPr>
              <w:t>nM</w:t>
            </w:r>
            <w:proofErr w:type="spellEnd"/>
            <w:r w:rsidRPr="00A4221F">
              <w:rPr>
                <w:rFonts w:ascii="Times New Roman" w:hAnsi="Times New Roman"/>
                <w:b/>
                <w:bCs/>
                <w:sz w:val="24"/>
                <w:szCs w:val="24"/>
              </w:rPr>
              <w:t xml:space="preserve"> (95%CI)</w:t>
            </w:r>
          </w:p>
        </w:tc>
      </w:tr>
      <w:tr w:rsidR="005C511A" w:rsidRPr="00A4221F" w14:paraId="3E9F3D45" w14:textId="77777777" w:rsidTr="00B429D5">
        <w:trPr>
          <w:trHeight w:val="32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AB07310" w14:textId="77777777" w:rsidR="005C511A" w:rsidRPr="00A4221F" w:rsidRDefault="005C511A" w:rsidP="00B429D5">
            <w:pPr>
              <w:spacing w:line="240" w:lineRule="auto"/>
              <w:jc w:val="both"/>
              <w:rPr>
                <w:rFonts w:ascii="Times New Roman" w:hAnsi="Times New Roman"/>
                <w:sz w:val="24"/>
                <w:szCs w:val="24"/>
              </w:rPr>
            </w:pP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1E3AF605"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b/>
                <w:bCs/>
                <w:sz w:val="24"/>
                <w:szCs w:val="24"/>
              </w:rPr>
              <w:t>Tet-</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6FCE30D"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b/>
                <w:bCs/>
                <w:sz w:val="24"/>
                <w:szCs w:val="24"/>
              </w:rPr>
              <w:t>Tet+</w:t>
            </w:r>
          </w:p>
        </w:tc>
      </w:tr>
      <w:tr w:rsidR="005C511A" w:rsidRPr="00A4221F" w14:paraId="61C59C22" w14:textId="77777777" w:rsidTr="00B429D5">
        <w:trPr>
          <w:trHeight w:val="320"/>
        </w:trPr>
        <w:tc>
          <w:tcPr>
            <w:tcW w:w="0" w:type="auto"/>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DFE47D8" w14:textId="77777777" w:rsidR="005C511A" w:rsidRPr="00A4221F" w:rsidRDefault="005C511A" w:rsidP="00B429D5">
            <w:pPr>
              <w:spacing w:line="240" w:lineRule="auto"/>
              <w:jc w:val="both"/>
              <w:rPr>
                <w:rFonts w:ascii="Times New Roman" w:hAnsi="Times New Roman"/>
                <w:sz w:val="24"/>
                <w:szCs w:val="24"/>
              </w:rPr>
            </w:pPr>
            <w:proofErr w:type="spellStart"/>
            <w:r>
              <w:rPr>
                <w:rFonts w:ascii="Times New Roman" w:hAnsi="Times New Roman"/>
                <w:b/>
                <w:bCs/>
                <w:sz w:val="24"/>
                <w:szCs w:val="24"/>
              </w:rPr>
              <w:t>Adavosertib</w:t>
            </w:r>
            <w:proofErr w:type="spellEnd"/>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1F172A1F"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sz w:val="24"/>
                <w:szCs w:val="24"/>
              </w:rPr>
              <w:t>120 (114 to 124)</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6B7BC74"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sz w:val="24"/>
                <w:szCs w:val="24"/>
              </w:rPr>
              <w:t>308 (231 to 419)</w:t>
            </w:r>
          </w:p>
        </w:tc>
      </w:tr>
      <w:tr w:rsidR="005C511A" w:rsidRPr="00A4221F" w14:paraId="68365D9D" w14:textId="77777777" w:rsidTr="00B429D5">
        <w:trPr>
          <w:trHeight w:val="320"/>
        </w:trPr>
        <w:tc>
          <w:tcPr>
            <w:tcW w:w="0" w:type="auto"/>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503B710" w14:textId="77777777" w:rsidR="005C511A" w:rsidRPr="00A4221F" w:rsidRDefault="005C511A" w:rsidP="00B429D5">
            <w:pPr>
              <w:spacing w:line="240" w:lineRule="auto"/>
              <w:jc w:val="both"/>
              <w:rPr>
                <w:rFonts w:ascii="Times New Roman" w:hAnsi="Times New Roman"/>
                <w:b/>
                <w:bCs/>
                <w:sz w:val="24"/>
                <w:szCs w:val="24"/>
              </w:rPr>
            </w:pPr>
            <w:r w:rsidRPr="00A4221F">
              <w:rPr>
                <w:rFonts w:ascii="Times New Roman" w:hAnsi="Times New Roman"/>
                <w:b/>
                <w:bCs/>
                <w:sz w:val="24"/>
                <w:szCs w:val="24"/>
              </w:rPr>
              <w:t>PD</w:t>
            </w:r>
            <w:r>
              <w:rPr>
                <w:rFonts w:ascii="Times New Roman" w:hAnsi="Times New Roman"/>
                <w:b/>
                <w:bCs/>
                <w:sz w:val="24"/>
                <w:szCs w:val="24"/>
              </w:rPr>
              <w:t>166285</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2A92E48A"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sz w:val="24"/>
                <w:szCs w:val="24"/>
              </w:rPr>
              <w:t>48 (40 to 58)</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60564232"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sz w:val="24"/>
                <w:szCs w:val="24"/>
              </w:rPr>
              <w:t>147 (107 to 202)</w:t>
            </w:r>
          </w:p>
        </w:tc>
      </w:tr>
      <w:tr w:rsidR="005C511A" w:rsidRPr="00A4221F" w14:paraId="6BAE0EB5" w14:textId="77777777" w:rsidTr="00B429D5">
        <w:trPr>
          <w:trHeight w:val="320"/>
        </w:trPr>
        <w:tc>
          <w:tcPr>
            <w:tcW w:w="0" w:type="auto"/>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8B24DFE" w14:textId="77777777" w:rsidR="005C511A" w:rsidRPr="00A4221F" w:rsidRDefault="005C511A" w:rsidP="00B429D5">
            <w:pPr>
              <w:spacing w:line="240" w:lineRule="auto"/>
              <w:jc w:val="both"/>
              <w:rPr>
                <w:rFonts w:ascii="Times New Roman" w:hAnsi="Times New Roman"/>
                <w:b/>
                <w:bCs/>
                <w:sz w:val="24"/>
                <w:szCs w:val="24"/>
              </w:rPr>
            </w:pPr>
            <w:r w:rsidRPr="00A4221F">
              <w:rPr>
                <w:rFonts w:ascii="Times New Roman" w:hAnsi="Times New Roman"/>
                <w:b/>
                <w:bCs/>
                <w:sz w:val="24"/>
                <w:szCs w:val="24"/>
              </w:rPr>
              <w:t>AZ6738</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B66C9B6"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sz w:val="24"/>
                <w:szCs w:val="24"/>
              </w:rPr>
              <w:t>846 (766 to 931)</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1552D0C"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sz w:val="24"/>
                <w:szCs w:val="24"/>
              </w:rPr>
              <w:t>1467 (1305 to 1651)</w:t>
            </w:r>
          </w:p>
        </w:tc>
      </w:tr>
      <w:tr w:rsidR="005C511A" w:rsidRPr="00A4221F" w14:paraId="23DC5C04" w14:textId="77777777" w:rsidTr="00B429D5">
        <w:trPr>
          <w:trHeight w:val="320"/>
        </w:trPr>
        <w:tc>
          <w:tcPr>
            <w:tcW w:w="0" w:type="auto"/>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F771E95" w14:textId="77777777" w:rsidR="005C511A" w:rsidRPr="00A4221F" w:rsidRDefault="005C511A" w:rsidP="00B429D5">
            <w:pPr>
              <w:spacing w:line="240" w:lineRule="auto"/>
              <w:jc w:val="both"/>
              <w:rPr>
                <w:rFonts w:ascii="Times New Roman" w:hAnsi="Times New Roman"/>
                <w:b/>
                <w:bCs/>
                <w:sz w:val="24"/>
                <w:szCs w:val="24"/>
              </w:rPr>
            </w:pPr>
            <w:r w:rsidRPr="00A4221F">
              <w:rPr>
                <w:rFonts w:ascii="Times New Roman" w:hAnsi="Times New Roman"/>
                <w:b/>
                <w:bCs/>
                <w:sz w:val="24"/>
                <w:szCs w:val="24"/>
              </w:rPr>
              <w:t>UCN-01</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67DCF219"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sz w:val="24"/>
                <w:szCs w:val="24"/>
              </w:rPr>
              <w:t>1000 (848 to 1177)</w:t>
            </w:r>
          </w:p>
        </w:tc>
        <w:tc>
          <w:tcPr>
            <w:tcW w:w="0" w:type="auto"/>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22409D39" w14:textId="77777777" w:rsidR="005C511A" w:rsidRPr="00A4221F" w:rsidRDefault="005C511A" w:rsidP="00B429D5">
            <w:pPr>
              <w:spacing w:line="240" w:lineRule="auto"/>
              <w:jc w:val="both"/>
              <w:rPr>
                <w:rFonts w:ascii="Times New Roman" w:hAnsi="Times New Roman"/>
                <w:sz w:val="24"/>
                <w:szCs w:val="24"/>
              </w:rPr>
            </w:pPr>
            <w:r w:rsidRPr="00A4221F">
              <w:rPr>
                <w:rFonts w:ascii="Times New Roman" w:hAnsi="Times New Roman"/>
                <w:sz w:val="24"/>
                <w:szCs w:val="24"/>
              </w:rPr>
              <w:t>2320 (1956 to 2776)</w:t>
            </w:r>
          </w:p>
        </w:tc>
      </w:tr>
    </w:tbl>
    <w:p w14:paraId="0724BC8E" w14:textId="77777777" w:rsidR="00314F9B" w:rsidRDefault="00314F9B"/>
    <w:sectPr w:rsidR="00314F9B" w:rsidSect="007C2D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1A"/>
    <w:rsid w:val="00003C37"/>
    <w:rsid w:val="00012A28"/>
    <w:rsid w:val="000145BD"/>
    <w:rsid w:val="00022BAF"/>
    <w:rsid w:val="00023199"/>
    <w:rsid w:val="0002431C"/>
    <w:rsid w:val="0003674B"/>
    <w:rsid w:val="00065D2D"/>
    <w:rsid w:val="000665BD"/>
    <w:rsid w:val="000814C8"/>
    <w:rsid w:val="00081E7E"/>
    <w:rsid w:val="00090731"/>
    <w:rsid w:val="00092639"/>
    <w:rsid w:val="00096612"/>
    <w:rsid w:val="000A1C80"/>
    <w:rsid w:val="000A2BE2"/>
    <w:rsid w:val="000A394A"/>
    <w:rsid w:val="000A724C"/>
    <w:rsid w:val="000B1987"/>
    <w:rsid w:val="000B701F"/>
    <w:rsid w:val="000C3CF3"/>
    <w:rsid w:val="000D1E1F"/>
    <w:rsid w:val="000E700D"/>
    <w:rsid w:val="000E707D"/>
    <w:rsid w:val="000F1306"/>
    <w:rsid w:val="00101CFA"/>
    <w:rsid w:val="00101FC1"/>
    <w:rsid w:val="00104D76"/>
    <w:rsid w:val="00110349"/>
    <w:rsid w:val="00112DE4"/>
    <w:rsid w:val="00123EE2"/>
    <w:rsid w:val="00131685"/>
    <w:rsid w:val="001546ED"/>
    <w:rsid w:val="00166EDA"/>
    <w:rsid w:val="00193E7A"/>
    <w:rsid w:val="00194365"/>
    <w:rsid w:val="001A0202"/>
    <w:rsid w:val="001A1A3F"/>
    <w:rsid w:val="001A76A3"/>
    <w:rsid w:val="001B4CB2"/>
    <w:rsid w:val="001C0DA9"/>
    <w:rsid w:val="001C6531"/>
    <w:rsid w:val="001D10EC"/>
    <w:rsid w:val="001F09D9"/>
    <w:rsid w:val="001F55DB"/>
    <w:rsid w:val="00211B5B"/>
    <w:rsid w:val="00220E8C"/>
    <w:rsid w:val="00221CF4"/>
    <w:rsid w:val="00225938"/>
    <w:rsid w:val="00226F92"/>
    <w:rsid w:val="0023324B"/>
    <w:rsid w:val="00244423"/>
    <w:rsid w:val="00265AE0"/>
    <w:rsid w:val="002729AF"/>
    <w:rsid w:val="00280F11"/>
    <w:rsid w:val="00285FA4"/>
    <w:rsid w:val="00291925"/>
    <w:rsid w:val="002A2B06"/>
    <w:rsid w:val="002A3E74"/>
    <w:rsid w:val="002B5F4D"/>
    <w:rsid w:val="002C0740"/>
    <w:rsid w:val="002D111B"/>
    <w:rsid w:val="002D1C5B"/>
    <w:rsid w:val="002E2A5E"/>
    <w:rsid w:val="002F38CF"/>
    <w:rsid w:val="00301B11"/>
    <w:rsid w:val="00307F8F"/>
    <w:rsid w:val="00312424"/>
    <w:rsid w:val="00314F9B"/>
    <w:rsid w:val="0031658D"/>
    <w:rsid w:val="00321385"/>
    <w:rsid w:val="003251AF"/>
    <w:rsid w:val="00333281"/>
    <w:rsid w:val="00335C99"/>
    <w:rsid w:val="00355EFD"/>
    <w:rsid w:val="0036219F"/>
    <w:rsid w:val="0037509F"/>
    <w:rsid w:val="0038002C"/>
    <w:rsid w:val="00395E65"/>
    <w:rsid w:val="00396B39"/>
    <w:rsid w:val="003A7AD1"/>
    <w:rsid w:val="003B5AD8"/>
    <w:rsid w:val="003B622B"/>
    <w:rsid w:val="003C0405"/>
    <w:rsid w:val="003C5BF3"/>
    <w:rsid w:val="003C65DA"/>
    <w:rsid w:val="003F1E1C"/>
    <w:rsid w:val="003F2B7E"/>
    <w:rsid w:val="00400CDF"/>
    <w:rsid w:val="004017BF"/>
    <w:rsid w:val="00402CAF"/>
    <w:rsid w:val="004140C6"/>
    <w:rsid w:val="004200EC"/>
    <w:rsid w:val="00447738"/>
    <w:rsid w:val="0044783E"/>
    <w:rsid w:val="0045625F"/>
    <w:rsid w:val="004612DE"/>
    <w:rsid w:val="0046482B"/>
    <w:rsid w:val="004766F8"/>
    <w:rsid w:val="00483572"/>
    <w:rsid w:val="0048376D"/>
    <w:rsid w:val="00486994"/>
    <w:rsid w:val="00490E93"/>
    <w:rsid w:val="004C1A37"/>
    <w:rsid w:val="004C6EFB"/>
    <w:rsid w:val="004E002B"/>
    <w:rsid w:val="004E0E1E"/>
    <w:rsid w:val="004F1CB7"/>
    <w:rsid w:val="00506D28"/>
    <w:rsid w:val="00522DD4"/>
    <w:rsid w:val="0052671C"/>
    <w:rsid w:val="005341B2"/>
    <w:rsid w:val="00540185"/>
    <w:rsid w:val="005516A0"/>
    <w:rsid w:val="005568CE"/>
    <w:rsid w:val="00564BBB"/>
    <w:rsid w:val="00564FFB"/>
    <w:rsid w:val="005715B2"/>
    <w:rsid w:val="00580472"/>
    <w:rsid w:val="00582C0F"/>
    <w:rsid w:val="005846C0"/>
    <w:rsid w:val="005949F9"/>
    <w:rsid w:val="0059789E"/>
    <w:rsid w:val="005A1C80"/>
    <w:rsid w:val="005A3BF3"/>
    <w:rsid w:val="005B51B2"/>
    <w:rsid w:val="005B51D4"/>
    <w:rsid w:val="005C511A"/>
    <w:rsid w:val="005E10FB"/>
    <w:rsid w:val="005E1303"/>
    <w:rsid w:val="005E1872"/>
    <w:rsid w:val="006032F7"/>
    <w:rsid w:val="00603A4E"/>
    <w:rsid w:val="00636FC7"/>
    <w:rsid w:val="0064636C"/>
    <w:rsid w:val="00663A17"/>
    <w:rsid w:val="00665D06"/>
    <w:rsid w:val="00665F05"/>
    <w:rsid w:val="00676483"/>
    <w:rsid w:val="0067763E"/>
    <w:rsid w:val="006950FF"/>
    <w:rsid w:val="006D050F"/>
    <w:rsid w:val="006E2D74"/>
    <w:rsid w:val="006F0357"/>
    <w:rsid w:val="006F5070"/>
    <w:rsid w:val="006F5D87"/>
    <w:rsid w:val="00710B14"/>
    <w:rsid w:val="007174E4"/>
    <w:rsid w:val="00725B8C"/>
    <w:rsid w:val="007370DB"/>
    <w:rsid w:val="00746A74"/>
    <w:rsid w:val="007A0F71"/>
    <w:rsid w:val="007A2573"/>
    <w:rsid w:val="007A5878"/>
    <w:rsid w:val="007C2D31"/>
    <w:rsid w:val="007C40BB"/>
    <w:rsid w:val="007C4F80"/>
    <w:rsid w:val="007E3F9C"/>
    <w:rsid w:val="007E7729"/>
    <w:rsid w:val="007F0C4A"/>
    <w:rsid w:val="007F6D66"/>
    <w:rsid w:val="008059BB"/>
    <w:rsid w:val="00814FCD"/>
    <w:rsid w:val="00831439"/>
    <w:rsid w:val="0083428F"/>
    <w:rsid w:val="0083447F"/>
    <w:rsid w:val="00837ACF"/>
    <w:rsid w:val="008401A4"/>
    <w:rsid w:val="00854139"/>
    <w:rsid w:val="0085709F"/>
    <w:rsid w:val="00857C24"/>
    <w:rsid w:val="00871C7A"/>
    <w:rsid w:val="00880AC6"/>
    <w:rsid w:val="008874CB"/>
    <w:rsid w:val="00892240"/>
    <w:rsid w:val="008B0FE6"/>
    <w:rsid w:val="008B13F8"/>
    <w:rsid w:val="008B25FC"/>
    <w:rsid w:val="008B63FB"/>
    <w:rsid w:val="008B65F3"/>
    <w:rsid w:val="008C5C35"/>
    <w:rsid w:val="008D5069"/>
    <w:rsid w:val="008D79E4"/>
    <w:rsid w:val="008E460C"/>
    <w:rsid w:val="00903B76"/>
    <w:rsid w:val="00912289"/>
    <w:rsid w:val="00932E14"/>
    <w:rsid w:val="00935BE2"/>
    <w:rsid w:val="0095017D"/>
    <w:rsid w:val="00950C16"/>
    <w:rsid w:val="00952359"/>
    <w:rsid w:val="009526F2"/>
    <w:rsid w:val="00962DC2"/>
    <w:rsid w:val="0096690D"/>
    <w:rsid w:val="00972514"/>
    <w:rsid w:val="00981164"/>
    <w:rsid w:val="0098225F"/>
    <w:rsid w:val="009B6FA0"/>
    <w:rsid w:val="009B7605"/>
    <w:rsid w:val="009C0692"/>
    <w:rsid w:val="009D459A"/>
    <w:rsid w:val="009D4CE7"/>
    <w:rsid w:val="009E28CB"/>
    <w:rsid w:val="00A162EB"/>
    <w:rsid w:val="00A16343"/>
    <w:rsid w:val="00A25B61"/>
    <w:rsid w:val="00A451C5"/>
    <w:rsid w:val="00A45ECF"/>
    <w:rsid w:val="00A5614E"/>
    <w:rsid w:val="00A6187D"/>
    <w:rsid w:val="00A80A4A"/>
    <w:rsid w:val="00A87DFF"/>
    <w:rsid w:val="00A94029"/>
    <w:rsid w:val="00A957C2"/>
    <w:rsid w:val="00AA4FB8"/>
    <w:rsid w:val="00AC597A"/>
    <w:rsid w:val="00AD3BB6"/>
    <w:rsid w:val="00AE1762"/>
    <w:rsid w:val="00AE5A53"/>
    <w:rsid w:val="00AF0B78"/>
    <w:rsid w:val="00AF5FFE"/>
    <w:rsid w:val="00B07745"/>
    <w:rsid w:val="00B24524"/>
    <w:rsid w:val="00B25E1F"/>
    <w:rsid w:val="00B40BE0"/>
    <w:rsid w:val="00B54F57"/>
    <w:rsid w:val="00B575AE"/>
    <w:rsid w:val="00B65A20"/>
    <w:rsid w:val="00B67262"/>
    <w:rsid w:val="00B90723"/>
    <w:rsid w:val="00BA78F3"/>
    <w:rsid w:val="00BB5ED0"/>
    <w:rsid w:val="00BD00B7"/>
    <w:rsid w:val="00BE0B14"/>
    <w:rsid w:val="00BE51DA"/>
    <w:rsid w:val="00BF0652"/>
    <w:rsid w:val="00C02E27"/>
    <w:rsid w:val="00C0418D"/>
    <w:rsid w:val="00C17199"/>
    <w:rsid w:val="00C17D4A"/>
    <w:rsid w:val="00C24476"/>
    <w:rsid w:val="00C27ED6"/>
    <w:rsid w:val="00C36D4C"/>
    <w:rsid w:val="00C4499D"/>
    <w:rsid w:val="00C5191E"/>
    <w:rsid w:val="00C56D45"/>
    <w:rsid w:val="00C60A88"/>
    <w:rsid w:val="00C74C69"/>
    <w:rsid w:val="00C77168"/>
    <w:rsid w:val="00C836AC"/>
    <w:rsid w:val="00C86E65"/>
    <w:rsid w:val="00C906A7"/>
    <w:rsid w:val="00CA6686"/>
    <w:rsid w:val="00CB1503"/>
    <w:rsid w:val="00CC5870"/>
    <w:rsid w:val="00CD0894"/>
    <w:rsid w:val="00CD58C5"/>
    <w:rsid w:val="00CE78EA"/>
    <w:rsid w:val="00CF3F79"/>
    <w:rsid w:val="00CF50ED"/>
    <w:rsid w:val="00D021B9"/>
    <w:rsid w:val="00D04F30"/>
    <w:rsid w:val="00D1065E"/>
    <w:rsid w:val="00D14768"/>
    <w:rsid w:val="00D150D2"/>
    <w:rsid w:val="00D15383"/>
    <w:rsid w:val="00D1565B"/>
    <w:rsid w:val="00D5594D"/>
    <w:rsid w:val="00D65D44"/>
    <w:rsid w:val="00D6624C"/>
    <w:rsid w:val="00D66A91"/>
    <w:rsid w:val="00D706EC"/>
    <w:rsid w:val="00D723FB"/>
    <w:rsid w:val="00D76AD2"/>
    <w:rsid w:val="00DC28FA"/>
    <w:rsid w:val="00DC2E3D"/>
    <w:rsid w:val="00DF6FF2"/>
    <w:rsid w:val="00DF7B00"/>
    <w:rsid w:val="00E006A6"/>
    <w:rsid w:val="00E0183C"/>
    <w:rsid w:val="00E07BB8"/>
    <w:rsid w:val="00E17818"/>
    <w:rsid w:val="00E21062"/>
    <w:rsid w:val="00E25E96"/>
    <w:rsid w:val="00E33612"/>
    <w:rsid w:val="00E37C8B"/>
    <w:rsid w:val="00E429C9"/>
    <w:rsid w:val="00E606F7"/>
    <w:rsid w:val="00E614B4"/>
    <w:rsid w:val="00E6346F"/>
    <w:rsid w:val="00E8406F"/>
    <w:rsid w:val="00E86329"/>
    <w:rsid w:val="00E91F02"/>
    <w:rsid w:val="00EB4667"/>
    <w:rsid w:val="00EB65BD"/>
    <w:rsid w:val="00EB6EC8"/>
    <w:rsid w:val="00EC1D43"/>
    <w:rsid w:val="00EC7997"/>
    <w:rsid w:val="00ED2624"/>
    <w:rsid w:val="00ED5490"/>
    <w:rsid w:val="00ED74B4"/>
    <w:rsid w:val="00ED77CC"/>
    <w:rsid w:val="00EF5CC9"/>
    <w:rsid w:val="00F20EAD"/>
    <w:rsid w:val="00F248AF"/>
    <w:rsid w:val="00F32B32"/>
    <w:rsid w:val="00F358EF"/>
    <w:rsid w:val="00F40321"/>
    <w:rsid w:val="00F57123"/>
    <w:rsid w:val="00F62387"/>
    <w:rsid w:val="00F7641D"/>
    <w:rsid w:val="00F9096C"/>
    <w:rsid w:val="00FB2585"/>
    <w:rsid w:val="00FC2BA5"/>
    <w:rsid w:val="00FD1CA6"/>
    <w:rsid w:val="00FD5ABB"/>
    <w:rsid w:val="00FD6CA7"/>
    <w:rsid w:val="00FE57A3"/>
    <w:rsid w:val="00FF4B4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354C"/>
  <w15:chartTrackingRefBased/>
  <w15:docId w15:val="{B6E4F9F4-A29C-A84B-833D-22CAFD8A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511A"/>
    <w:pPr>
      <w:spacing w:after="160" w:line="259" w:lineRule="auto"/>
    </w:pPr>
    <w:rPr>
      <w:rFonts w:ascii="Calibri" w:eastAsia="Calibri" w:hAnsi="Calibri" w:cs="Times New Roman"/>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Chan</dc:creator>
  <cp:keywords/>
  <dc:description/>
  <cp:lastModifiedBy>Gordon Chan</cp:lastModifiedBy>
  <cp:revision>1</cp:revision>
  <dcterms:created xsi:type="dcterms:W3CDTF">2023-07-31T20:21:00Z</dcterms:created>
  <dcterms:modified xsi:type="dcterms:W3CDTF">2023-07-31T20:22:00Z</dcterms:modified>
</cp:coreProperties>
</file>