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5E486" w14:textId="483879B8" w:rsidR="0003403D" w:rsidRPr="0003403D" w:rsidRDefault="00654E8F" w:rsidP="0003403D">
      <w:pPr>
        <w:pStyle w:val="SupplementaryMaterial"/>
      </w:pPr>
      <w:r w:rsidRPr="001549D3">
        <w:t>Supplementary Material</w:t>
      </w:r>
    </w:p>
    <w:p w14:paraId="6B4B987D" w14:textId="6B7DE676" w:rsidR="00756153" w:rsidRPr="00756153" w:rsidRDefault="00464863" w:rsidP="0003403D">
      <w:pPr>
        <w:spacing w:before="0" w:after="0"/>
        <w:jc w:val="center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inline distT="0" distB="0" distL="0" distR="0" wp14:anchorId="57FF23BE" wp14:editId="47775DE0">
            <wp:extent cx="6208395" cy="4345940"/>
            <wp:effectExtent l="0" t="0" r="1905" b="0"/>
            <wp:docPr id="343898120" name="Picture 1" descr="A diagram of a cell di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898120" name="Picture 1" descr="A diagram of a cell divis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EFB8" w14:textId="5C8AA114" w:rsidR="00756153" w:rsidRDefault="00756153" w:rsidP="00756153">
      <w:pPr>
        <w:spacing w:before="0" w:after="0"/>
        <w:rPr>
          <w:rFonts w:eastAsia="Times New Roman" w:cs="Times New Roman"/>
          <w:color w:val="000000"/>
          <w:szCs w:val="24"/>
        </w:rPr>
      </w:pPr>
      <w:r w:rsidRPr="00756153">
        <w:rPr>
          <w:rFonts w:eastAsia="Times New Roman" w:cs="Times New Roman"/>
          <w:b/>
          <w:bCs/>
          <w:color w:val="000000"/>
          <w:szCs w:val="24"/>
        </w:rPr>
        <w:t>Figure 1</w:t>
      </w:r>
      <w:r w:rsidR="00DD0378">
        <w:rPr>
          <w:rFonts w:eastAsia="Times New Roman" w:cs="Times New Roman"/>
          <w:b/>
          <w:bCs/>
          <w:color w:val="000000"/>
          <w:szCs w:val="24"/>
        </w:rPr>
        <w:t>.</w:t>
      </w:r>
      <w:r w:rsidRPr="00756153">
        <w:rPr>
          <w:rFonts w:eastAsia="Times New Roman" w:cs="Times New Roman"/>
          <w:color w:val="000000"/>
          <w:szCs w:val="24"/>
        </w:rPr>
        <w:t xml:space="preserve"> Schematic representation of the process of dendritic cell vaccinations (DCVs)</w:t>
      </w:r>
      <w:r w:rsidR="00EC3063">
        <w:rPr>
          <w:rFonts w:eastAsia="Times New Roman" w:cs="Times New Roman"/>
          <w:color w:val="000000"/>
          <w:szCs w:val="24"/>
        </w:rPr>
        <w:t>.</w:t>
      </w:r>
      <w:r w:rsidRPr="00756153">
        <w:rPr>
          <w:rFonts w:eastAsia="Times New Roman" w:cs="Times New Roman"/>
          <w:color w:val="000000"/>
          <w:szCs w:val="24"/>
        </w:rPr>
        <w:t xml:space="preserve"> DCVs have certain antigens that induce immune responses against cancer, including glioblastomas. Certain agents can improve the efficiency of the vaccines against glioblastoma. This image was created using BioRender.com. IL-2 = Interleukin 2, GM-CSF = Granulocyte-Macrophage Colony-Stimulating Factor,  IL-12 = Interleukin 12, TLR3 = Toll-Like Receptor 3, TLR7 = Toll-Like Receptor 7, TLR7/8 agonist = Toll-Like Receptor 7/8, </w:t>
      </w:r>
      <w:proofErr w:type="spellStart"/>
      <w:r w:rsidRPr="00756153">
        <w:rPr>
          <w:rFonts w:eastAsia="Times New Roman" w:cs="Times New Roman"/>
          <w:color w:val="000000"/>
          <w:szCs w:val="24"/>
        </w:rPr>
        <w:t>EGFRvIII</w:t>
      </w:r>
      <w:proofErr w:type="spellEnd"/>
      <w:r w:rsidRPr="00756153">
        <w:rPr>
          <w:rFonts w:eastAsia="Times New Roman" w:cs="Times New Roman"/>
          <w:color w:val="000000"/>
          <w:szCs w:val="24"/>
        </w:rPr>
        <w:t xml:space="preserve"> = Epidermal Growth Factor Receptor variant III, IL-13Ra2 = Interleukin-13 Receptor Alpha 2, HER2 = Human Epidermal Growth Factor Receptor 2, SOX2 = Sex-Determining Region Y-Box 2, MAGE-A1 = Melanoma Antigen Gene A-1, AIM2 = Absent in Melanoma 2, TRP-2 = Tyrosinase-Related Protein 2.</w:t>
      </w:r>
    </w:p>
    <w:p w14:paraId="65C160AF" w14:textId="77777777" w:rsidR="00756153" w:rsidRDefault="00756153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0E1FA764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1D11B141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9E73A82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67F05134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79E45470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5073D5BF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E4F3236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415B74DF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B3E3C97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C457951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40210FC1" w14:textId="77777777" w:rsidR="00F72AE6" w:rsidRDefault="00F72AE6" w:rsidP="00F72AE6">
      <w:r>
        <w:rPr>
          <w:noProof/>
        </w:rPr>
        <w:drawing>
          <wp:inline distT="114300" distB="114300" distL="114300" distR="114300" wp14:anchorId="204D52AF" wp14:editId="5169D000">
            <wp:extent cx="5886450" cy="4191000"/>
            <wp:effectExtent l="0" t="0" r="0" b="0"/>
            <wp:docPr id="986219821" name="Picture 986219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7211" r="3525" b="909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63D5F" w14:textId="4D52629E" w:rsidR="00F72AE6" w:rsidRDefault="00F72AE6" w:rsidP="00F72AE6">
      <w:pPr>
        <w:rPr>
          <w:rFonts w:eastAsia="Times New Roman" w:cs="Times New Roman"/>
          <w:sz w:val="20"/>
          <w:szCs w:val="20"/>
        </w:rPr>
      </w:pPr>
      <w:r w:rsidRPr="00756153">
        <w:rPr>
          <w:rFonts w:eastAsia="Times New Roman" w:cs="Times New Roman"/>
          <w:b/>
          <w:bCs/>
          <w:color w:val="000000"/>
          <w:szCs w:val="24"/>
        </w:rPr>
        <w:t xml:space="preserve">Figure </w:t>
      </w:r>
      <w:r>
        <w:rPr>
          <w:rFonts w:eastAsia="Times New Roman" w:cs="Times New Roman"/>
          <w:b/>
          <w:bCs/>
          <w:color w:val="000000"/>
          <w:szCs w:val="24"/>
        </w:rPr>
        <w:t>2</w:t>
      </w:r>
      <w:r w:rsidR="00DD0378">
        <w:rPr>
          <w:rFonts w:eastAsia="Times New Roman" w:cs="Times New Roman"/>
          <w:b/>
          <w:bCs/>
          <w:color w:val="000000"/>
          <w:szCs w:val="24"/>
        </w:rPr>
        <w:t>.</w:t>
      </w:r>
      <w:r>
        <w:rPr>
          <w:rFonts w:eastAsia="Times New Roman" w:cs="Times New Roman"/>
          <w:b/>
          <w:bCs/>
          <w:color w:val="000000"/>
          <w:szCs w:val="24"/>
        </w:rPr>
        <w:t xml:space="preserve"> </w:t>
      </w:r>
      <w:r w:rsidRPr="00F72AE6">
        <w:rPr>
          <w:rFonts w:eastAsia="Times New Roman" w:cs="Times New Roman"/>
          <w:color w:val="000000"/>
          <w:szCs w:val="24"/>
        </w:rPr>
        <w:t xml:space="preserve">Immunosuppressive tumor microenvironment (TME) inhibits effectiveness of dendritic cell vaccination. TME growth results in abnormal concentrations of immunosuppressive cells including regulatory T cells, tumor associated macrophages, and myeloid derived suppressor cells. Created with Biorender.com. </w:t>
      </w:r>
    </w:p>
    <w:p w14:paraId="0A6CD8E1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10239947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0704867B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670F1065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163784FE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7317EA12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5CCF516E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2BCB86BC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29A0ED8D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4FEE9EA9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72D2E8C2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2353C51E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15CCE2D1" w14:textId="77777777" w:rsidR="00F72AE6" w:rsidRDefault="00F72AE6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55A8262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3C4B3112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4B86BA81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044FD40B" w14:textId="77777777" w:rsidR="00A92D6D" w:rsidRDefault="00A92D6D" w:rsidP="00A92D6D">
      <w:pPr>
        <w:rPr>
          <w:rFonts w:eastAsia="Times New Roman" w:cs="Times New Roman"/>
          <w:color w:val="000000"/>
          <w:szCs w:val="24"/>
        </w:rPr>
      </w:pPr>
    </w:p>
    <w:p w14:paraId="61DE98BF" w14:textId="6083B6C5" w:rsidR="00A92D6D" w:rsidRDefault="00A92D6D" w:rsidP="00A92D6D">
      <w:pPr>
        <w:rPr>
          <w:rFonts w:cs="Times New Roman"/>
        </w:rPr>
      </w:pPr>
      <w:r w:rsidRPr="007B1101">
        <w:rPr>
          <w:rFonts w:cs="Times New Roman"/>
          <w:b/>
          <w:bCs/>
        </w:rPr>
        <w:t>Table 1:</w:t>
      </w:r>
      <w:r w:rsidRPr="00C83DF3">
        <w:rPr>
          <w:rFonts w:cs="Times New Roman"/>
        </w:rPr>
        <w:t xml:space="preserve"> Randomized Controlled Trials </w:t>
      </w:r>
      <w:r>
        <w:rPr>
          <w:rFonts w:cs="Times New Roman"/>
        </w:rPr>
        <w:t>of DCV Therapy for GBM</w:t>
      </w:r>
    </w:p>
    <w:tbl>
      <w:tblPr>
        <w:tblStyle w:val="TableGrid"/>
        <w:tblpPr w:leftFromText="180" w:rightFromText="180" w:horzAnchor="margin" w:tblpY="439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720"/>
        <w:gridCol w:w="900"/>
        <w:gridCol w:w="900"/>
        <w:gridCol w:w="900"/>
        <w:gridCol w:w="1265"/>
        <w:gridCol w:w="540"/>
        <w:gridCol w:w="1530"/>
        <w:gridCol w:w="805"/>
        <w:gridCol w:w="630"/>
      </w:tblGrid>
      <w:tr w:rsidR="00A92D6D" w14:paraId="3E8FD870" w14:textId="77777777" w:rsidTr="00804E51"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B266CBD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Trial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C26984F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Phase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FADB5BD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GBM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621DF7E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Control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C87915B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TAA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E02CD2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Maturation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24492F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Site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1186232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Schedule | Dosing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F7BF4FF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proofErr w:type="spellStart"/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mOS</w:t>
            </w:r>
            <w:proofErr w:type="spellEnd"/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 (m)†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172DCDD" w14:textId="77777777" w:rsidR="00A92D6D" w:rsidRPr="00931441" w:rsidRDefault="00A92D6D" w:rsidP="00804E51">
            <w:pPr>
              <w:rPr>
                <w:rFonts w:cs="Times New Roman"/>
                <w:b/>
                <w:bCs/>
                <w:sz w:val="20"/>
                <w:szCs w:val="20"/>
              </w:rPr>
            </w:pPr>
            <w:r w:rsidRPr="0093144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PFS (m)†</w:t>
            </w:r>
          </w:p>
        </w:tc>
      </w:tr>
      <w:tr w:rsidR="00A92D6D" w14:paraId="3F9268A2" w14:textId="77777777" w:rsidTr="00804E51">
        <w:tc>
          <w:tcPr>
            <w:tcW w:w="1435" w:type="dxa"/>
            <w:tcBorders>
              <w:top w:val="single" w:sz="4" w:space="0" w:color="auto"/>
            </w:tcBorders>
          </w:tcPr>
          <w:p w14:paraId="2F6F0579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Cho et al</w:t>
            </w:r>
            <w:r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2012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14:paraId="5131C30E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D14D097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18 </w:t>
            </w:r>
          </w:p>
          <w:p w14:paraId="22932F43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(18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388E14E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5381726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Tumor lysate</w:t>
            </w:r>
          </w:p>
        </w:tc>
        <w:tc>
          <w:tcPr>
            <w:tcW w:w="1265" w:type="dxa"/>
            <w:tcBorders>
              <w:top w:val="single" w:sz="4" w:space="0" w:color="auto"/>
            </w:tcBorders>
          </w:tcPr>
          <w:p w14:paraId="43DCCDEB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08D4844B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5BE3F581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4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weekly + 2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biweekly + 4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monthly | 20-50 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6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cells</w:t>
            </w:r>
          </w:p>
        </w:tc>
        <w:tc>
          <w:tcPr>
            <w:tcW w:w="805" w:type="dxa"/>
            <w:tcBorders>
              <w:top w:val="single" w:sz="4" w:space="0" w:color="auto"/>
            </w:tcBorders>
          </w:tcPr>
          <w:p w14:paraId="534E41E9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14:paraId="7C435EA2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8.5</w:t>
            </w:r>
          </w:p>
        </w:tc>
      </w:tr>
      <w:tr w:rsidR="00A92D6D" w14:paraId="789C904D" w14:textId="77777777" w:rsidTr="00804E51">
        <w:tc>
          <w:tcPr>
            <w:tcW w:w="1435" w:type="dxa"/>
            <w:shd w:val="clear" w:color="auto" w:fill="D9D9D9" w:themeFill="background1" w:themeFillShade="D9"/>
          </w:tcPr>
          <w:p w14:paraId="6EC4EB63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Jie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et al. 2012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13871B52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12FD10F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13 </w:t>
            </w:r>
          </w:p>
          <w:p w14:paraId="62741619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(13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A809B45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2D165E8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Tumor lysate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463F45D4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TNF</w:t>
            </w:r>
            <w:r>
              <w:rPr>
                <w:rFonts w:cs="Times New Roman"/>
                <w:color w:val="000000"/>
                <w:sz w:val="20"/>
                <w:szCs w:val="20"/>
              </w:rPr>
              <w:t>α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, IL-1</w:t>
            </w:r>
            <w:r>
              <w:rPr>
                <w:rFonts w:cs="Times New Roman"/>
                <w:color w:val="000000"/>
                <w:sz w:val="20"/>
                <w:szCs w:val="20"/>
              </w:rPr>
              <w:t>β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, PGE2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14:paraId="0466B9F9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SC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73F944C5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2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weekly + 2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biweekly | 6 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10^6 cells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14:paraId="3CD02610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14:paraId="18510E41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A92D6D" w14:paraId="1959E58A" w14:textId="77777777" w:rsidTr="00804E51">
        <w:tc>
          <w:tcPr>
            <w:tcW w:w="1435" w:type="dxa"/>
          </w:tcPr>
          <w:p w14:paraId="2958DF1F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Yao et al. 2018 NCT01567202</w:t>
            </w:r>
          </w:p>
        </w:tc>
        <w:tc>
          <w:tcPr>
            <w:tcW w:w="720" w:type="dxa"/>
          </w:tcPr>
          <w:p w14:paraId="5174798F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</w:tcPr>
          <w:p w14:paraId="7C683FDB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22 </w:t>
            </w:r>
          </w:p>
          <w:p w14:paraId="4666BDC1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(13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</w:tcPr>
          <w:p w14:paraId="6E8A5F11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900" w:type="dxa"/>
          </w:tcPr>
          <w:p w14:paraId="4D6DF3BB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Glioma stem cell lysate</w:t>
            </w:r>
          </w:p>
        </w:tc>
        <w:tc>
          <w:tcPr>
            <w:tcW w:w="1265" w:type="dxa"/>
          </w:tcPr>
          <w:p w14:paraId="0E2C1DC9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4D7F5B1F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530" w:type="dxa"/>
          </w:tcPr>
          <w:p w14:paraId="29D78975" w14:textId="77777777" w:rsidR="00A92D6D" w:rsidRPr="00672E90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weekly | 2-3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x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 xml:space="preserve">6 </w:t>
            </w:r>
            <w:r>
              <w:rPr>
                <w:rFonts w:cs="Times New Roman"/>
                <w:color w:val="000000"/>
                <w:sz w:val="20"/>
                <w:szCs w:val="20"/>
              </w:rPr>
              <w:t>cells</w:t>
            </w:r>
          </w:p>
        </w:tc>
        <w:tc>
          <w:tcPr>
            <w:tcW w:w="805" w:type="dxa"/>
          </w:tcPr>
          <w:p w14:paraId="4CC11523" w14:textId="77777777" w:rsidR="00A92D6D" w:rsidRPr="00931441" w:rsidRDefault="00A92D6D" w:rsidP="00804E51">
            <w:pPr>
              <w:jc w:val="right"/>
              <w:rPr>
                <w:rFonts w:cs="Times New Roman"/>
                <w:sz w:val="20"/>
                <w:szCs w:val="20"/>
                <w:vertAlign w:val="superscript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13.7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30" w:type="dxa"/>
          </w:tcPr>
          <w:p w14:paraId="2654AC12" w14:textId="77777777" w:rsidR="00A92D6D" w:rsidRPr="00931441" w:rsidRDefault="00A92D6D" w:rsidP="00804E51">
            <w:pPr>
              <w:jc w:val="right"/>
              <w:rPr>
                <w:rFonts w:cs="Times New Roman"/>
                <w:sz w:val="20"/>
                <w:szCs w:val="20"/>
                <w:vertAlign w:val="superscript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7.7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1</w:t>
            </w:r>
          </w:p>
        </w:tc>
      </w:tr>
      <w:tr w:rsidR="00A92D6D" w14:paraId="0B2F1291" w14:textId="77777777" w:rsidTr="00804E51">
        <w:tc>
          <w:tcPr>
            <w:tcW w:w="1435" w:type="dxa"/>
            <w:shd w:val="clear" w:color="auto" w:fill="D9D9D9" w:themeFill="background1" w:themeFillShade="D9"/>
          </w:tcPr>
          <w:p w14:paraId="28C79F0C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Buchroithner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et al. 2018 (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Audencel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 NCT01213407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0D2D66E1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21D07F36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34 </w:t>
            </w:r>
          </w:p>
          <w:p w14:paraId="56ACFA4E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(34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450B6B4F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220A1E5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Tumor lysate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18EFB31F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IFN</w:t>
            </w:r>
            <w:r>
              <w:rPr>
                <w:rFonts w:cs="Times New Roman"/>
                <w:color w:val="000000"/>
                <w:sz w:val="20"/>
                <w:szCs w:val="20"/>
              </w:rPr>
              <w:t>γ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, LPS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14:paraId="3EB77970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IN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1FBA9AFA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4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weekly + 5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monthly + every 3 month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s up to 15 doses total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| 1-5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x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 xml:space="preserve">6 </w:t>
            </w:r>
            <w:r>
              <w:rPr>
                <w:rFonts w:cs="Times New Roman"/>
                <w:color w:val="000000"/>
                <w:sz w:val="20"/>
                <w:szCs w:val="20"/>
              </w:rPr>
              <w:t>cells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14:paraId="54D821C4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14:paraId="029437D8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A92D6D" w14:paraId="6C6F6145" w14:textId="77777777" w:rsidTr="00804E51">
        <w:tc>
          <w:tcPr>
            <w:tcW w:w="1435" w:type="dxa"/>
          </w:tcPr>
          <w:p w14:paraId="27E807E4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Wen et al</w:t>
            </w:r>
            <w:r>
              <w:rPr>
                <w:rFonts w:cs="Times New Roman"/>
                <w:color w:val="000000"/>
                <w:sz w:val="20"/>
                <w:szCs w:val="20"/>
              </w:rPr>
              <w:t>.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2018 (ICT-107) NCT01280552</w:t>
            </w:r>
          </w:p>
        </w:tc>
        <w:tc>
          <w:tcPr>
            <w:tcW w:w="720" w:type="dxa"/>
          </w:tcPr>
          <w:p w14:paraId="0B837DAE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</w:tcPr>
          <w:p w14:paraId="4E7927DB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81 </w:t>
            </w:r>
          </w:p>
          <w:p w14:paraId="18FAE220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(81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</w:tcPr>
          <w:p w14:paraId="6BC1B472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00" w:type="dxa"/>
          </w:tcPr>
          <w:p w14:paraId="01347CEB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MAGE-1, AIM-2, HER-2, TRP-2, gp100 and IL-13Ra2</w:t>
            </w:r>
          </w:p>
        </w:tc>
        <w:tc>
          <w:tcPr>
            <w:tcW w:w="1265" w:type="dxa"/>
          </w:tcPr>
          <w:p w14:paraId="55A8EE74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IFN</w:t>
            </w:r>
            <w:r>
              <w:rPr>
                <w:rFonts w:cs="Times New Roman"/>
                <w:color w:val="000000"/>
                <w:sz w:val="20"/>
                <w:szCs w:val="20"/>
              </w:rPr>
              <w:t>γ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, LPS</w:t>
            </w:r>
          </w:p>
        </w:tc>
        <w:tc>
          <w:tcPr>
            <w:tcW w:w="540" w:type="dxa"/>
          </w:tcPr>
          <w:p w14:paraId="4CD0C2FD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530" w:type="dxa"/>
          </w:tcPr>
          <w:p w14:paraId="7FD549F5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4 weekly + 4 monthly + every 6 months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until tumor progression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| 11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x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 xml:space="preserve">6 </w:t>
            </w:r>
            <w:r>
              <w:rPr>
                <w:rFonts w:cs="Times New Roman"/>
                <w:color w:val="000000"/>
                <w:sz w:val="20"/>
                <w:szCs w:val="20"/>
              </w:rPr>
              <w:t>cells</w:t>
            </w:r>
          </w:p>
        </w:tc>
        <w:tc>
          <w:tcPr>
            <w:tcW w:w="805" w:type="dxa"/>
          </w:tcPr>
          <w:p w14:paraId="34834B58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30" w:type="dxa"/>
          </w:tcPr>
          <w:p w14:paraId="2BEE34E1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11.2</w:t>
            </w:r>
          </w:p>
        </w:tc>
      </w:tr>
      <w:tr w:rsidR="00A92D6D" w14:paraId="4AB92593" w14:textId="77777777" w:rsidTr="00804E51">
        <w:tc>
          <w:tcPr>
            <w:tcW w:w="1435" w:type="dxa"/>
            <w:shd w:val="clear" w:color="auto" w:fill="D9D9D9" w:themeFill="background1" w:themeFillShade="D9"/>
          </w:tcPr>
          <w:p w14:paraId="07F3837D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Batich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et al. 2020 NCT00639639NCT02366728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14:paraId="240809C9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36C2069" w14:textId="77777777" w:rsidR="00A92D6D" w:rsidRDefault="00A92D6D" w:rsidP="00804E51">
            <w:pPr>
              <w:jc w:val="right"/>
              <w:rPr>
                <w:rFonts w:cs="Times New Roman"/>
                <w:color w:val="000000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23 </w:t>
            </w:r>
          </w:p>
          <w:p w14:paraId="4624456B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(23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7887FB93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3CB3136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CMVpp65 mRNA</w:t>
            </w:r>
          </w:p>
        </w:tc>
        <w:tc>
          <w:tcPr>
            <w:tcW w:w="1265" w:type="dxa"/>
            <w:shd w:val="clear" w:color="auto" w:fill="D9D9D9" w:themeFill="background1" w:themeFillShade="D9"/>
          </w:tcPr>
          <w:p w14:paraId="752BB35D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TNF</w:t>
            </w:r>
            <w:r>
              <w:rPr>
                <w:rFonts w:cs="Times New Roman"/>
                <w:color w:val="000000"/>
                <w:sz w:val="20"/>
                <w:szCs w:val="20"/>
              </w:rPr>
              <w:t>α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, IL-1</w:t>
            </w:r>
            <w:r>
              <w:rPr>
                <w:rFonts w:cs="Times New Roman"/>
                <w:color w:val="000000"/>
                <w:sz w:val="20"/>
                <w:szCs w:val="20"/>
              </w:rPr>
              <w:t>β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, PGE2</w:t>
            </w:r>
          </w:p>
        </w:tc>
        <w:tc>
          <w:tcPr>
            <w:tcW w:w="540" w:type="dxa"/>
            <w:shd w:val="clear" w:color="auto" w:fill="D9D9D9" w:themeFill="background1" w:themeFillShade="D9"/>
          </w:tcPr>
          <w:p w14:paraId="288CF351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530" w:type="dxa"/>
            <w:shd w:val="clear" w:color="auto" w:fill="D9D9D9" w:themeFill="background1" w:themeFillShade="D9"/>
          </w:tcPr>
          <w:p w14:paraId="425F4012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3x biweekly then monthly until tumor progression | 20 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x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 xml:space="preserve">6 </w:t>
            </w:r>
            <w:r>
              <w:rPr>
                <w:rFonts w:cs="Times New Roman"/>
                <w:color w:val="000000"/>
                <w:sz w:val="20"/>
                <w:szCs w:val="20"/>
              </w:rPr>
              <w:t>cells</w:t>
            </w:r>
          </w:p>
        </w:tc>
        <w:tc>
          <w:tcPr>
            <w:tcW w:w="805" w:type="dxa"/>
            <w:shd w:val="clear" w:color="auto" w:fill="D9D9D9" w:themeFill="background1" w:themeFillShade="D9"/>
          </w:tcPr>
          <w:p w14:paraId="5B29BD9E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41.1 (GM-CSF), 41.4 (Td)</w:t>
            </w:r>
          </w:p>
        </w:tc>
        <w:tc>
          <w:tcPr>
            <w:tcW w:w="630" w:type="dxa"/>
            <w:shd w:val="clear" w:color="auto" w:fill="D9D9D9" w:themeFill="background1" w:themeFillShade="D9"/>
          </w:tcPr>
          <w:p w14:paraId="6B5C3063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  <w:tr w:rsidR="00A92D6D" w14:paraId="177F6B81" w14:textId="77777777" w:rsidTr="00804E51">
        <w:tc>
          <w:tcPr>
            <w:tcW w:w="1435" w:type="dxa"/>
            <w:tcBorders>
              <w:bottom w:val="single" w:sz="4" w:space="0" w:color="auto"/>
            </w:tcBorders>
          </w:tcPr>
          <w:p w14:paraId="3BE3498D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Liau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et al. 2023 NCT00045968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9897533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961EA3D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232 (232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nd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C63EF4A" w14:textId="77777777" w:rsidR="00A92D6D" w:rsidRPr="00931441" w:rsidRDefault="00A92D6D" w:rsidP="00804E51">
            <w:pPr>
              <w:jc w:val="right"/>
              <w:rPr>
                <w:rFonts w:cs="Times New Roman"/>
                <w:sz w:val="20"/>
                <w:szCs w:val="20"/>
                <w:vertAlign w:val="superscript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99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0DFCE83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Glioma stem cell lysate</w:t>
            </w:r>
          </w:p>
        </w:tc>
        <w:tc>
          <w:tcPr>
            <w:tcW w:w="1265" w:type="dxa"/>
            <w:tcBorders>
              <w:bottom w:val="single" w:sz="4" w:space="0" w:color="auto"/>
            </w:tcBorders>
          </w:tcPr>
          <w:p w14:paraId="15024F42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14A75E63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ID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73DCB369" w14:textId="77777777" w:rsidR="00A92D6D" w:rsidRPr="00C83DF3" w:rsidRDefault="00A92D6D" w:rsidP="00804E51">
            <w:pPr>
              <w:rPr>
                <w:rFonts w:cs="Times New Roman"/>
                <w:sz w:val="20"/>
                <w:szCs w:val="20"/>
              </w:rPr>
            </w:pPr>
            <w:r w:rsidRPr="00C83DF3">
              <w:rPr>
                <w:rFonts w:cs="Times New Roman"/>
                <w:color w:val="000000"/>
                <w:sz w:val="20"/>
                <w:szCs w:val="20"/>
              </w:rPr>
              <w:t>3</w:t>
            </w:r>
            <w:r>
              <w:rPr>
                <w:rFonts w:cs="Times New Roman"/>
                <w:color w:val="000000"/>
                <w:sz w:val="20"/>
                <w:szCs w:val="20"/>
              </w:rPr>
              <w:t>x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every 10 days, 3x monthly, then </w:t>
            </w:r>
            <w:proofErr w:type="spellStart"/>
            <w:r w:rsidRPr="00C83DF3">
              <w:rPr>
                <w:rFonts w:cs="Times New Roman"/>
                <w:color w:val="000000"/>
                <w:sz w:val="20"/>
                <w:szCs w:val="20"/>
              </w:rPr>
              <w:t>evey</w:t>
            </w:r>
            <w:proofErr w:type="spellEnd"/>
            <w:r w:rsidRPr="00C83DF3">
              <w:rPr>
                <w:rFonts w:cs="Times New Roman"/>
                <w:color w:val="000000"/>
                <w:sz w:val="20"/>
                <w:szCs w:val="20"/>
              </w:rPr>
              <w:t xml:space="preserve"> 6 months | 2.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6 x </w:t>
            </w:r>
            <w:r w:rsidRPr="00C83DF3">
              <w:rPr>
                <w:rFonts w:cs="Times New Roman"/>
                <w:color w:val="000000"/>
                <w:sz w:val="20"/>
                <w:szCs w:val="20"/>
              </w:rPr>
              <w:t>10</w:t>
            </w:r>
            <w:r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 xml:space="preserve">6 </w:t>
            </w:r>
            <w:r>
              <w:rPr>
                <w:rFonts w:cs="Times New Roman"/>
                <w:color w:val="000000"/>
                <w:sz w:val="20"/>
                <w:szCs w:val="20"/>
              </w:rPr>
              <w:t>cells</w:t>
            </w:r>
          </w:p>
        </w:tc>
        <w:tc>
          <w:tcPr>
            <w:tcW w:w="805" w:type="dxa"/>
            <w:tcBorders>
              <w:bottom w:val="single" w:sz="4" w:space="0" w:color="auto"/>
            </w:tcBorders>
          </w:tcPr>
          <w:p w14:paraId="74DBACDE" w14:textId="77777777" w:rsidR="00A92D6D" w:rsidRPr="00672E90" w:rsidRDefault="00A92D6D" w:rsidP="00804E51">
            <w:pPr>
              <w:jc w:val="right"/>
              <w:rPr>
                <w:rFonts w:cs="Times New Roman"/>
                <w:b/>
                <w:bCs/>
                <w:sz w:val="20"/>
                <w:szCs w:val="20"/>
              </w:rPr>
            </w:pPr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19.3 (</w:t>
            </w:r>
            <w:proofErr w:type="spellStart"/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nd</w:t>
            </w:r>
            <w:proofErr w:type="spellEnd"/>
            <w:r w:rsidRPr="00672E90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), 13.2 (r)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14:paraId="2A83A5E1" w14:textId="77777777" w:rsidR="00A92D6D" w:rsidRPr="00C83DF3" w:rsidRDefault="00A92D6D" w:rsidP="00804E51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</w:tbl>
    <w:p w14:paraId="55D22D73" w14:textId="77777777" w:rsidR="00A92D6D" w:rsidRDefault="00A92D6D" w:rsidP="00A92D6D">
      <w:pPr>
        <w:rPr>
          <w:rFonts w:cs="Times New Roman"/>
        </w:rPr>
      </w:pPr>
    </w:p>
    <w:p w14:paraId="3396B6FF" w14:textId="77777777" w:rsidR="00A92D6D" w:rsidRPr="00931441" w:rsidRDefault="00A92D6D" w:rsidP="00A92D6D">
      <w:pPr>
        <w:tabs>
          <w:tab w:val="left" w:pos="6553"/>
        </w:tabs>
        <w:rPr>
          <w:rFonts w:cs="Times New Roman"/>
          <w:color w:val="000000"/>
          <w:sz w:val="20"/>
          <w:szCs w:val="20"/>
        </w:rPr>
      </w:pPr>
      <w:proofErr w:type="spellStart"/>
      <w:r>
        <w:rPr>
          <w:rFonts w:cs="Times New Roman"/>
          <w:color w:val="000000"/>
          <w:sz w:val="20"/>
          <w:szCs w:val="20"/>
        </w:rPr>
        <w:lastRenderedPageBreak/>
        <w:t>nd</w:t>
      </w:r>
      <w:proofErr w:type="spellEnd"/>
      <w:r>
        <w:rPr>
          <w:rFonts w:cs="Times New Roman"/>
          <w:color w:val="000000"/>
          <w:sz w:val="20"/>
          <w:szCs w:val="20"/>
        </w:rPr>
        <w:t xml:space="preserve"> – newly diagnosed; r – recurrent; TAA – tumor-associated antigen; SC – subcutaneous; ID – intradermal; IN – </w:t>
      </w:r>
      <w:r w:rsidRPr="00931441">
        <w:rPr>
          <w:rFonts w:cs="Times New Roman"/>
          <w:color w:val="000000"/>
          <w:sz w:val="20"/>
          <w:szCs w:val="20"/>
        </w:rPr>
        <w:t xml:space="preserve">intranodal; </w:t>
      </w:r>
      <w:proofErr w:type="spellStart"/>
      <w:r w:rsidRPr="00931441">
        <w:rPr>
          <w:rFonts w:cs="Times New Roman"/>
          <w:color w:val="000000"/>
          <w:sz w:val="20"/>
          <w:szCs w:val="20"/>
        </w:rPr>
        <w:t>mOS</w:t>
      </w:r>
      <w:proofErr w:type="spellEnd"/>
      <w:r w:rsidRPr="00931441">
        <w:rPr>
          <w:rFonts w:cs="Times New Roman"/>
          <w:color w:val="000000"/>
          <w:sz w:val="20"/>
          <w:szCs w:val="20"/>
        </w:rPr>
        <w:t xml:space="preserve"> – median overall survival; PFS – progression free survival; m – </w:t>
      </w:r>
      <w:proofErr w:type="gramStart"/>
      <w:r w:rsidRPr="00931441">
        <w:rPr>
          <w:rFonts w:cs="Times New Roman"/>
          <w:color w:val="000000"/>
          <w:sz w:val="20"/>
          <w:szCs w:val="20"/>
        </w:rPr>
        <w:t>months;</w:t>
      </w:r>
      <w:proofErr w:type="gramEnd"/>
      <w:r w:rsidRPr="00931441">
        <w:rPr>
          <w:rFonts w:cs="Times New Roman"/>
          <w:color w:val="000000"/>
          <w:sz w:val="20"/>
          <w:szCs w:val="20"/>
        </w:rPr>
        <w:t xml:space="preserve"> </w:t>
      </w:r>
    </w:p>
    <w:p w14:paraId="37F725C9" w14:textId="77777777" w:rsidR="00A92D6D" w:rsidRPr="00931441" w:rsidRDefault="00A92D6D" w:rsidP="00A92D6D">
      <w:pPr>
        <w:tabs>
          <w:tab w:val="left" w:pos="6553"/>
        </w:tabs>
        <w:rPr>
          <w:rFonts w:cs="Times New Roman"/>
          <w:color w:val="000000"/>
          <w:sz w:val="20"/>
          <w:szCs w:val="20"/>
        </w:rPr>
      </w:pPr>
      <w:r w:rsidRPr="00931441">
        <w:rPr>
          <w:rFonts w:cs="Times New Roman"/>
          <w:color w:val="000000"/>
          <w:sz w:val="20"/>
          <w:szCs w:val="20"/>
        </w:rPr>
        <w:t xml:space="preserve">† - </w:t>
      </w:r>
      <w:r w:rsidRPr="00931441">
        <w:rPr>
          <w:rFonts w:cs="Times New Roman"/>
          <w:b/>
          <w:bCs/>
          <w:color w:val="000000"/>
          <w:sz w:val="20"/>
          <w:szCs w:val="20"/>
        </w:rPr>
        <w:t>Bold</w:t>
      </w:r>
      <w:r w:rsidRPr="00931441">
        <w:rPr>
          <w:rFonts w:cs="Times New Roman"/>
          <w:color w:val="000000"/>
          <w:sz w:val="20"/>
          <w:szCs w:val="20"/>
        </w:rPr>
        <w:t xml:space="preserve"> indicates statistically significant increase.</w:t>
      </w:r>
    </w:p>
    <w:p w14:paraId="1F715EFF" w14:textId="77777777" w:rsidR="00A92D6D" w:rsidRDefault="00A92D6D" w:rsidP="00A92D6D">
      <w:pPr>
        <w:rPr>
          <w:rFonts w:eastAsia="Times New Roman" w:cs="Times New Roman"/>
          <w:color w:val="000000"/>
          <w:sz w:val="20"/>
          <w:szCs w:val="20"/>
        </w:rPr>
      </w:pPr>
      <w:r w:rsidRPr="00931441">
        <w:rPr>
          <w:rFonts w:cs="Times New Roman"/>
          <w:color w:val="000000"/>
          <w:sz w:val="20"/>
          <w:szCs w:val="20"/>
          <w:vertAlign w:val="superscript"/>
        </w:rPr>
        <w:t>1</w:t>
      </w:r>
      <w:r w:rsidRPr="00931441">
        <w:rPr>
          <w:rFonts w:eastAsia="Times New Roman" w:cs="Times New Roman"/>
          <w:color w:val="000000"/>
          <w:sz w:val="20"/>
          <w:szCs w:val="20"/>
        </w:rPr>
        <w:t>Significant only after stratification for IDH1 and TERT promoter mutation status. Additionally, the study does not discriminate between newly diagnosed and recurrent GBM patients when reported survival results.</w:t>
      </w:r>
    </w:p>
    <w:p w14:paraId="5B562158" w14:textId="77777777" w:rsidR="00A92D6D" w:rsidRPr="00931441" w:rsidRDefault="00A92D6D" w:rsidP="00A92D6D">
      <w:pPr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  <w:vertAlign w:val="superscript"/>
        </w:rPr>
        <w:t>2</w:t>
      </w:r>
      <w:r w:rsidRPr="00931441">
        <w:rPr>
          <w:rFonts w:eastAsia="Times New Roman" w:cs="Times New Roman"/>
          <w:color w:val="000000"/>
          <w:sz w:val="20"/>
          <w:szCs w:val="20"/>
        </w:rPr>
        <w:t>64 controls crossed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 w:rsidRPr="00931441">
        <w:rPr>
          <w:rFonts w:eastAsia="Times New Roman" w:cs="Times New Roman"/>
          <w:color w:val="000000"/>
          <w:sz w:val="20"/>
          <w:szCs w:val="20"/>
        </w:rPr>
        <w:t>over to receive vaccine after tumor recurrence and were analyzed as recurrent GBM patients. External controls were used for statistical analysis.</w:t>
      </w:r>
    </w:p>
    <w:p w14:paraId="2CCC97CC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099C1781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28369520" w14:textId="77777777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</w:p>
    <w:p w14:paraId="15273FD7" w14:textId="17175AF0" w:rsidR="00A92D6D" w:rsidRDefault="00A92D6D" w:rsidP="00756153">
      <w:pPr>
        <w:spacing w:before="0" w:after="0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drawing>
          <wp:inline distT="0" distB="0" distL="0" distR="0" wp14:anchorId="7608608E" wp14:editId="3F22B07F">
            <wp:extent cx="6208395" cy="2561590"/>
            <wp:effectExtent l="0" t="0" r="1905" b="3810"/>
            <wp:docPr id="519568658" name="Picture 1" descr="A close-up of a list of prote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68658" name="Picture 1" descr="A close-up of a list of protei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47DCA" w14:textId="02CBDB9C" w:rsidR="00A92D6D" w:rsidRDefault="00A92D6D" w:rsidP="00A92D6D">
      <w:pPr>
        <w:rPr>
          <w:rFonts w:eastAsia="Times New Roman" w:cs="Times New Roman"/>
          <w:color w:val="000000"/>
          <w:szCs w:val="24"/>
        </w:rPr>
      </w:pPr>
      <w:r w:rsidRPr="007B1101">
        <w:rPr>
          <w:rFonts w:cs="Times New Roman"/>
          <w:b/>
          <w:bCs/>
        </w:rPr>
        <w:t>Table 2:</w:t>
      </w:r>
      <w:r w:rsidRPr="00C83DF3">
        <w:rPr>
          <w:rFonts w:cs="Times New Roman"/>
        </w:rPr>
        <w:t xml:space="preserve"> </w:t>
      </w:r>
      <w:r w:rsidRPr="00A92D6D">
        <w:rPr>
          <w:rFonts w:cs="Times New Roman"/>
        </w:rPr>
        <w:t>Strategies for Optimization of Dendritic Cell Vaccination for Malignant Gliomas</w:t>
      </w:r>
    </w:p>
    <w:p w14:paraId="58F1AED1" w14:textId="1F21F9ED" w:rsidR="00DE23E8" w:rsidRPr="00756153" w:rsidRDefault="00DE23E8" w:rsidP="00756153">
      <w:pPr>
        <w:spacing w:before="0" w:after="0"/>
        <w:rPr>
          <w:rFonts w:eastAsia="Times New Roman" w:cs="Times New Roman"/>
          <w:szCs w:val="24"/>
        </w:rPr>
      </w:pPr>
    </w:p>
    <w:sectPr w:rsidR="00DE23E8" w:rsidRPr="0075615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31FB4" w14:textId="77777777" w:rsidR="009A027E" w:rsidRDefault="009A027E" w:rsidP="00117666">
      <w:pPr>
        <w:spacing w:after="0"/>
      </w:pPr>
      <w:r>
        <w:separator/>
      </w:r>
    </w:p>
  </w:endnote>
  <w:endnote w:type="continuationSeparator" w:id="0">
    <w:p w14:paraId="6A2C29B1" w14:textId="77777777" w:rsidR="009A027E" w:rsidRDefault="009A027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4A66E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4A66E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4A66E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4A66E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4A66E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4A66E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F545" w14:textId="77777777" w:rsidR="009A027E" w:rsidRDefault="009A027E" w:rsidP="00117666">
      <w:pPr>
        <w:spacing w:after="0"/>
      </w:pPr>
      <w:r>
        <w:separator/>
      </w:r>
    </w:p>
  </w:footnote>
  <w:footnote w:type="continuationSeparator" w:id="0">
    <w:p w14:paraId="11966F8F" w14:textId="77777777" w:rsidR="009A027E" w:rsidRDefault="009A027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4A66E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4A66E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03D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E2A62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64863"/>
    <w:rsid w:val="004735C8"/>
    <w:rsid w:val="004961FF"/>
    <w:rsid w:val="004A66EA"/>
    <w:rsid w:val="00515199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6153"/>
    <w:rsid w:val="00790BB3"/>
    <w:rsid w:val="007A0C6B"/>
    <w:rsid w:val="007B1101"/>
    <w:rsid w:val="007C206C"/>
    <w:rsid w:val="007D363A"/>
    <w:rsid w:val="00803D24"/>
    <w:rsid w:val="00817DD6"/>
    <w:rsid w:val="00885156"/>
    <w:rsid w:val="009151AA"/>
    <w:rsid w:val="0093429D"/>
    <w:rsid w:val="00943573"/>
    <w:rsid w:val="00960152"/>
    <w:rsid w:val="00970F7D"/>
    <w:rsid w:val="00994A3D"/>
    <w:rsid w:val="009A027E"/>
    <w:rsid w:val="009B3CEE"/>
    <w:rsid w:val="009C2B12"/>
    <w:rsid w:val="009C70F3"/>
    <w:rsid w:val="00A07170"/>
    <w:rsid w:val="00A174D9"/>
    <w:rsid w:val="00A569CD"/>
    <w:rsid w:val="00A57FD5"/>
    <w:rsid w:val="00A92D6D"/>
    <w:rsid w:val="00AA72E1"/>
    <w:rsid w:val="00AB1EFB"/>
    <w:rsid w:val="00AB22B0"/>
    <w:rsid w:val="00AB2436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C11D7"/>
    <w:rsid w:val="00CD066B"/>
    <w:rsid w:val="00CE4FEE"/>
    <w:rsid w:val="00D85BCE"/>
    <w:rsid w:val="00DB59C3"/>
    <w:rsid w:val="00DC259A"/>
    <w:rsid w:val="00DD0378"/>
    <w:rsid w:val="00DE23E8"/>
    <w:rsid w:val="00E52377"/>
    <w:rsid w:val="00E64E17"/>
    <w:rsid w:val="00E866C9"/>
    <w:rsid w:val="00EA3D3C"/>
    <w:rsid w:val="00EC3063"/>
    <w:rsid w:val="00F46900"/>
    <w:rsid w:val="00F61D89"/>
    <w:rsid w:val="00F72AE6"/>
    <w:rsid w:val="00F9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6</TotalTime>
  <Pages>4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Robert Subtirelu</cp:lastModifiedBy>
  <cp:revision>15</cp:revision>
  <cp:lastPrinted>2013-10-03T12:51:00Z</cp:lastPrinted>
  <dcterms:created xsi:type="dcterms:W3CDTF">2023-07-29T21:57:00Z</dcterms:created>
  <dcterms:modified xsi:type="dcterms:W3CDTF">2023-10-04T03:21:00Z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