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3C2736" w:rsidRDefault="00433882" w:rsidP="0001436A">
      <w:pPr>
        <w:pStyle w:val="SupplementaryMaterial"/>
        <w:rPr>
          <w:b w:val="0"/>
        </w:rPr>
      </w:pPr>
      <w:r w:rsidRPr="003C2736">
        <w:t>Supplementary Material</w:t>
      </w:r>
    </w:p>
    <w:p w14:paraId="5E584EE8" w14:textId="453F1FAB" w:rsidR="00994A3D" w:rsidRPr="003C2736" w:rsidRDefault="00433882" w:rsidP="0001436A">
      <w:pPr>
        <w:pStyle w:val="1"/>
      </w:pPr>
      <w:r w:rsidRPr="003C2736">
        <w:t>Supplementary Figures</w:t>
      </w:r>
    </w:p>
    <w:p w14:paraId="4BA31998" w14:textId="4E9B3922" w:rsidR="006944DD" w:rsidRPr="00433882" w:rsidRDefault="00433882" w:rsidP="006944DD">
      <w:pPr>
        <w:pStyle w:val="2"/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="006944DD"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="006944DD" w:rsidRPr="003C2736">
        <w:rPr>
          <w:rFonts w:eastAsia="ＭＳ 明朝"/>
          <w:lang w:eastAsia="ja-JP"/>
        </w:rPr>
        <w:t>1</w:t>
      </w:r>
      <w:r w:rsidRPr="00433882">
        <w:t xml:space="preserve"> </w:t>
      </w:r>
      <w:r>
        <w:rPr>
          <w:noProof/>
        </w:rPr>
        <w:drawing>
          <wp:inline distT="0" distB="0" distL="0" distR="0" wp14:anchorId="3B499753" wp14:editId="4CACC8A5">
            <wp:extent cx="5992969" cy="1828800"/>
            <wp:effectExtent l="0" t="0" r="8255" b="0"/>
            <wp:docPr id="140744917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12" b="38969"/>
                    <a:stretch/>
                  </pic:blipFill>
                  <pic:spPr bwMode="auto">
                    <a:xfrm>
                      <a:off x="0" y="0"/>
                      <a:ext cx="6008825" cy="18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2AC20" w14:textId="22992A7D" w:rsidR="006944DD" w:rsidRPr="003C2736" w:rsidRDefault="00433882" w:rsidP="00C322A3">
      <w:pPr>
        <w:pStyle w:val="2"/>
        <w:numPr>
          <w:ilvl w:val="1"/>
          <w:numId w:val="0"/>
        </w:numPr>
        <w:rPr>
          <w:rFonts w:ascii="ＭＳ 明朝" w:eastAsia="ＭＳ 明朝" w:hAnsi="ＭＳ 明朝" w:cs="ＭＳ 明朝"/>
          <w:lang w:eastAsia="ja-JP"/>
        </w:rPr>
      </w:pPr>
      <w:r w:rsidRPr="003C2736">
        <w:t>S</w:t>
      </w:r>
      <w:r w:rsidRPr="003C2736">
        <w:t>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rFonts w:eastAsia="ＭＳ 明朝"/>
          <w:lang w:eastAsia="ja-JP"/>
        </w:rPr>
        <w:t xml:space="preserve">1. </w:t>
      </w:r>
      <w:r w:rsidRPr="003C2736">
        <w:rPr>
          <w:rFonts w:eastAsia="Times New Roman"/>
        </w:rPr>
        <w:t xml:space="preserve">Comparison of overall survival between patients with both muscle atrophy and high SAT </w:t>
      </w:r>
      <w:r w:rsidR="00B56E1B" w:rsidRPr="003C2736">
        <w:rPr>
          <w:rFonts w:eastAsia="Times New Roman"/>
        </w:rPr>
        <w:t xml:space="preserve">radiodensity </w:t>
      </w:r>
      <w:r w:rsidRPr="003C2736">
        <w:rPr>
          <w:rFonts w:eastAsia="Times New Roman"/>
        </w:rPr>
        <w:t xml:space="preserve">and other patients. </w:t>
      </w:r>
      <w:r w:rsidRPr="003C2736">
        <w:rPr>
          <w:rFonts w:eastAsia="Times New Roman" w:cstheme="minorBidi"/>
          <w:b w:val="0"/>
          <w:bCs/>
        </w:rPr>
        <w:t>(A) Kaplan–Meier analysis was performed to stratify patients with and without muscle atrophy and high SAT</w:t>
      </w:r>
      <w:r w:rsidR="00B56E1B" w:rsidRPr="003C2736">
        <w:rPr>
          <w:rFonts w:eastAsia="Times New Roman" w:cstheme="minorBidi"/>
          <w:b w:val="0"/>
          <w:bCs/>
        </w:rPr>
        <w:t xml:space="preserve"> radiodensity</w:t>
      </w:r>
      <w:r w:rsidRPr="003C2736">
        <w:rPr>
          <w:rFonts w:eastAsia="Times New Roman" w:cstheme="minorBidi"/>
          <w:b w:val="0"/>
          <w:bCs/>
        </w:rPr>
        <w:t>. The muscle mass w</w:t>
      </w:r>
      <w:r w:rsidRPr="003C2736">
        <w:rPr>
          <w:rFonts w:eastAsia="Times New Roman" w:cstheme="minorBidi"/>
          <w:b w:val="0"/>
          <w:bCs/>
        </w:rPr>
        <w:t xml:space="preserve">as assessed by the simple method. The median </w:t>
      </w:r>
      <w:r w:rsidR="00232F12" w:rsidRPr="003C2736">
        <w:rPr>
          <w:rFonts w:eastAsia="Times New Roman" w:cstheme="minorBidi"/>
          <w:b w:val="0"/>
          <w:bCs/>
        </w:rPr>
        <w:t>overall survival</w:t>
      </w:r>
      <w:r w:rsidR="00232F12" w:rsidRPr="003C2736" w:rsidDel="00232F12">
        <w:rPr>
          <w:rFonts w:eastAsia="Times New Roman" w:cstheme="minorBidi"/>
          <w:b w:val="0"/>
          <w:bCs/>
        </w:rPr>
        <w:t xml:space="preserve"> </w:t>
      </w:r>
      <w:r w:rsidRPr="003C2736">
        <w:rPr>
          <w:rFonts w:eastAsia="Times New Roman" w:cstheme="minorBidi"/>
          <w:b w:val="0"/>
          <w:bCs/>
        </w:rPr>
        <w:t>is 1.03 years in patients with both muscle atrophy and high SAT</w:t>
      </w:r>
      <w:r w:rsidR="00B56E1B" w:rsidRPr="003C2736">
        <w:rPr>
          <w:rFonts w:eastAsia="Times New Roman" w:cstheme="minorBidi"/>
          <w:b w:val="0"/>
          <w:bCs/>
        </w:rPr>
        <w:t xml:space="preserve"> radiodensity</w:t>
      </w:r>
      <w:r w:rsidRPr="003C2736">
        <w:rPr>
          <w:rFonts w:eastAsia="Times New Roman" w:cstheme="minorBidi"/>
          <w:b w:val="0"/>
          <w:bCs/>
        </w:rPr>
        <w:t xml:space="preserve"> and 6.03 years in the other patients. Patients with both muscle atrophy and high SAT radiodensity have a poorer prognosis than the other patients (</w:t>
      </w:r>
      <w:r w:rsidR="00BF1C76" w:rsidRPr="003C2736">
        <w:rPr>
          <w:b w:val="0"/>
          <w:bCs/>
          <w:szCs w:val="22"/>
        </w:rPr>
        <w:t>l</w:t>
      </w:r>
      <w:r w:rsidRPr="003C2736">
        <w:rPr>
          <w:b w:val="0"/>
          <w:bCs/>
          <w:szCs w:val="22"/>
        </w:rPr>
        <w:t>og</w:t>
      </w:r>
      <w:r w:rsidR="00BF1C76" w:rsidRPr="003C2736">
        <w:rPr>
          <w:b w:val="0"/>
          <w:bCs/>
          <w:szCs w:val="22"/>
        </w:rPr>
        <w:t>-</w:t>
      </w:r>
      <w:r w:rsidRPr="003C2736">
        <w:rPr>
          <w:b w:val="0"/>
          <w:bCs/>
          <w:szCs w:val="22"/>
        </w:rPr>
        <w:t>rank</w:t>
      </w:r>
      <w:r w:rsidRPr="003C2736">
        <w:rPr>
          <w:rFonts w:eastAsia="Times New Roman" w:cstheme="minorBidi"/>
          <w:b w:val="0"/>
          <w:bCs/>
          <w:i/>
        </w:rPr>
        <w:t xml:space="preserve"> P</w:t>
      </w:r>
      <w:r w:rsidRPr="003C2736">
        <w:rPr>
          <w:rFonts w:eastAsia="Times New Roman" w:cstheme="minorBidi"/>
          <w:b w:val="0"/>
          <w:bCs/>
        </w:rPr>
        <w:t xml:space="preserve"> &lt; </w:t>
      </w:r>
      <w:r w:rsidRPr="003C2736">
        <w:rPr>
          <w:rFonts w:eastAsia="Times New Roman" w:cstheme="minorBidi"/>
          <w:b w:val="0"/>
          <w:bCs/>
        </w:rPr>
        <w:t>0</w:t>
      </w:r>
      <w:r w:rsidRPr="003C2736">
        <w:rPr>
          <w:rFonts w:eastAsia="Times New Roman" w:cstheme="minorBidi"/>
          <w:b w:val="0"/>
          <w:bCs/>
        </w:rPr>
        <w:t>.</w:t>
      </w:r>
      <w:r w:rsidRPr="003C2736">
        <w:rPr>
          <w:rFonts w:eastAsia="Times New Roman" w:cstheme="minorBidi"/>
          <w:b w:val="0"/>
          <w:bCs/>
        </w:rPr>
        <w:t>001</w:t>
      </w:r>
      <w:r w:rsidR="00BF1C76" w:rsidRPr="003C2736">
        <w:rPr>
          <w:rFonts w:eastAsia="Times New Roman" w:cstheme="minorBidi"/>
          <w:b w:val="0"/>
          <w:bCs/>
        </w:rPr>
        <w:t>;</w:t>
      </w:r>
      <w:r w:rsidRPr="003C2736">
        <w:rPr>
          <w:rFonts w:eastAsia="Times New Roman" w:cstheme="minorBidi"/>
          <w:b w:val="0"/>
          <w:bCs/>
        </w:rPr>
        <w:t xml:space="preserve"> </w:t>
      </w:r>
      <w:r w:rsidR="00BF1C76" w:rsidRPr="003C2736">
        <w:rPr>
          <w:b w:val="0"/>
          <w:bCs/>
          <w:szCs w:val="22"/>
        </w:rPr>
        <w:t>c</w:t>
      </w:r>
      <w:r w:rsidRPr="003C2736">
        <w:rPr>
          <w:b w:val="0"/>
          <w:bCs/>
          <w:szCs w:val="22"/>
        </w:rPr>
        <w:t xml:space="preserve">rude Cox </w:t>
      </w:r>
      <w:r w:rsidR="00BF1C76" w:rsidRPr="003C2736">
        <w:rPr>
          <w:b w:val="0"/>
          <w:bCs/>
          <w:szCs w:val="22"/>
        </w:rPr>
        <w:t>r</w:t>
      </w:r>
      <w:r w:rsidRPr="003C2736">
        <w:rPr>
          <w:b w:val="0"/>
          <w:bCs/>
          <w:szCs w:val="22"/>
        </w:rPr>
        <w:t>egression</w:t>
      </w:r>
      <w:r w:rsidRPr="003C2736">
        <w:rPr>
          <w:b w:val="0"/>
          <w:bCs/>
          <w:szCs w:val="22"/>
          <w:lang w:eastAsia="ja-JP"/>
        </w:rPr>
        <w:t xml:space="preserve"> </w:t>
      </w:r>
      <w:r w:rsidRPr="003C2736">
        <w:rPr>
          <w:rFonts w:eastAsia="Times New Roman" w:cstheme="minorBidi"/>
          <w:b w:val="0"/>
          <w:bCs/>
        </w:rPr>
        <w:t>HR: 4.79, 95% CI: 1.48–15.5).</w:t>
      </w:r>
    </w:p>
    <w:p w14:paraId="6B1584FA" w14:textId="6833B4C9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>CI, confidence interval; HCC, hepatoc</w:t>
      </w:r>
      <w:r w:rsidRPr="003C2736">
        <w:rPr>
          <w:rFonts w:eastAsia="Times New Roman" w:cs="Times New Roman"/>
        </w:rPr>
        <w:t>ellular carcinoma; HR, hazard ratio; SAT, subcutaneous adipose</w:t>
      </w:r>
      <w:r w:rsidRPr="003C2736">
        <w:rPr>
          <w:rFonts w:eastAsia="ＭＳ 明朝" w:cs="Times New Roman"/>
          <w:lang w:eastAsia="ja-JP"/>
        </w:rPr>
        <w:t xml:space="preserve"> tissue</w:t>
      </w:r>
      <w:r w:rsidRPr="003C2736">
        <w:rPr>
          <w:rFonts w:eastAsia="Times New Roman" w:cs="Times New Roman"/>
        </w:rPr>
        <w:t>.</w:t>
      </w:r>
    </w:p>
    <w:p w14:paraId="5A0EE385" w14:textId="77777777" w:rsidR="00BF1C76" w:rsidRPr="003C2736" w:rsidRDefault="00BF1C76" w:rsidP="006944DD">
      <w:pPr>
        <w:rPr>
          <w:rFonts w:eastAsia="Times New Roman" w:cs="Times New Roman"/>
        </w:rPr>
      </w:pPr>
    </w:p>
    <w:p w14:paraId="5782D6FC" w14:textId="77777777" w:rsidR="00BF1C76" w:rsidRPr="003C2736" w:rsidRDefault="00BF1C76" w:rsidP="006944DD">
      <w:pPr>
        <w:rPr>
          <w:rFonts w:eastAsia="Times New Roman" w:cs="Times New Roman"/>
        </w:rPr>
      </w:pPr>
    </w:p>
    <w:p w14:paraId="3814466D" w14:textId="77777777" w:rsidR="00BF1C76" w:rsidRPr="003C2736" w:rsidRDefault="00BF1C76" w:rsidP="006944DD">
      <w:pPr>
        <w:rPr>
          <w:rFonts w:eastAsia="Times New Roman" w:cs="Times New Roman"/>
        </w:rPr>
      </w:pPr>
    </w:p>
    <w:p w14:paraId="0E42EAFC" w14:textId="77777777" w:rsidR="00BF1C76" w:rsidRPr="003C2736" w:rsidRDefault="00BF1C76" w:rsidP="006944DD">
      <w:pPr>
        <w:rPr>
          <w:rFonts w:eastAsia="Times New Roman" w:cs="Times New Roman"/>
        </w:rPr>
      </w:pPr>
    </w:p>
    <w:p w14:paraId="05EBEF60" w14:textId="77777777" w:rsidR="00BF1C76" w:rsidRPr="003C2736" w:rsidRDefault="00BF1C76" w:rsidP="006944DD">
      <w:pPr>
        <w:rPr>
          <w:rFonts w:eastAsia="Times New Roman" w:cs="Times New Roman"/>
        </w:rPr>
      </w:pPr>
    </w:p>
    <w:p w14:paraId="02F11352" w14:textId="77777777" w:rsidR="00BF1C76" w:rsidRPr="003C2736" w:rsidRDefault="00BF1C76" w:rsidP="006944DD">
      <w:pPr>
        <w:rPr>
          <w:rFonts w:eastAsia="Times New Roman" w:cs="Times New Roman"/>
        </w:rPr>
      </w:pPr>
    </w:p>
    <w:p w14:paraId="33FFC3A3" w14:textId="77777777" w:rsidR="00BF1C76" w:rsidRPr="003C2736" w:rsidRDefault="00BF1C76" w:rsidP="006944DD">
      <w:pPr>
        <w:rPr>
          <w:rFonts w:eastAsia="Times New Roman" w:cs="Times New Roman"/>
        </w:rPr>
      </w:pPr>
    </w:p>
    <w:p w14:paraId="1656D3D1" w14:textId="77777777" w:rsidR="00BF1C76" w:rsidRPr="003C2736" w:rsidRDefault="00BF1C76" w:rsidP="006944DD">
      <w:pPr>
        <w:rPr>
          <w:rFonts w:eastAsia="Times New Roman" w:cs="Times New Roman"/>
        </w:rPr>
      </w:pPr>
    </w:p>
    <w:p w14:paraId="58F1AED1" w14:textId="77777777" w:rsidR="00DE23E8" w:rsidRDefault="00DE23E8" w:rsidP="00654E8F">
      <w:pPr>
        <w:spacing w:before="240"/>
      </w:pPr>
    </w:p>
    <w:p w14:paraId="72F56EE9" w14:textId="77777777" w:rsidR="00433882" w:rsidRPr="003C2736" w:rsidRDefault="00433882" w:rsidP="00654E8F">
      <w:pPr>
        <w:spacing w:before="240"/>
      </w:pPr>
    </w:p>
    <w:p w14:paraId="6DC09173" w14:textId="09D6CF06" w:rsidR="006944DD" w:rsidRPr="003C2736" w:rsidRDefault="00433882" w:rsidP="006944DD">
      <w:pPr>
        <w:pStyle w:val="2"/>
        <w:numPr>
          <w:ilvl w:val="1"/>
          <w:numId w:val="14"/>
        </w:numPr>
        <w:rPr>
          <w:rFonts w:ascii="ＭＳ 明朝" w:eastAsia="ＭＳ 明朝" w:hAnsi="ＭＳ 明朝" w:cs="ＭＳ 明朝"/>
          <w:lang w:eastAsia="ja-JP"/>
        </w:rPr>
      </w:pPr>
      <w:r w:rsidRPr="003C2736">
        <w:lastRenderedPageBreak/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bCs/>
          <w:lang w:eastAsia="ja-JP"/>
        </w:rPr>
        <w:t>2</w:t>
      </w:r>
    </w:p>
    <w:p w14:paraId="544EB450" w14:textId="6DEA8A8D" w:rsidR="006944DD" w:rsidRPr="003C2736" w:rsidRDefault="00433882" w:rsidP="006944DD">
      <w:pPr>
        <w:rPr>
          <w:b/>
          <w:bCs/>
          <w:lang w:eastAsia="ja-JP"/>
        </w:rPr>
      </w:pPr>
      <w:r w:rsidRPr="003C2736">
        <w:rPr>
          <w:b/>
          <w:bCs/>
          <w:noProof/>
          <w:lang w:eastAsia="ja-JP"/>
        </w:rPr>
        <w:drawing>
          <wp:inline distT="0" distB="0" distL="0" distR="0" wp14:anchorId="7C0B47F2" wp14:editId="57D3FE42">
            <wp:extent cx="6204585" cy="3491865"/>
            <wp:effectExtent l="0" t="0" r="5715" b="0"/>
            <wp:docPr id="118648267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8267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D536" w14:textId="70C91D44" w:rsidR="001876A4" w:rsidRPr="003C2736" w:rsidRDefault="00433882" w:rsidP="00C322A3">
      <w:pPr>
        <w:pStyle w:val="2"/>
        <w:numPr>
          <w:ilvl w:val="0"/>
          <w:numId w:val="0"/>
        </w:numPr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bCs/>
          <w:lang w:eastAsia="ja-JP"/>
        </w:rPr>
        <w:t xml:space="preserve">2. </w:t>
      </w:r>
      <w:r w:rsidRPr="003C2736">
        <w:rPr>
          <w:rFonts w:eastAsia="Times New Roman"/>
          <w:bCs/>
        </w:rPr>
        <w:t>Survival rates in patients stratified according to Child–Pugh grade.</w:t>
      </w:r>
    </w:p>
    <w:p w14:paraId="59AF2C5F" w14:textId="5AB09C8C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(A)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muscle atrophy in HCC patients with Child–Pugh grade A.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not reached in patients without muscle atrophy and 4.46 years in patients with muscle 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</w:t>
      </w:r>
      <w:r w:rsidRPr="003C2736">
        <w:rPr>
          <w:rFonts w:eastAsia="Times New Roman" w:cs="Times New Roman"/>
        </w:rPr>
        <w:t>ients with muscle atrophy tend to have a poorer prognosis compared to those without muscle atrophy (</w:t>
      </w:r>
      <w:r w:rsidR="00BF1C76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BF1C76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0.054</w:t>
      </w:r>
      <w:r w:rsidR="00BF1C76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BF1C76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BF1C76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1.66, 95% CI: 0.95–2.90).</w:t>
      </w:r>
    </w:p>
    <w:p w14:paraId="30460E3B" w14:textId="1B27F603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(B)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stratified according to SAT radi</w:t>
      </w:r>
      <w:r w:rsidRPr="003C2736">
        <w:rPr>
          <w:rFonts w:eastAsia="Times New Roman" w:cs="Times New Roman"/>
        </w:rPr>
        <w:t xml:space="preserve">odensity in HCC patients with Child–Pugh grade A.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not reached in patients with normal SAT</w:t>
      </w:r>
      <w:r w:rsidR="00B56E1B" w:rsidRPr="003C2736">
        <w:rPr>
          <w:rFonts w:eastAsia="Times New Roman"/>
          <w:b/>
          <w:bCs/>
        </w:rPr>
        <w:t xml:space="preserve"> </w:t>
      </w:r>
      <w:r w:rsidR="00B56E1B" w:rsidRPr="003C2736">
        <w:rPr>
          <w:rFonts w:eastAsia="Times New Roman"/>
        </w:rPr>
        <w:t>radiodensity</w:t>
      </w:r>
      <w:r w:rsidRPr="003C2736">
        <w:rPr>
          <w:rFonts w:eastAsia="Times New Roman" w:cs="Times New Roman"/>
        </w:rPr>
        <w:t xml:space="preserve"> and 3.65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 xml:space="preserve">Patients with high SAT radiodensity tend to have a poorer </w:t>
      </w:r>
      <w:r w:rsidRPr="003C2736">
        <w:rPr>
          <w:rFonts w:eastAsia="Times New Roman" w:cs="Times New Roman"/>
        </w:rPr>
        <w:t>prognosis compared to those with normal SAT radiodensity (</w:t>
      </w:r>
      <w:r w:rsidR="00BF1C76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BF1C76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0.116</w:t>
      </w:r>
      <w:r w:rsidR="00BF1C76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BF1C76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BF1C76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1.86, 95% CI: 0.67–5.14).</w:t>
      </w:r>
    </w:p>
    <w:p w14:paraId="0A9CBF7C" w14:textId="75737D6B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(C)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stratified according to muscle atrophy in HCC patients with Child–Pugh gra</w:t>
      </w:r>
      <w:r w:rsidRPr="003C2736">
        <w:rPr>
          <w:rFonts w:eastAsia="Times New Roman" w:cs="Times New Roman"/>
        </w:rPr>
        <w:t xml:space="preserve">de B or C.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not reached in patients without muscle atrophy and 1.87 years in patients with muscle 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muscle atrophy tend to have a poorer prognosis compared to those without muscle atrophy (</w:t>
      </w:r>
      <w:r w:rsidR="00BF1C76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BF1C76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</w:t>
      </w:r>
      <w:r w:rsidRPr="003C2736">
        <w:rPr>
          <w:rFonts w:eastAsia="Times New Roman" w:cs="Times New Roman"/>
        </w:rPr>
        <w:t xml:space="preserve"> = 0.054</w:t>
      </w:r>
      <w:r w:rsidR="00BF1C76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BF1C76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BF1C76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2.17, 95% CI: 0.95–4.91).</w:t>
      </w:r>
    </w:p>
    <w:p w14:paraId="3A6AA78D" w14:textId="2F09AAE8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(D)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SAT radiodensity in HCC patients with Child–Pugh grade B or C.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4.25 years in patients with no</w:t>
      </w:r>
      <w:r w:rsidRPr="003C2736">
        <w:rPr>
          <w:rFonts w:eastAsia="Times New Roman" w:cs="Times New Roman"/>
        </w:rPr>
        <w:t xml:space="preserve">rmal SAT </w:t>
      </w:r>
      <w:r w:rsidR="00B56E1B" w:rsidRPr="003C2736">
        <w:rPr>
          <w:rFonts w:eastAsia="Times New Roman"/>
        </w:rPr>
        <w:t>radiodensity</w:t>
      </w:r>
      <w:r w:rsidR="00B56E1B" w:rsidRPr="003C2736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and 0.61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high SAT radiodensity have a significantly poorer prognosis than those with normal SAT radiodensity (</w:t>
      </w:r>
      <w:r w:rsidR="00BF1C76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BF1C76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0.001</w:t>
      </w:r>
      <w:r w:rsidR="00BF1C76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BF1C76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BF1C76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 xml:space="preserve">egression HR: 3.61, 95% </w:t>
      </w:r>
      <w:r w:rsidRPr="003C2736">
        <w:rPr>
          <w:rFonts w:eastAsia="Times New Roman" w:cs="Times New Roman"/>
        </w:rPr>
        <w:t>CI: 1.06–12.29).</w:t>
      </w:r>
    </w:p>
    <w:p w14:paraId="28AAAC35" w14:textId="227FF2B6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lastRenderedPageBreak/>
        <w:t>CI, confidence interval; HCC, hepatocellular carcinoma; HR, hazard ratio; SAT, subcutaneous adipose</w:t>
      </w:r>
      <w:r w:rsidRPr="003C2736">
        <w:rPr>
          <w:rFonts w:eastAsia="ＭＳ 明朝" w:cs="Times New Roman"/>
          <w:lang w:eastAsia="ja-JP"/>
        </w:rPr>
        <w:t xml:space="preserve"> tissue</w:t>
      </w:r>
      <w:r w:rsidRPr="003C2736">
        <w:rPr>
          <w:rFonts w:eastAsia="Times New Roman" w:cs="Times New Roman"/>
        </w:rPr>
        <w:t>.</w:t>
      </w:r>
    </w:p>
    <w:p w14:paraId="77A771AA" w14:textId="77777777" w:rsidR="006944DD" w:rsidRPr="003C2736" w:rsidRDefault="006944DD" w:rsidP="00654E8F">
      <w:pPr>
        <w:spacing w:before="240"/>
      </w:pPr>
    </w:p>
    <w:p w14:paraId="233D2CA3" w14:textId="77777777" w:rsidR="006944DD" w:rsidRPr="003C2736" w:rsidRDefault="006944DD" w:rsidP="006944DD">
      <w:pPr>
        <w:spacing w:before="240"/>
      </w:pPr>
    </w:p>
    <w:p w14:paraId="7CE63C02" w14:textId="5183A343" w:rsidR="006944DD" w:rsidRPr="003C2736" w:rsidRDefault="00433882" w:rsidP="006944DD">
      <w:pPr>
        <w:pStyle w:val="2"/>
        <w:numPr>
          <w:ilvl w:val="1"/>
          <w:numId w:val="14"/>
        </w:numPr>
        <w:ind w:left="0" w:firstLine="0"/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bCs/>
          <w:lang w:eastAsia="ja-JP"/>
        </w:rPr>
        <w:t>3</w:t>
      </w:r>
    </w:p>
    <w:p w14:paraId="067A773E" w14:textId="675AF273" w:rsidR="006944DD" w:rsidRPr="003C2736" w:rsidRDefault="00433882" w:rsidP="00654E8F">
      <w:pPr>
        <w:spacing w:before="240"/>
      </w:pPr>
      <w:r w:rsidRPr="003C2736">
        <w:rPr>
          <w:noProof/>
        </w:rPr>
        <w:drawing>
          <wp:inline distT="0" distB="0" distL="0" distR="0" wp14:anchorId="7ACE00D1" wp14:editId="4C023FC5">
            <wp:extent cx="6204585" cy="3491865"/>
            <wp:effectExtent l="0" t="0" r="5715" b="0"/>
            <wp:docPr id="30778945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89452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C164" w14:textId="12352753" w:rsidR="001876A4" w:rsidRPr="003C2736" w:rsidRDefault="00433882" w:rsidP="00C322A3">
      <w:pPr>
        <w:pStyle w:val="2"/>
        <w:numPr>
          <w:ilvl w:val="0"/>
          <w:numId w:val="0"/>
        </w:numPr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bCs/>
          <w:lang w:eastAsia="ja-JP"/>
        </w:rPr>
        <w:t xml:space="preserve">3. </w:t>
      </w:r>
      <w:r w:rsidRPr="003C2736">
        <w:rPr>
          <w:rFonts w:eastAsia="Times New Roman"/>
          <w:bCs/>
        </w:rPr>
        <w:t>Survival rates stratified according to BCLC class</w:t>
      </w:r>
      <w:r w:rsidR="002839BC" w:rsidRPr="003C2736">
        <w:rPr>
          <w:rFonts w:eastAsia="Times New Roman"/>
          <w:bCs/>
        </w:rPr>
        <w:t>.</w:t>
      </w:r>
    </w:p>
    <w:p w14:paraId="7F6889D3" w14:textId="2A7A4FA7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(A)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muscle atrophy in HCC patients with BCLC class 0 or A.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is not reached in patients without muscle atrophy and 6.02 years in patients with muscle </w:t>
      </w:r>
      <w:r w:rsidRPr="003C2736">
        <w:rPr>
          <w:rFonts w:eastAsia="Times New Roman" w:cs="Times New Roman"/>
        </w:rPr>
        <w:t>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muscle atrophy have a poorer prognosis than those without muscle atrophy (</w:t>
      </w:r>
      <w:r w:rsidR="001876A4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1876A4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0.005</w:t>
      </w:r>
      <w:r w:rsidR="001876A4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Crude Cox Regression HR: 2.95, 95% CI: 1.38–6.30).</w:t>
      </w:r>
    </w:p>
    <w:p w14:paraId="687C5F0F" w14:textId="3000D692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(B)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stratified according to SAT radiode</w:t>
      </w:r>
      <w:r w:rsidRPr="003C2736">
        <w:rPr>
          <w:rFonts w:eastAsia="Times New Roman" w:cs="Times New Roman"/>
        </w:rPr>
        <w:t xml:space="preserve">nsity in HCC patients with BCLC class 0 or A.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is not reached in patients with normal SAT </w:t>
      </w:r>
      <w:r w:rsidR="00B56E1B" w:rsidRPr="003C2736">
        <w:rPr>
          <w:rFonts w:eastAsia="Times New Roman"/>
        </w:rPr>
        <w:t>radiodensity</w:t>
      </w:r>
      <w:r w:rsidR="00B56E1B" w:rsidRPr="003C2736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and 3.65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 xml:space="preserve">Patients with high SAT radiodensity have a poorer prognosis than those </w:t>
      </w:r>
      <w:r w:rsidRPr="003C2736">
        <w:rPr>
          <w:rFonts w:eastAsia="Times New Roman" w:cs="Times New Roman"/>
        </w:rPr>
        <w:t>with normal SAT radiodensity (</w:t>
      </w:r>
      <w:r w:rsidR="001876A4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1876A4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0.020</w:t>
      </w:r>
      <w:r w:rsidR="001876A4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1876A4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1876A4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2.98, 95% CI: 1.13–7.84).</w:t>
      </w:r>
    </w:p>
    <w:p w14:paraId="0657A296" w14:textId="1B3CAA2B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(C)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muscle atrophy in HCC patients with BCLC class B or more.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2.22 years in patients without muscle atrophy and 1.04 years in patients with muscle 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muscle atrophy do not have a poorer prognosis than those without muscle atrophy (</w:t>
      </w:r>
      <w:r w:rsidR="001876A4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1876A4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0.13</w:t>
      </w:r>
      <w:r w:rsidR="001876A4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1876A4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1876A4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 xml:space="preserve">egression HR: 1.53, </w:t>
      </w:r>
      <w:r w:rsidRPr="003C2736">
        <w:rPr>
          <w:rFonts w:eastAsia="Times New Roman" w:cs="Times New Roman"/>
        </w:rPr>
        <w:t>95% CI: 0.84–2.75).</w:t>
      </w:r>
    </w:p>
    <w:p w14:paraId="6B0509B0" w14:textId="2ACABFBB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lastRenderedPageBreak/>
        <w:t xml:space="preserve">(D)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SAT radiodensity in HCC patients with BCLC class B or more.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is 2.18 years in patients with normal SAT </w:t>
      </w:r>
      <w:r w:rsidR="00B56E1B" w:rsidRPr="003C2736">
        <w:rPr>
          <w:rFonts w:eastAsia="Times New Roman"/>
        </w:rPr>
        <w:t>radiodensity</w:t>
      </w:r>
      <w:r w:rsidR="00B56E1B" w:rsidRPr="003C2736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and 0.87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high SAT radiodensit</w:t>
      </w:r>
      <w:r w:rsidRPr="003C2736">
        <w:rPr>
          <w:rFonts w:eastAsia="Times New Roman" w:cs="Times New Roman"/>
        </w:rPr>
        <w:t>y have a poorer prognosis than those with normal SAT radiodensity (</w:t>
      </w:r>
      <w:r w:rsidR="006D7590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6D7590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0.006</w:t>
      </w:r>
      <w:r w:rsidR="006D7590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6D7590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6D7590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2.59, 95% CI: 1.28–5.21).</w:t>
      </w:r>
    </w:p>
    <w:p w14:paraId="3B51A3CB" w14:textId="2B0CBB47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BCLC, </w:t>
      </w:r>
      <w:r w:rsidRPr="003C2736">
        <w:t>the Barcelona Clinic Liver Cancer;</w:t>
      </w:r>
      <w:r w:rsidRPr="003C2736">
        <w:rPr>
          <w:rFonts w:eastAsia="Times New Roman" w:cs="Times New Roman"/>
        </w:rPr>
        <w:t xml:space="preserve"> CI, confidence interval; HCC, hepatocellular carcinoma; HR, hazard rati</w:t>
      </w:r>
      <w:r w:rsidRPr="003C2736">
        <w:rPr>
          <w:rFonts w:eastAsia="Times New Roman" w:cs="Times New Roman"/>
        </w:rPr>
        <w:t>o; SAT, subcutaneous adipose</w:t>
      </w:r>
      <w:r w:rsidRPr="003C2736">
        <w:rPr>
          <w:rFonts w:eastAsia="ＭＳ 明朝" w:cs="Times New Roman"/>
          <w:lang w:eastAsia="ja-JP"/>
        </w:rPr>
        <w:t xml:space="preserve"> tissue</w:t>
      </w:r>
      <w:r w:rsidRPr="003C2736">
        <w:rPr>
          <w:rFonts w:eastAsia="Times New Roman" w:cs="Times New Roman"/>
        </w:rPr>
        <w:t>.</w:t>
      </w:r>
    </w:p>
    <w:p w14:paraId="02F34D8F" w14:textId="77777777" w:rsidR="006944DD" w:rsidRPr="003C2736" w:rsidRDefault="006944DD" w:rsidP="006944DD">
      <w:pPr>
        <w:spacing w:before="240"/>
      </w:pPr>
    </w:p>
    <w:p w14:paraId="4AF3194D" w14:textId="6F5F4A66" w:rsidR="006944DD" w:rsidRPr="003C2736" w:rsidRDefault="00433882" w:rsidP="006944DD">
      <w:pPr>
        <w:pStyle w:val="2"/>
        <w:numPr>
          <w:ilvl w:val="1"/>
          <w:numId w:val="14"/>
        </w:numPr>
        <w:ind w:left="0" w:firstLine="0"/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rFonts w:eastAsia="ＭＳ 明朝"/>
          <w:lang w:eastAsia="ja-JP"/>
        </w:rPr>
        <w:t>4</w:t>
      </w:r>
      <w:r w:rsidRPr="003C2736">
        <w:rPr>
          <w:rFonts w:eastAsia="Times New Roman"/>
          <w:b w:val="0"/>
        </w:rPr>
        <w:t xml:space="preserve"> </w:t>
      </w:r>
    </w:p>
    <w:p w14:paraId="53FD4047" w14:textId="7E8E9551" w:rsidR="00545388" w:rsidRPr="003C2736" w:rsidRDefault="00433882" w:rsidP="006944DD">
      <w:pPr>
        <w:rPr>
          <w:b/>
          <w:bCs/>
          <w:lang w:eastAsia="ja-JP"/>
        </w:rPr>
      </w:pPr>
      <w:r w:rsidRPr="003C2736">
        <w:rPr>
          <w:b/>
          <w:bCs/>
          <w:noProof/>
          <w:lang w:eastAsia="ja-JP"/>
        </w:rPr>
        <w:drawing>
          <wp:inline distT="0" distB="0" distL="0" distR="0" wp14:anchorId="0D554D80" wp14:editId="1C8ACE51">
            <wp:extent cx="6204585" cy="3491865"/>
            <wp:effectExtent l="0" t="0" r="5715" b="0"/>
            <wp:docPr id="3571229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22908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5878" w14:textId="2CE6F211" w:rsidR="002839BC" w:rsidRPr="003C2736" w:rsidRDefault="00433882" w:rsidP="003F491E">
      <w:pPr>
        <w:pStyle w:val="2"/>
        <w:numPr>
          <w:ilvl w:val="0"/>
          <w:numId w:val="0"/>
        </w:numPr>
        <w:rPr>
          <w:rFonts w:ascii="ＭＳ 明朝" w:eastAsia="ＭＳ 明朝" w:hAnsi="ＭＳ 明朝" w:cs="ＭＳ 明朝"/>
          <w:lang w:eastAsia="ja-JP"/>
        </w:rPr>
      </w:pPr>
      <w:r w:rsidRPr="003C2736">
        <w:t>Supplementary Figure</w:t>
      </w:r>
      <w:r w:rsidRPr="003C2736">
        <w:rPr>
          <w:rFonts w:ascii="ＭＳ 明朝" w:eastAsia="ＭＳ 明朝" w:hAnsi="ＭＳ 明朝" w:cs="ＭＳ 明朝"/>
          <w:lang w:eastAsia="ja-JP"/>
        </w:rPr>
        <w:t xml:space="preserve"> </w:t>
      </w:r>
      <w:r w:rsidRPr="003C2736">
        <w:rPr>
          <w:rFonts w:eastAsia="ＭＳ 明朝"/>
          <w:lang w:eastAsia="ja-JP"/>
        </w:rPr>
        <w:t>4.</w:t>
      </w:r>
      <w:r w:rsidRPr="003C2736">
        <w:rPr>
          <w:rFonts w:eastAsia="Times New Roman"/>
          <w:b w:val="0"/>
        </w:rPr>
        <w:t xml:space="preserve"> </w:t>
      </w:r>
      <w:r w:rsidRPr="003C2736">
        <w:rPr>
          <w:rFonts w:eastAsia="Times New Roman"/>
          <w:bCs/>
        </w:rPr>
        <w:t>Survival rates stratified according to fluid retention.</w:t>
      </w:r>
    </w:p>
    <w:p w14:paraId="3F8F6C4A" w14:textId="7971ED23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(A)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muscle atrophy in HCC patients without fluid retention.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not reached in patients without muscle atrophy and is 4.30 years in patients with muscle 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muscle atrophy have a poorer prog</w:t>
      </w:r>
      <w:r w:rsidRPr="003C2736">
        <w:rPr>
          <w:rFonts w:eastAsia="Times New Roman" w:cs="Times New Roman"/>
        </w:rPr>
        <w:t>nosis than those without muscle atrophy (</w:t>
      </w:r>
      <w:r w:rsidR="002839BC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2839BC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0.038</w:t>
      </w:r>
      <w:r w:rsidR="002839BC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2839BC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2839BC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1.70, 95% CI: 1.02–2.81).</w:t>
      </w:r>
    </w:p>
    <w:p w14:paraId="7C3A363C" w14:textId="7FFAC824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(B)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SAT radiodensity in HCC patients without fluid retention.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6.02 years in patients with normal SAT</w:t>
      </w:r>
      <w:r w:rsidR="00B56E1B" w:rsidRPr="003C2736">
        <w:rPr>
          <w:rFonts w:eastAsia="Times New Roman"/>
          <w:b/>
          <w:bCs/>
        </w:rPr>
        <w:t xml:space="preserve"> </w:t>
      </w:r>
      <w:r w:rsidR="00B56E1B" w:rsidRPr="003C2736">
        <w:rPr>
          <w:rFonts w:eastAsia="Times New Roman"/>
        </w:rPr>
        <w:t>radiodensity</w:t>
      </w:r>
      <w:r w:rsidRPr="003C2736">
        <w:rPr>
          <w:rFonts w:eastAsia="Times New Roman" w:cs="Times New Roman"/>
        </w:rPr>
        <w:t xml:space="preserve"> and 3.65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 xml:space="preserve">Patients with high SAT radiodensity </w:t>
      </w:r>
      <w:r w:rsidRPr="003C2736">
        <w:rPr>
          <w:rFonts w:eastAsia="Times New Roman" w:cs="Times New Roman"/>
        </w:rPr>
        <w:t>have a poorer prognosis than those with normal SAT radiodensity (</w:t>
      </w:r>
      <w:r w:rsidR="002839BC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2839BC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0.049</w:t>
      </w:r>
      <w:r w:rsidR="002839BC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2839BC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2839BC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2.99, 95% CI: 1.01–8.88).</w:t>
      </w:r>
    </w:p>
    <w:p w14:paraId="603F9674" w14:textId="416D42E2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lastRenderedPageBreak/>
        <w:t xml:space="preserve">(C)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stratified according to muscle atrophy in HCC patients with fluid r</w:t>
      </w:r>
      <w:r w:rsidRPr="003C2736">
        <w:rPr>
          <w:rFonts w:eastAsia="Times New Roman" w:cs="Times New Roman"/>
        </w:rPr>
        <w:t xml:space="preserve">etention.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is not reached in patients without muscle atrophy and 0.90 years in patients with muscle atrophy.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muscle atrophy have a poorer prognosis than those without muscle atrophy (</w:t>
      </w:r>
      <w:r w:rsidR="002839BC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2839BC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0.041</w:t>
      </w:r>
      <w:r w:rsidR="002839BC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2839BC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</w:t>
      </w:r>
      <w:r w:rsidRPr="003C2736">
        <w:rPr>
          <w:rFonts w:eastAsia="Times New Roman" w:cs="Times New Roman"/>
        </w:rPr>
        <w:t xml:space="preserve">Cox </w:t>
      </w:r>
      <w:r w:rsidR="002839BC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2.40, 95% CI: 1.01–5.70).</w:t>
      </w:r>
    </w:p>
    <w:p w14:paraId="027BC752" w14:textId="0DAD59F6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(D) Kaplan–Meier estimates of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stratified according to SAT radiodensity in HCC patients without fluid retention. The median </w:t>
      </w:r>
      <w:r w:rsidR="00232F12" w:rsidRPr="003C2736">
        <w:rPr>
          <w:szCs w:val="24"/>
        </w:rPr>
        <w:t>overall survival</w:t>
      </w:r>
      <w:r w:rsidR="00232F12" w:rsidRPr="003C2736" w:rsidDel="00232F12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 xml:space="preserve">is 3.10 years in patients with normal SAT </w:t>
      </w:r>
      <w:r w:rsidR="00B56E1B" w:rsidRPr="003C2736">
        <w:rPr>
          <w:rFonts w:eastAsia="Times New Roman"/>
        </w:rPr>
        <w:t>radiodensity</w:t>
      </w:r>
      <w:r w:rsidR="00B56E1B" w:rsidRPr="003C2736">
        <w:rPr>
          <w:rFonts w:eastAsia="Times New Roman" w:cs="Times New Roman"/>
        </w:rPr>
        <w:t xml:space="preserve"> </w:t>
      </w:r>
      <w:r w:rsidRPr="003C2736">
        <w:rPr>
          <w:rFonts w:eastAsia="Times New Roman" w:cs="Times New Roman"/>
        </w:rPr>
        <w:t>and 0.87 years in patients with high SAT radiodensity.</w:t>
      </w:r>
      <w:r w:rsidRPr="003C2736">
        <w:rPr>
          <w:rFonts w:ascii="游明朝" w:eastAsia="游明朝" w:hAnsi="游明朝" w:cs="游明朝"/>
          <w:sz w:val="21"/>
        </w:rPr>
        <w:t xml:space="preserve"> </w:t>
      </w:r>
      <w:r w:rsidRPr="003C2736">
        <w:rPr>
          <w:rFonts w:eastAsia="Times New Roman" w:cs="Times New Roman"/>
        </w:rPr>
        <w:t>Patients with high SAT radiodensity have a poorer prognosis than those with normal SAT radiodensity (</w:t>
      </w:r>
      <w:r w:rsidR="002839BC" w:rsidRPr="003C2736">
        <w:rPr>
          <w:rFonts w:eastAsia="Times New Roman" w:cs="Times New Roman"/>
        </w:rPr>
        <w:t>l</w:t>
      </w:r>
      <w:r w:rsidRPr="003C2736">
        <w:rPr>
          <w:rFonts w:eastAsia="Times New Roman" w:cs="Times New Roman"/>
        </w:rPr>
        <w:t>og</w:t>
      </w:r>
      <w:r w:rsidR="002839BC" w:rsidRPr="003C2736">
        <w:rPr>
          <w:rFonts w:eastAsia="Times New Roman" w:cs="Times New Roman"/>
        </w:rPr>
        <w:t>-</w:t>
      </w:r>
      <w:r w:rsidRPr="003C2736">
        <w:rPr>
          <w:rFonts w:eastAsia="Times New Roman" w:cs="Times New Roman"/>
        </w:rPr>
        <w:t xml:space="preserve">rank </w:t>
      </w:r>
      <w:r w:rsidRPr="003C2736">
        <w:rPr>
          <w:rFonts w:eastAsia="Times New Roman" w:cs="Times New Roman"/>
          <w:i/>
          <w:iCs/>
        </w:rPr>
        <w:t>P</w:t>
      </w:r>
      <w:r w:rsidRPr="003C2736">
        <w:rPr>
          <w:rFonts w:eastAsia="Times New Roman" w:cs="Times New Roman"/>
        </w:rPr>
        <w:t>-value = 0.091</w:t>
      </w:r>
      <w:r w:rsidR="002839BC" w:rsidRPr="003C2736">
        <w:rPr>
          <w:rFonts w:eastAsia="Times New Roman" w:cs="Times New Roman"/>
        </w:rPr>
        <w:t>;</w:t>
      </w:r>
      <w:r w:rsidRPr="003C2736">
        <w:rPr>
          <w:rFonts w:eastAsia="Times New Roman" w:cs="Times New Roman"/>
        </w:rPr>
        <w:t xml:space="preserve"> </w:t>
      </w:r>
      <w:r w:rsidR="002839BC" w:rsidRPr="003C2736">
        <w:rPr>
          <w:rFonts w:eastAsia="Times New Roman" w:cs="Times New Roman"/>
        </w:rPr>
        <w:t>c</w:t>
      </w:r>
      <w:r w:rsidRPr="003C2736">
        <w:rPr>
          <w:rFonts w:eastAsia="Times New Roman" w:cs="Times New Roman"/>
        </w:rPr>
        <w:t xml:space="preserve">rude Cox </w:t>
      </w:r>
      <w:r w:rsidR="002839BC" w:rsidRPr="003C2736">
        <w:rPr>
          <w:rFonts w:eastAsia="Times New Roman" w:cs="Times New Roman"/>
        </w:rPr>
        <w:t>r</w:t>
      </w:r>
      <w:r w:rsidRPr="003C2736">
        <w:rPr>
          <w:rFonts w:eastAsia="Times New Roman" w:cs="Times New Roman"/>
        </w:rPr>
        <w:t>egression HR: 2.08, 95% CI: 0.75–5.77).</w:t>
      </w:r>
    </w:p>
    <w:p w14:paraId="619A4CD5" w14:textId="6F96E950" w:rsidR="006944DD" w:rsidRPr="003C2736" w:rsidRDefault="00433882" w:rsidP="006944DD">
      <w:pPr>
        <w:rPr>
          <w:rFonts w:eastAsia="Times New Roman" w:cs="Times New Roman"/>
        </w:rPr>
      </w:pPr>
      <w:r w:rsidRPr="003C2736">
        <w:rPr>
          <w:rFonts w:eastAsia="Times New Roman" w:cs="Times New Roman"/>
        </w:rPr>
        <w:t xml:space="preserve">CI, </w:t>
      </w:r>
      <w:r w:rsidRPr="003C2736">
        <w:rPr>
          <w:rFonts w:eastAsia="Times New Roman" w:cs="Times New Roman"/>
        </w:rPr>
        <w:t>confidence interval; HCC, hepatocellular carcinoma; HR, hazard ratio; SAT, subcutaneous adipose</w:t>
      </w:r>
      <w:r w:rsidRPr="003C2736">
        <w:rPr>
          <w:rFonts w:eastAsia="ＭＳ 明朝" w:cs="Times New Roman"/>
          <w:lang w:eastAsia="ja-JP"/>
        </w:rPr>
        <w:t xml:space="preserve"> tissue</w:t>
      </w:r>
      <w:r w:rsidRPr="003C2736">
        <w:rPr>
          <w:rFonts w:eastAsia="Times New Roman" w:cs="Times New Roman"/>
        </w:rPr>
        <w:t>.</w:t>
      </w:r>
    </w:p>
    <w:p w14:paraId="53AF30E3" w14:textId="77777777" w:rsidR="006944DD" w:rsidRPr="003C2736" w:rsidRDefault="006944DD" w:rsidP="00654E8F">
      <w:pPr>
        <w:spacing w:before="240"/>
      </w:pPr>
    </w:p>
    <w:p w14:paraId="3529889D" w14:textId="77777777" w:rsidR="002839BC" w:rsidRPr="003C2736" w:rsidRDefault="00433882" w:rsidP="00122D92">
      <w:pPr>
        <w:pStyle w:val="1"/>
        <w:numPr>
          <w:ilvl w:val="0"/>
          <w:numId w:val="14"/>
        </w:numPr>
      </w:pPr>
      <w:r w:rsidRPr="003C2736">
        <w:t>Supplementary Method</w:t>
      </w:r>
      <w:r w:rsidR="00845466" w:rsidRPr="003C2736">
        <w:t xml:space="preserve"> </w:t>
      </w:r>
    </w:p>
    <w:p w14:paraId="044945EE" w14:textId="5A4D4090" w:rsidR="006944DD" w:rsidRPr="003C2736" w:rsidRDefault="00433882" w:rsidP="00C322A3">
      <w:pPr>
        <w:pStyle w:val="2"/>
      </w:pPr>
      <w:r w:rsidRPr="003C2736">
        <w:t>Skeletal muscle mass calculation by computed tomography imaging methods</w:t>
      </w:r>
    </w:p>
    <w:p w14:paraId="0A0C79E1" w14:textId="4DE20ABB" w:rsidR="006944DD" w:rsidRPr="003C2736" w:rsidRDefault="00433882" w:rsidP="00845466">
      <w:pPr>
        <w:rPr>
          <w:lang w:eastAsia="ja-JP"/>
        </w:rPr>
      </w:pPr>
      <w:r w:rsidRPr="003C2736">
        <w:rPr>
          <w:lang w:eastAsia="ja-JP"/>
        </w:rPr>
        <w:t xml:space="preserve">For the simpler </w:t>
      </w:r>
      <w:r w:rsidR="00C322A3" w:rsidRPr="003C2736">
        <w:rPr>
          <w:lang w:eastAsia="ja-JP"/>
        </w:rPr>
        <w:t xml:space="preserve">skeletal muscle mass </w:t>
      </w:r>
      <w:r w:rsidRPr="003C2736">
        <w:rPr>
          <w:lang w:eastAsia="ja-JP"/>
        </w:rPr>
        <w:t xml:space="preserve">calculation in </w:t>
      </w:r>
      <w:r w:rsidR="006822B9" w:rsidRPr="003C2736">
        <w:rPr>
          <w:rFonts w:eastAsia="Times New Roman" w:cs="Times New Roman"/>
        </w:rPr>
        <w:t>computed tomography</w:t>
      </w:r>
      <w:r w:rsidR="006822B9" w:rsidRPr="003C2736">
        <w:rPr>
          <w:lang w:eastAsia="ja-JP"/>
        </w:rPr>
        <w:t xml:space="preserve"> (</w:t>
      </w:r>
      <w:r w:rsidRPr="003C2736">
        <w:rPr>
          <w:lang w:eastAsia="ja-JP"/>
        </w:rPr>
        <w:t>CT</w:t>
      </w:r>
      <w:r w:rsidR="006822B9" w:rsidRPr="003C2736">
        <w:rPr>
          <w:lang w:eastAsia="ja-JP"/>
        </w:rPr>
        <w:t>)</w:t>
      </w:r>
      <w:r w:rsidRPr="003C2736">
        <w:rPr>
          <w:lang w:eastAsia="ja-JP"/>
        </w:rPr>
        <w:t xml:space="preserve"> imaging, the following simple CT method was employed: the left–right sum of the long axis was multiplied by the short axis of the iliopsoas muscles at the level of L3 and the product was divided </w:t>
      </w:r>
      <w:r w:rsidRPr="003C2736">
        <w:rPr>
          <w:lang w:eastAsia="ja-JP"/>
        </w:rPr>
        <w:t>by the height squared.</w:t>
      </w:r>
    </w:p>
    <w:p w14:paraId="2EC11720" w14:textId="77777777" w:rsidR="006944DD" w:rsidRPr="003C2736" w:rsidRDefault="006944DD" w:rsidP="00654E8F">
      <w:pPr>
        <w:spacing w:before="240"/>
      </w:pPr>
    </w:p>
    <w:sectPr w:rsidR="006944DD" w:rsidRPr="003C2736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9BEAC" w14:textId="77777777" w:rsidR="008009BE" w:rsidRDefault="008009BE">
      <w:pPr>
        <w:spacing w:before="0" w:after="0"/>
      </w:pPr>
      <w:r>
        <w:separator/>
      </w:r>
    </w:p>
  </w:endnote>
  <w:endnote w:type="continuationSeparator" w:id="0">
    <w:p w14:paraId="10C95A07" w14:textId="77777777" w:rsidR="008009BE" w:rsidRDefault="008009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22579" w:rsidRPr="00577C4C" w:rsidRDefault="00433882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19B05A" wp14:editId="388F25A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F6E707" w14:textId="77777777" w:rsidR="00022579" w:rsidRPr="00577C4C" w:rsidRDefault="0043388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9B0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4F6E707" w14:textId="77777777" w:rsidR="00022579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22579" w:rsidRPr="00577C4C" w:rsidRDefault="00433882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A3E037" wp14:editId="37DD7D7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1FDCEF" w14:textId="77777777" w:rsidR="00022579" w:rsidRPr="00577C4C" w:rsidRDefault="0043388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3E03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31FDCEF" w14:textId="77777777" w:rsidR="00022579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021B1" w14:textId="77777777" w:rsidR="008009BE" w:rsidRDefault="008009BE">
      <w:pPr>
        <w:spacing w:before="0" w:after="0"/>
      </w:pPr>
      <w:r>
        <w:separator/>
      </w:r>
    </w:p>
  </w:footnote>
  <w:footnote w:type="continuationSeparator" w:id="0">
    <w:p w14:paraId="045FC4BA" w14:textId="77777777" w:rsidR="008009BE" w:rsidRDefault="008009B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22579" w:rsidRPr="009151AA" w:rsidRDefault="00433882">
    <w:pPr>
      <w:rPr>
        <w:rFonts w:cs="Times New Roman"/>
      </w:rPr>
    </w:pPr>
    <w:r>
      <w:ptab w:relativeTo="margin" w:alignment="center" w:leader="none"/>
    </w:r>
    <w: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22579" w:rsidRDefault="00433882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7221B43" wp14:editId="027CB08F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2BA85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58B5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EC92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6492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C31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DE2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E4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2E1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72C8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8320DF86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B78B35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2418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2768C1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8A2359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E685FE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228CA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8210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18263D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F1945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A8A484" w:tentative="1">
      <w:start w:val="1"/>
      <w:numFmt w:val="lowerLetter"/>
      <w:lvlText w:val="%2."/>
      <w:lvlJc w:val="left"/>
      <w:pPr>
        <w:ind w:left="1440" w:hanging="360"/>
      </w:pPr>
    </w:lvl>
    <w:lvl w:ilvl="2" w:tplc="FB5EFC5E" w:tentative="1">
      <w:start w:val="1"/>
      <w:numFmt w:val="lowerRoman"/>
      <w:lvlText w:val="%3."/>
      <w:lvlJc w:val="right"/>
      <w:pPr>
        <w:ind w:left="2160" w:hanging="180"/>
      </w:pPr>
    </w:lvl>
    <w:lvl w:ilvl="3" w:tplc="3B52141C" w:tentative="1">
      <w:start w:val="1"/>
      <w:numFmt w:val="decimal"/>
      <w:lvlText w:val="%4."/>
      <w:lvlJc w:val="left"/>
      <w:pPr>
        <w:ind w:left="2880" w:hanging="360"/>
      </w:pPr>
    </w:lvl>
    <w:lvl w:ilvl="4" w:tplc="F38E2D9A" w:tentative="1">
      <w:start w:val="1"/>
      <w:numFmt w:val="lowerLetter"/>
      <w:lvlText w:val="%5."/>
      <w:lvlJc w:val="left"/>
      <w:pPr>
        <w:ind w:left="3600" w:hanging="360"/>
      </w:pPr>
    </w:lvl>
    <w:lvl w:ilvl="5" w:tplc="E7D0B9FC" w:tentative="1">
      <w:start w:val="1"/>
      <w:numFmt w:val="lowerRoman"/>
      <w:lvlText w:val="%6."/>
      <w:lvlJc w:val="right"/>
      <w:pPr>
        <w:ind w:left="4320" w:hanging="180"/>
      </w:pPr>
    </w:lvl>
    <w:lvl w:ilvl="6" w:tplc="8A2882E2" w:tentative="1">
      <w:start w:val="1"/>
      <w:numFmt w:val="decimal"/>
      <w:lvlText w:val="%7."/>
      <w:lvlJc w:val="left"/>
      <w:pPr>
        <w:ind w:left="5040" w:hanging="360"/>
      </w:pPr>
    </w:lvl>
    <w:lvl w:ilvl="7" w:tplc="9D8A59D6" w:tentative="1">
      <w:start w:val="1"/>
      <w:numFmt w:val="lowerLetter"/>
      <w:lvlText w:val="%8."/>
      <w:lvlJc w:val="left"/>
      <w:pPr>
        <w:ind w:left="5760" w:hanging="360"/>
      </w:pPr>
    </w:lvl>
    <w:lvl w:ilvl="8" w:tplc="BE6492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948A1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067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4A3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6CE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A5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420E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053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EB7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7E4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2579"/>
    <w:rsid w:val="00034304"/>
    <w:rsid w:val="00035434"/>
    <w:rsid w:val="000524F2"/>
    <w:rsid w:val="00052A14"/>
    <w:rsid w:val="00077D53"/>
    <w:rsid w:val="00105FD9"/>
    <w:rsid w:val="00117666"/>
    <w:rsid w:val="00122D92"/>
    <w:rsid w:val="001549D3"/>
    <w:rsid w:val="00160065"/>
    <w:rsid w:val="00172D51"/>
    <w:rsid w:val="00176365"/>
    <w:rsid w:val="00177D84"/>
    <w:rsid w:val="001876A4"/>
    <w:rsid w:val="00232F12"/>
    <w:rsid w:val="00267D18"/>
    <w:rsid w:val="0028292E"/>
    <w:rsid w:val="002839BC"/>
    <w:rsid w:val="002868E2"/>
    <w:rsid w:val="002869C3"/>
    <w:rsid w:val="002936E4"/>
    <w:rsid w:val="002B4A57"/>
    <w:rsid w:val="002C74CA"/>
    <w:rsid w:val="003160FA"/>
    <w:rsid w:val="00352B8D"/>
    <w:rsid w:val="003544FB"/>
    <w:rsid w:val="003C2736"/>
    <w:rsid w:val="003D2D47"/>
    <w:rsid w:val="003D2F2D"/>
    <w:rsid w:val="003F491E"/>
    <w:rsid w:val="00401590"/>
    <w:rsid w:val="00433882"/>
    <w:rsid w:val="004339C4"/>
    <w:rsid w:val="00447801"/>
    <w:rsid w:val="00452E9C"/>
    <w:rsid w:val="004735C8"/>
    <w:rsid w:val="004961FF"/>
    <w:rsid w:val="00517A89"/>
    <w:rsid w:val="0052377D"/>
    <w:rsid w:val="005250F2"/>
    <w:rsid w:val="00545388"/>
    <w:rsid w:val="00554FA3"/>
    <w:rsid w:val="00577C4C"/>
    <w:rsid w:val="00593EEA"/>
    <w:rsid w:val="005A5EEE"/>
    <w:rsid w:val="005D65F6"/>
    <w:rsid w:val="005E4FF1"/>
    <w:rsid w:val="006375C7"/>
    <w:rsid w:val="00654E8F"/>
    <w:rsid w:val="00660D05"/>
    <w:rsid w:val="006820B1"/>
    <w:rsid w:val="006822B9"/>
    <w:rsid w:val="006944DD"/>
    <w:rsid w:val="006B7D14"/>
    <w:rsid w:val="006C0091"/>
    <w:rsid w:val="006D7590"/>
    <w:rsid w:val="00701727"/>
    <w:rsid w:val="0070566C"/>
    <w:rsid w:val="00714C50"/>
    <w:rsid w:val="00725A7D"/>
    <w:rsid w:val="007501BE"/>
    <w:rsid w:val="007640CD"/>
    <w:rsid w:val="00790BB3"/>
    <w:rsid w:val="007C206C"/>
    <w:rsid w:val="008009BE"/>
    <w:rsid w:val="00803D24"/>
    <w:rsid w:val="00817DD6"/>
    <w:rsid w:val="00845466"/>
    <w:rsid w:val="00885156"/>
    <w:rsid w:val="009151AA"/>
    <w:rsid w:val="0093429D"/>
    <w:rsid w:val="0093458B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AD59BF"/>
    <w:rsid w:val="00B161F4"/>
    <w:rsid w:val="00B1671E"/>
    <w:rsid w:val="00B25EB8"/>
    <w:rsid w:val="00B354E1"/>
    <w:rsid w:val="00B37F4D"/>
    <w:rsid w:val="00B56E1B"/>
    <w:rsid w:val="00BC4E48"/>
    <w:rsid w:val="00BF1C76"/>
    <w:rsid w:val="00C1762F"/>
    <w:rsid w:val="00C322A3"/>
    <w:rsid w:val="00C52A7B"/>
    <w:rsid w:val="00C56BAF"/>
    <w:rsid w:val="00C679AA"/>
    <w:rsid w:val="00C75972"/>
    <w:rsid w:val="00CC0A3A"/>
    <w:rsid w:val="00CD066B"/>
    <w:rsid w:val="00CE4FEE"/>
    <w:rsid w:val="00CF19D3"/>
    <w:rsid w:val="00DA1071"/>
    <w:rsid w:val="00DB461C"/>
    <w:rsid w:val="00DB59C3"/>
    <w:rsid w:val="00DC0146"/>
    <w:rsid w:val="00DC259A"/>
    <w:rsid w:val="00DE23E8"/>
    <w:rsid w:val="00DE6CF3"/>
    <w:rsid w:val="00E52377"/>
    <w:rsid w:val="00E53A71"/>
    <w:rsid w:val="00E64E17"/>
    <w:rsid w:val="00E77BA4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944D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Abstract,Keywords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</TotalTime>
  <Pages>5</Pages>
  <Words>1069</Words>
  <Characters>6096</Characters>
  <Application>Microsoft Office Word</Application>
  <DocSecurity>4</DocSecurity>
  <Lines>50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剛生 須田</cp:lastModifiedBy>
  <cp:revision>2</cp:revision>
  <cp:lastPrinted>2013-10-03T12:51:00Z</cp:lastPrinted>
  <dcterms:created xsi:type="dcterms:W3CDTF">2023-09-27T03:19:00Z</dcterms:created>
  <dcterms:modified xsi:type="dcterms:W3CDTF">2023-09-27T03:19:00Z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0x01010026445AF306EBB441B7A6158762C40D43</vt:lpwstr>
  </property>
  <property fmtid="{D5CDD505-2E9C-101B-9397-08002B2CF9AE}" pid="4" name="MediaServiceImageTags">
    <vt:lpwstr/>
  </property>
  <property fmtid="{D5CDD505-2E9C-101B-9397-08002B2CF9AE}" pid="5" name="Order">
    <vt:r8>1011900</vt:r8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dlc_DocIdItemGuid">
    <vt:lpwstr>f82bb101-9b00-462e-af01-9a0e7ec06274</vt:lpwstr>
  </property>
</Properties>
</file>