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9E3B75" w14:textId="5DD3AAEA" w:rsidR="00AC490C" w:rsidRDefault="00AC490C" w:rsidP="00A659D4">
      <w:pPr>
        <w:suppressAutoHyphens/>
        <w:autoSpaceDN w:val="0"/>
        <w:spacing w:before="0" w:beforeAutospacing="0" w:after="120" w:line="480" w:lineRule="auto"/>
        <w:textAlignment w:val="baseline"/>
        <w:rPr>
          <w:b/>
        </w:rPr>
      </w:pPr>
      <w:r w:rsidRPr="00F25A0F">
        <w:rPr>
          <w:rFonts w:cs="Calibri"/>
          <w:b/>
          <w:bCs/>
        </w:rPr>
        <w:t>Supplementary Figure 1.</w:t>
      </w:r>
      <w:r w:rsidRPr="00AC490C">
        <w:rPr>
          <w:rFonts w:cstheme="minorHAnsi"/>
          <w:b/>
        </w:rPr>
        <w:t xml:space="preserve"> </w:t>
      </w:r>
      <w:r w:rsidRPr="0070499A">
        <w:rPr>
          <w:rFonts w:cstheme="minorHAnsi"/>
          <w:b/>
        </w:rPr>
        <w:t xml:space="preserve">MTSS1 is down-regulated in </w:t>
      </w:r>
      <w:r w:rsidRPr="0070499A">
        <w:rPr>
          <w:b/>
        </w:rPr>
        <w:t>nasopharyngeal carcinoma (NPC)</w:t>
      </w:r>
      <w:r>
        <w:rPr>
          <w:b/>
        </w:rPr>
        <w:t>.</w:t>
      </w:r>
    </w:p>
    <w:p w14:paraId="1C50A85B" w14:textId="1B6AEA09" w:rsidR="00AC490C" w:rsidRPr="00AC490C" w:rsidRDefault="00AC490C" w:rsidP="00A659D4">
      <w:pPr>
        <w:suppressAutoHyphens/>
        <w:autoSpaceDN w:val="0"/>
        <w:spacing w:before="0" w:beforeAutospacing="0" w:after="120" w:line="480" w:lineRule="auto"/>
        <w:textAlignment w:val="baseline"/>
        <w:rPr>
          <w:rFonts w:cs="Calibri"/>
          <w:bCs/>
        </w:rPr>
      </w:pPr>
      <w:r>
        <w:rPr>
          <w:rFonts w:cstheme="minorHAnsi"/>
        </w:rPr>
        <w:t>(</w:t>
      </w:r>
      <w:r>
        <w:rPr>
          <w:rFonts w:cstheme="minorHAnsi"/>
          <w:b/>
          <w:bCs/>
        </w:rPr>
        <w:t>a</w:t>
      </w:r>
      <w:r>
        <w:rPr>
          <w:rFonts w:cstheme="minorHAnsi"/>
        </w:rPr>
        <w:t>) Workflow of integrative gene expression meta-analysis from the Gene Expression Omnibus (GEO) database. (</w:t>
      </w:r>
      <w:r>
        <w:rPr>
          <w:rFonts w:cstheme="minorHAnsi"/>
          <w:b/>
          <w:bCs/>
        </w:rPr>
        <w:t>b</w:t>
      </w:r>
      <w:r>
        <w:rPr>
          <w:rFonts w:cstheme="minorHAnsi"/>
        </w:rPr>
        <w:t>) Meta-analysis of the GEO datasets to evaluate integrative MTSS1 expression. Total=number of tissues analyzed. IV, Intervention. CI, Confidence interval. (</w:t>
      </w:r>
      <w:r>
        <w:rPr>
          <w:rFonts w:cstheme="minorHAnsi"/>
          <w:b/>
          <w:bCs/>
        </w:rPr>
        <w:t>c</w:t>
      </w:r>
      <w:r>
        <w:rPr>
          <w:rFonts w:cstheme="minorHAnsi"/>
        </w:rPr>
        <w:t>) Workflow of clinicopathological analysis of MTSS1 expression in NPC tissue.</w:t>
      </w:r>
      <w:r w:rsidRPr="00AC490C">
        <w:rPr>
          <w:rFonts w:cstheme="minorHAnsi"/>
        </w:rPr>
        <w:t xml:space="preserve"> </w:t>
      </w:r>
      <w:r>
        <w:rPr>
          <w:rFonts w:cstheme="minorHAnsi"/>
        </w:rPr>
        <w:t>(</w:t>
      </w:r>
      <w:r>
        <w:rPr>
          <w:rFonts w:cstheme="minorHAnsi"/>
          <w:b/>
          <w:bCs/>
        </w:rPr>
        <w:t>d</w:t>
      </w:r>
      <w:r>
        <w:rPr>
          <w:rFonts w:cstheme="minorHAnsi"/>
        </w:rPr>
        <w:t>) RT-qPCR analysis of relative MTSS1 expression in 5-8F and TW03 NPC cell lines to assess the transfection efficiency.</w:t>
      </w:r>
      <w:r w:rsidR="00684A56" w:rsidRPr="00684A56">
        <w:rPr>
          <w:rFonts w:hint="eastAsia"/>
        </w:rPr>
        <w:t xml:space="preserve"> </w:t>
      </w:r>
      <w:r w:rsidR="00684A56" w:rsidRPr="00684A56">
        <w:rPr>
          <w:rFonts w:cstheme="minorHAnsi" w:hint="eastAsia"/>
        </w:rPr>
        <w:t xml:space="preserve">****, p </w:t>
      </w:r>
      <w:r w:rsidR="00684A56" w:rsidRPr="00684A56">
        <w:rPr>
          <w:rFonts w:cstheme="minorHAnsi" w:hint="eastAsia"/>
        </w:rPr>
        <w:t>≤</w:t>
      </w:r>
      <w:r w:rsidR="00684A56" w:rsidRPr="00684A56">
        <w:rPr>
          <w:rFonts w:cstheme="minorHAnsi" w:hint="eastAsia"/>
        </w:rPr>
        <w:t>0.0001 (n = three biological replicates/group; Unpaired, two-tailed Student's t</w:t>
      </w:r>
      <w:r w:rsidR="00684A56" w:rsidRPr="00684A56">
        <w:rPr>
          <w:rFonts w:cstheme="minorHAnsi" w:hint="eastAsia"/>
        </w:rPr>
        <w:t>‐</w:t>
      </w:r>
      <w:r w:rsidR="00684A56" w:rsidRPr="00684A56">
        <w:rPr>
          <w:rFonts w:cstheme="minorHAnsi" w:hint="eastAsia"/>
        </w:rPr>
        <w:t>tests).</w:t>
      </w:r>
    </w:p>
    <w:p w14:paraId="1B315C99" w14:textId="3FA49ED6" w:rsidR="002377AA" w:rsidRDefault="00AC490C" w:rsidP="00A659D4">
      <w:pPr>
        <w:suppressAutoHyphens/>
        <w:autoSpaceDN w:val="0"/>
        <w:spacing w:before="0" w:beforeAutospacing="0" w:after="120" w:line="480" w:lineRule="auto"/>
        <w:textAlignment w:val="baseline"/>
        <w:rPr>
          <w:rFonts w:cstheme="minorHAnsi"/>
        </w:rPr>
      </w:pPr>
      <w:r>
        <w:rPr>
          <w:rFonts w:cs="Calibri"/>
          <w:b/>
          <w:bCs/>
        </w:rPr>
        <w:t>Supplementary Figure 2</w:t>
      </w:r>
      <w:r w:rsidR="001C2CE6" w:rsidRPr="00F25A0F">
        <w:rPr>
          <w:rFonts w:cs="Calibri"/>
          <w:b/>
          <w:bCs/>
        </w:rPr>
        <w:t xml:space="preserve">. </w:t>
      </w:r>
      <w:r w:rsidR="002377AA" w:rsidRPr="0070499A">
        <w:rPr>
          <w:rFonts w:cstheme="minorHAnsi"/>
          <w:b/>
        </w:rPr>
        <w:t>Integration of high-throughput RNA-Seq gene expression data and proteomic data suggest that MTSS1 induces adherens junction assembly.</w:t>
      </w:r>
      <w:r w:rsidR="002377AA">
        <w:rPr>
          <w:rFonts w:cstheme="minorHAnsi"/>
        </w:rPr>
        <w:t xml:space="preserve"> </w:t>
      </w:r>
    </w:p>
    <w:p w14:paraId="18B6A9F7" w14:textId="4659B4F5" w:rsidR="00A659D4" w:rsidRDefault="002377AA" w:rsidP="00A659D4">
      <w:pPr>
        <w:suppressAutoHyphens/>
        <w:autoSpaceDN w:val="0"/>
        <w:spacing w:before="0" w:beforeAutospacing="0" w:after="120" w:line="480" w:lineRule="auto"/>
        <w:textAlignment w:val="baseline"/>
        <w:rPr>
          <w:rFonts w:cstheme="minorHAnsi"/>
        </w:rPr>
      </w:pPr>
      <w:r>
        <w:rPr>
          <w:rFonts w:cstheme="minorHAnsi"/>
        </w:rPr>
        <w:t>(</w:t>
      </w:r>
      <w:r>
        <w:rPr>
          <w:rFonts w:cstheme="minorHAnsi"/>
          <w:b/>
          <w:bCs/>
        </w:rPr>
        <w:t>a-f</w:t>
      </w:r>
      <w:r>
        <w:rPr>
          <w:rFonts w:cstheme="minorHAnsi"/>
        </w:rPr>
        <w:t>) Gene set enrichment analysis enrichment plots of the reactome cell junction organization (</w:t>
      </w:r>
      <w:r>
        <w:rPr>
          <w:rFonts w:cstheme="minorHAnsi"/>
          <w:b/>
          <w:bCs/>
        </w:rPr>
        <w:t>a</w:t>
      </w:r>
      <w:r>
        <w:rPr>
          <w:rFonts w:cstheme="minorHAnsi"/>
        </w:rPr>
        <w:t>), reactome adherens junction interaction (</w:t>
      </w:r>
      <w:r>
        <w:rPr>
          <w:rFonts w:cstheme="minorHAnsi"/>
          <w:b/>
          <w:bCs/>
        </w:rPr>
        <w:t>b</w:t>
      </w:r>
      <w:r>
        <w:rPr>
          <w:rFonts w:cstheme="minorHAnsi"/>
        </w:rPr>
        <w:t>), Gene Ontology molecular function (GOMF) actin monomer binding (</w:t>
      </w:r>
      <w:r>
        <w:rPr>
          <w:rFonts w:cstheme="minorHAnsi"/>
          <w:b/>
          <w:bCs/>
        </w:rPr>
        <w:t>c</w:t>
      </w:r>
      <w:r>
        <w:rPr>
          <w:rFonts w:cstheme="minorHAnsi"/>
        </w:rPr>
        <w:t>) and GOMF cadherin binding involved in cell–cell adhesion (</w:t>
      </w:r>
      <w:r>
        <w:rPr>
          <w:rFonts w:cstheme="minorHAnsi"/>
          <w:b/>
          <w:bCs/>
        </w:rPr>
        <w:t>d</w:t>
      </w:r>
      <w:r>
        <w:rPr>
          <w:rFonts w:cstheme="minorHAnsi"/>
        </w:rPr>
        <w:t>), Gene Ontology cellular component (GOCC) adherens junction (</w:t>
      </w:r>
      <w:r>
        <w:rPr>
          <w:rFonts w:cstheme="minorHAnsi"/>
          <w:b/>
          <w:bCs/>
        </w:rPr>
        <w:t>e</w:t>
      </w:r>
      <w:r>
        <w:rPr>
          <w:rFonts w:cstheme="minorHAnsi"/>
        </w:rPr>
        <w:t>), and (</w:t>
      </w:r>
      <w:r>
        <w:rPr>
          <w:rFonts w:cstheme="minorHAnsi"/>
          <w:b/>
          <w:bCs/>
        </w:rPr>
        <w:t>f</w:t>
      </w:r>
      <w:r>
        <w:rPr>
          <w:rFonts w:cstheme="minorHAnsi"/>
        </w:rPr>
        <w:t>). GOCC catenin complex. (</w:t>
      </w:r>
      <w:r>
        <w:rPr>
          <w:rFonts w:cstheme="minorHAnsi"/>
          <w:b/>
          <w:bCs/>
        </w:rPr>
        <w:t>g</w:t>
      </w:r>
      <w:r>
        <w:rPr>
          <w:rFonts w:cstheme="minorHAnsi"/>
        </w:rPr>
        <w:t xml:space="preserve">) </w:t>
      </w:r>
      <w:bookmarkStart w:id="0" w:name="_Hlk92633961"/>
      <w:r>
        <w:rPr>
          <w:rFonts w:cstheme="minorHAnsi"/>
        </w:rPr>
        <w:t>Genes contributing most to the enrichment signal of a given gene set</w:t>
      </w:r>
      <w:bookmarkEnd w:id="0"/>
      <w:r>
        <w:rPr>
          <w:rFonts w:cstheme="minorHAnsi"/>
        </w:rPr>
        <w:t xml:space="preserve">. </w:t>
      </w:r>
      <w:r>
        <w:rPr>
          <w:rFonts w:cstheme="minorHAnsi" w:hint="eastAsia"/>
        </w:rPr>
        <w:t xml:space="preserve">*, </w:t>
      </w:r>
      <w:r>
        <w:rPr>
          <w:rFonts w:cstheme="minorHAnsi"/>
          <w:i/>
          <w:iCs/>
        </w:rPr>
        <w:t>p</w:t>
      </w:r>
      <w:r>
        <w:rPr>
          <w:rFonts w:cstheme="minorHAnsi" w:hint="eastAsia"/>
        </w:rPr>
        <w:t xml:space="preserve"> </w:t>
      </w:r>
      <w:r>
        <w:rPr>
          <w:rFonts w:cstheme="minorHAnsi" w:hint="eastAsia"/>
        </w:rPr>
        <w:t>≤</w:t>
      </w:r>
      <w:r>
        <w:rPr>
          <w:rFonts w:cstheme="minorHAnsi" w:hint="eastAsia"/>
        </w:rPr>
        <w:t xml:space="preserve">0.05, ***, </w:t>
      </w:r>
      <w:r>
        <w:rPr>
          <w:rFonts w:cstheme="minorHAnsi"/>
          <w:i/>
          <w:iCs/>
        </w:rPr>
        <w:t>p</w:t>
      </w:r>
      <w:r>
        <w:rPr>
          <w:rFonts w:cstheme="minorHAnsi" w:hint="eastAsia"/>
        </w:rPr>
        <w:t xml:space="preserve"> </w:t>
      </w:r>
      <w:r>
        <w:rPr>
          <w:rFonts w:cstheme="minorHAnsi" w:hint="eastAsia"/>
        </w:rPr>
        <w:t>≤</w:t>
      </w:r>
      <w:r>
        <w:rPr>
          <w:rFonts w:cstheme="minorHAnsi" w:hint="eastAsia"/>
        </w:rPr>
        <w:t xml:space="preserve">0.001, ****, </w:t>
      </w:r>
      <w:r>
        <w:rPr>
          <w:rFonts w:cstheme="minorHAnsi"/>
          <w:i/>
          <w:iCs/>
        </w:rPr>
        <w:t>p</w:t>
      </w:r>
      <w:r>
        <w:rPr>
          <w:rFonts w:cstheme="minorHAnsi" w:hint="eastAsia"/>
        </w:rPr>
        <w:t xml:space="preserve"> </w:t>
      </w:r>
      <w:r>
        <w:rPr>
          <w:rFonts w:cstheme="minorHAnsi" w:hint="eastAsia"/>
        </w:rPr>
        <w:t>≤</w:t>
      </w:r>
      <w:r>
        <w:rPr>
          <w:rFonts w:cstheme="minorHAnsi" w:hint="eastAsia"/>
        </w:rPr>
        <w:t xml:space="preserve">0.0001 (n = </w:t>
      </w:r>
      <w:r>
        <w:rPr>
          <w:rFonts w:cstheme="minorHAnsi"/>
        </w:rPr>
        <w:t>three</w:t>
      </w:r>
      <w:r>
        <w:rPr>
          <w:rFonts w:cstheme="minorHAnsi" w:hint="eastAsia"/>
        </w:rPr>
        <w:t xml:space="preserve"> biological replicates/group; </w:t>
      </w:r>
      <w:r>
        <w:rPr>
          <w:rFonts w:cstheme="minorHAnsi"/>
        </w:rPr>
        <w:t>U</w:t>
      </w:r>
      <w:r>
        <w:rPr>
          <w:rFonts w:cstheme="minorHAnsi" w:hint="eastAsia"/>
        </w:rPr>
        <w:t>n</w:t>
      </w:r>
      <w:r>
        <w:rPr>
          <w:rFonts w:cstheme="minorHAnsi"/>
        </w:rPr>
        <w:t xml:space="preserve">paired, two-tailed </w:t>
      </w:r>
      <w:r>
        <w:rPr>
          <w:rFonts w:cstheme="minorHAnsi" w:hint="eastAsia"/>
        </w:rPr>
        <w:t xml:space="preserve">Student's </w:t>
      </w:r>
      <w:r>
        <w:rPr>
          <w:rFonts w:cstheme="minorHAnsi" w:hint="eastAsia"/>
          <w:i/>
          <w:iCs/>
        </w:rPr>
        <w:t>t</w:t>
      </w:r>
      <w:r>
        <w:rPr>
          <w:rFonts w:cstheme="minorHAnsi" w:hint="eastAsia"/>
        </w:rPr>
        <w:t>‐</w:t>
      </w:r>
      <w:r>
        <w:rPr>
          <w:rFonts w:cstheme="minorHAnsi" w:hint="eastAsia"/>
        </w:rPr>
        <w:t>tests).</w:t>
      </w:r>
    </w:p>
    <w:p w14:paraId="15BA0957" w14:textId="3E1A0579" w:rsidR="00A659D4" w:rsidRDefault="00A659D4" w:rsidP="00A659D4">
      <w:pPr>
        <w:suppressAutoHyphens/>
        <w:spacing w:before="0" w:beforeAutospacing="0" w:after="120" w:line="480" w:lineRule="auto"/>
        <w:textAlignment w:val="baseline"/>
        <w:rPr>
          <w:rFonts w:cs="Calibri"/>
        </w:rPr>
      </w:pPr>
      <w:r>
        <w:rPr>
          <w:rFonts w:cs="Calibri"/>
          <w:b/>
          <w:bCs/>
        </w:rPr>
        <w:t xml:space="preserve">Supplementary Figure </w:t>
      </w:r>
      <w:r w:rsidR="00B33EC0">
        <w:rPr>
          <w:rFonts w:cs="Calibri"/>
          <w:b/>
          <w:bCs/>
        </w:rPr>
        <w:t>3</w:t>
      </w:r>
      <w:r w:rsidR="001C2CE6" w:rsidRPr="00F25A0F">
        <w:rPr>
          <w:rFonts w:cs="Calibri"/>
          <w:b/>
          <w:bCs/>
        </w:rPr>
        <w:t xml:space="preserve">. </w:t>
      </w:r>
      <w:r w:rsidR="001C2CE6" w:rsidRPr="00A659D4">
        <w:rPr>
          <w:rFonts w:cs="Calibri"/>
          <w:b/>
        </w:rPr>
        <w:t>MTSS1 does not play a major role in the organization of focal junctions, tight junctions and desmosomes.</w:t>
      </w:r>
      <w:r w:rsidR="001C2CE6" w:rsidRPr="00F25A0F">
        <w:rPr>
          <w:rFonts w:cs="Calibri"/>
        </w:rPr>
        <w:t xml:space="preserve"> </w:t>
      </w:r>
    </w:p>
    <w:p w14:paraId="459E1C13" w14:textId="3DD57D68" w:rsidR="001C2CE6" w:rsidRDefault="001C2CE6" w:rsidP="00A659D4">
      <w:pPr>
        <w:suppressAutoHyphens/>
        <w:spacing w:before="0" w:beforeAutospacing="0" w:after="120" w:line="480" w:lineRule="auto"/>
        <w:textAlignment w:val="baseline"/>
        <w:rPr>
          <w:rFonts w:cs="Calibri"/>
        </w:rPr>
      </w:pPr>
      <w:r w:rsidRPr="00F25A0F">
        <w:rPr>
          <w:rFonts w:cs="Calibri"/>
        </w:rPr>
        <w:t>(</w:t>
      </w:r>
      <w:r w:rsidRPr="00F25A0F">
        <w:rPr>
          <w:rFonts w:cs="Calibri"/>
          <w:b/>
          <w:bCs/>
        </w:rPr>
        <w:t>a</w:t>
      </w:r>
      <w:r w:rsidRPr="00F25A0F">
        <w:rPr>
          <w:rFonts w:cs="Calibri"/>
        </w:rPr>
        <w:t>) RT–qPCR analysis of expression of genes involved in cell–cell junction assembly. (</w:t>
      </w:r>
      <w:r w:rsidRPr="00F25A0F">
        <w:rPr>
          <w:rFonts w:cs="Calibri"/>
          <w:b/>
          <w:bCs/>
        </w:rPr>
        <w:t>b</w:t>
      </w:r>
      <w:r w:rsidRPr="00F25A0F">
        <w:rPr>
          <w:rFonts w:cs="Calibri"/>
        </w:rPr>
        <w:t xml:space="preserve">) Representative images for immunofluorescence staining of markers involved in cell–cell junction organization. Red, TFP (tdTomato fluorescent protein)/MTSS1; green, JAM1/Claudin1/DSP/ ITGβ4; </w:t>
      </w:r>
      <w:r w:rsidRPr="00F25A0F">
        <w:rPr>
          <w:rFonts w:cs="Calibri"/>
        </w:rPr>
        <w:lastRenderedPageBreak/>
        <w:t>Blue, Hoechst. Scale bar, 50 µm. Numerical data are presented as means</w:t>
      </w:r>
      <w:r w:rsidR="006235DE" w:rsidRPr="00F25A0F">
        <w:rPr>
          <w:rFonts w:cs="Calibri"/>
        </w:rPr>
        <w:t xml:space="preserve"> </w:t>
      </w:r>
      <w:r w:rsidRPr="00F25A0F">
        <w:rPr>
          <w:rFonts w:cs="Calibri"/>
        </w:rPr>
        <w:t>±</w:t>
      </w:r>
      <w:r w:rsidR="006235DE" w:rsidRPr="00F25A0F">
        <w:rPr>
          <w:rFonts w:cs="Calibri"/>
        </w:rPr>
        <w:t xml:space="preserve"> </w:t>
      </w:r>
      <w:r w:rsidRPr="00F25A0F">
        <w:rPr>
          <w:rFonts w:cs="Calibri"/>
        </w:rPr>
        <w:t>S</w:t>
      </w:r>
      <w:r w:rsidR="004F2049" w:rsidRPr="00F25A0F">
        <w:rPr>
          <w:rFonts w:cs="Calibri"/>
        </w:rPr>
        <w:t>EM</w:t>
      </w:r>
      <w:r w:rsidRPr="00F25A0F">
        <w:rPr>
          <w:rFonts w:cs="Calibri"/>
        </w:rPr>
        <w:t xml:space="preserve">. </w:t>
      </w:r>
      <w:r w:rsidRPr="00F25A0F">
        <w:rPr>
          <w:rFonts w:cs="Calibri" w:hint="eastAsia"/>
        </w:rPr>
        <w:t xml:space="preserve">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0.05; **,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0.01; ns,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&gt;0.05 </w:t>
      </w:r>
      <w:r w:rsidRPr="00F25A0F">
        <w:rPr>
          <w:rFonts w:cs="Calibri"/>
        </w:rPr>
        <w:t>(n = 3</w:t>
      </w:r>
      <w:r w:rsidRPr="00F25A0F">
        <w:t xml:space="preserve"> </w:t>
      </w:r>
      <w:r w:rsidRPr="00F25A0F">
        <w:rPr>
          <w:rFonts w:cs="Calibri"/>
        </w:rPr>
        <w:t xml:space="preserve">biological replicates/group; </w:t>
      </w:r>
      <w:r w:rsidR="008D5BDD" w:rsidRPr="00F25A0F">
        <w:rPr>
          <w:rFonts w:cs="Calibri"/>
        </w:rPr>
        <w:t>Unpaired, t</w:t>
      </w:r>
      <w:r w:rsidR="008D5BDD" w:rsidRPr="00F25A0F">
        <w:rPr>
          <w:rFonts w:cstheme="minorHAnsi"/>
        </w:rPr>
        <w:t xml:space="preserve">wo-tailed Student's </w:t>
      </w:r>
      <w:r w:rsidR="008D5BDD" w:rsidRPr="00F25A0F">
        <w:rPr>
          <w:rFonts w:cstheme="minorHAnsi" w:hint="eastAsia"/>
          <w:i/>
          <w:iCs/>
        </w:rPr>
        <w:t>t</w:t>
      </w:r>
      <w:r w:rsidR="008D5BDD" w:rsidRPr="00F25A0F">
        <w:rPr>
          <w:rFonts w:cstheme="minorHAnsi" w:hint="eastAsia"/>
        </w:rPr>
        <w:t>‐</w:t>
      </w:r>
      <w:r w:rsidR="008D5BDD" w:rsidRPr="00F25A0F">
        <w:rPr>
          <w:rFonts w:cstheme="minorHAnsi" w:hint="eastAsia"/>
        </w:rPr>
        <w:t>test</w:t>
      </w:r>
      <w:r w:rsidRPr="00F25A0F">
        <w:rPr>
          <w:rFonts w:cs="Calibri" w:hint="eastAsia"/>
        </w:rPr>
        <w:t>).</w:t>
      </w:r>
    </w:p>
    <w:p w14:paraId="206B6B35" w14:textId="4844E8D9" w:rsidR="00A659D4" w:rsidRDefault="00A659D4" w:rsidP="00A659D4">
      <w:pPr>
        <w:suppressAutoHyphens/>
        <w:spacing w:before="0" w:beforeAutospacing="0" w:after="120" w:line="480" w:lineRule="auto"/>
        <w:textAlignment w:val="baseline"/>
        <w:rPr>
          <w:rFonts w:cs="Calibri"/>
        </w:rPr>
      </w:pPr>
      <w:r w:rsidRPr="00A659D4">
        <w:rPr>
          <w:rFonts w:cs="Calibri"/>
          <w:b/>
          <w:bCs/>
        </w:rPr>
        <w:t xml:space="preserve">Supplementary Figure </w:t>
      </w:r>
      <w:r w:rsidR="00B33EC0">
        <w:rPr>
          <w:rFonts w:cs="Calibri"/>
          <w:b/>
          <w:bCs/>
        </w:rPr>
        <w:t>4</w:t>
      </w:r>
      <w:r w:rsidRPr="00A659D4">
        <w:rPr>
          <w:rFonts w:cs="Calibri"/>
          <w:b/>
          <w:bCs/>
        </w:rPr>
        <w:t>.</w:t>
      </w:r>
      <w:r w:rsidRPr="00A659D4">
        <w:rPr>
          <w:rFonts w:cs="Calibri"/>
          <w:b/>
        </w:rPr>
        <w:t xml:space="preserve"> The I-BAR domain is sufficient for MTSS1 to promote the formation of E-cadherin/β-catenin mediated cell adherens junction.</w:t>
      </w:r>
      <w:r w:rsidRPr="00F25A0F">
        <w:rPr>
          <w:rFonts w:cs="Calibri"/>
        </w:rPr>
        <w:t xml:space="preserve"> </w:t>
      </w:r>
    </w:p>
    <w:p w14:paraId="4B3771AC" w14:textId="1F49B220" w:rsidR="00A659D4" w:rsidRPr="00F25A0F" w:rsidRDefault="00A659D4" w:rsidP="00A659D4">
      <w:pPr>
        <w:suppressAutoHyphens/>
        <w:spacing w:before="0" w:beforeAutospacing="0" w:after="120" w:line="480" w:lineRule="auto"/>
        <w:textAlignment w:val="baseline"/>
        <w:rPr>
          <w:rFonts w:cs="Calibri"/>
        </w:rPr>
      </w:pPr>
      <w:r w:rsidRPr="00F25A0F">
        <w:rPr>
          <w:rFonts w:cs="Calibri"/>
        </w:rPr>
        <w:t>(</w:t>
      </w:r>
      <w:r w:rsidRPr="00F25A0F">
        <w:rPr>
          <w:rFonts w:cs="Calibri"/>
          <w:b/>
          <w:bCs/>
        </w:rPr>
        <w:t>a</w:t>
      </w:r>
      <w:r w:rsidRPr="00F25A0F">
        <w:rPr>
          <w:rFonts w:cs="Calibri"/>
        </w:rPr>
        <w:t>) Representative immunofluorescence staining of adhering TW03 NPC cells. Red, TFP (tdTomato fluorescent protein)/MTSS1; green, E-cadherin; Blue, Hoechst. Scale bar, 50 µm. (</w:t>
      </w:r>
      <w:r w:rsidRPr="00F25A0F">
        <w:rPr>
          <w:rFonts w:cs="Calibri"/>
          <w:b/>
          <w:bCs/>
        </w:rPr>
        <w:t>b</w:t>
      </w:r>
      <w:r w:rsidRPr="00F25A0F">
        <w:rPr>
          <w:rFonts w:cs="Calibri"/>
        </w:rPr>
        <w:t>) Quantification of immunofluorescence intensity of E-cadherin at adherens junctions, using the ZEN software. (</w:t>
      </w:r>
      <w:r w:rsidRPr="00F25A0F">
        <w:rPr>
          <w:rFonts w:cs="Calibri"/>
          <w:b/>
          <w:bCs/>
        </w:rPr>
        <w:t>c</w:t>
      </w:r>
      <w:r w:rsidRPr="00F25A0F">
        <w:rPr>
          <w:rFonts w:cs="Calibri"/>
        </w:rPr>
        <w:t>) Representative immunofluorescence staining of adhering TW03 NPC cells. Red, TFP (tdTomato fluorescent protein)/MTSS1; green, β-catenin; Blue, Hoechst. Scale bar = 50 µm. (</w:t>
      </w:r>
      <w:r w:rsidRPr="00F25A0F">
        <w:rPr>
          <w:rFonts w:cs="Calibri"/>
          <w:b/>
          <w:bCs/>
        </w:rPr>
        <w:t>d, e</w:t>
      </w:r>
      <w:r w:rsidRPr="00F25A0F">
        <w:rPr>
          <w:rFonts w:cs="Calibri"/>
        </w:rPr>
        <w:t>) Quantification of immunofluorescence intensity of β-catenin at adherens junctions (</w:t>
      </w:r>
      <w:r w:rsidRPr="00F25A0F">
        <w:rPr>
          <w:rFonts w:cs="Calibri"/>
          <w:b/>
          <w:bCs/>
        </w:rPr>
        <w:t>d</w:t>
      </w:r>
      <w:r w:rsidRPr="00F25A0F">
        <w:rPr>
          <w:rFonts w:cs="Calibri"/>
        </w:rPr>
        <w:t>) and nucleus (</w:t>
      </w:r>
      <w:r w:rsidRPr="00F25A0F">
        <w:rPr>
          <w:rFonts w:cs="Calibri"/>
          <w:b/>
          <w:bCs/>
        </w:rPr>
        <w:t>e</w:t>
      </w:r>
      <w:r w:rsidRPr="00F25A0F">
        <w:rPr>
          <w:rFonts w:cs="Calibri"/>
        </w:rPr>
        <w:t>), using the ZEN software. (</w:t>
      </w:r>
      <w:r w:rsidR="00CD04DB">
        <w:rPr>
          <w:rFonts w:cs="Calibri"/>
          <w:b/>
          <w:bCs/>
        </w:rPr>
        <w:t>f</w:t>
      </w:r>
      <w:r w:rsidR="00DD2EE3" w:rsidRPr="00F25A0F">
        <w:rPr>
          <w:rFonts w:cs="Calibri"/>
        </w:rPr>
        <w:t xml:space="preserve">) Percentage of red positive cells among the total cells. </w:t>
      </w:r>
      <w:r w:rsidRPr="00F25A0F">
        <w:rPr>
          <w:rFonts w:cs="Calibri" w:hint="eastAsia"/>
        </w:rPr>
        <w:t>Numerical data are presented as means</w:t>
      </w:r>
      <w:r w:rsidRPr="00F25A0F">
        <w:rPr>
          <w:rFonts w:cs="Calibri"/>
        </w:rPr>
        <w:t xml:space="preserve"> </w:t>
      </w:r>
      <w:r w:rsidRPr="00F25A0F">
        <w:rPr>
          <w:rFonts w:ascii="DengXian" w:hAnsi="DengXian" w:cs="Calibri" w:hint="eastAsia"/>
        </w:rPr>
        <w:t xml:space="preserve">± </w:t>
      </w:r>
      <w:r w:rsidRPr="00F25A0F">
        <w:rPr>
          <w:rFonts w:cs="Calibri" w:hint="eastAsia"/>
        </w:rPr>
        <w:t>S</w:t>
      </w:r>
      <w:r w:rsidRPr="00F25A0F">
        <w:rPr>
          <w:rFonts w:cs="Calibri"/>
        </w:rPr>
        <w:t>EM</w:t>
      </w:r>
      <w:r w:rsidRPr="00F25A0F">
        <w:rPr>
          <w:rFonts w:cs="Calibri" w:hint="eastAsia"/>
        </w:rPr>
        <w:t xml:space="preserve">. 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0.05; **,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0.01; ***,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0.001; ns,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&gt;0.05 (n = 3 biological replicates/group; </w:t>
      </w:r>
      <w:r w:rsidRPr="00F25A0F">
        <w:rPr>
          <w:rFonts w:cs="Calibri"/>
        </w:rPr>
        <w:t>Unpaired, t</w:t>
      </w:r>
      <w:r w:rsidRPr="00F25A0F">
        <w:rPr>
          <w:rFonts w:cstheme="minorHAnsi"/>
        </w:rPr>
        <w:t xml:space="preserve">wo-tailed Student's </w:t>
      </w:r>
      <w:r w:rsidRPr="00F25A0F">
        <w:rPr>
          <w:rFonts w:cstheme="minorHAnsi" w:hint="eastAsia"/>
          <w:i/>
          <w:iCs/>
        </w:rPr>
        <w:t>t</w:t>
      </w:r>
      <w:r w:rsidRPr="00F25A0F">
        <w:rPr>
          <w:rFonts w:cstheme="minorHAnsi" w:hint="eastAsia"/>
        </w:rPr>
        <w:t>‐</w:t>
      </w:r>
      <w:r w:rsidRPr="00F25A0F">
        <w:rPr>
          <w:rFonts w:cstheme="minorHAnsi" w:hint="eastAsia"/>
        </w:rPr>
        <w:t>test</w:t>
      </w:r>
      <w:r w:rsidRPr="00F25A0F">
        <w:rPr>
          <w:rFonts w:cs="Calibri" w:hint="eastAsia"/>
        </w:rPr>
        <w:t>).</w:t>
      </w:r>
    </w:p>
    <w:p w14:paraId="75427050" w14:textId="6E35BC57" w:rsidR="00A659D4" w:rsidRDefault="002377AA" w:rsidP="00A659D4">
      <w:pPr>
        <w:spacing w:before="0" w:beforeAutospacing="0" w:after="120" w:line="480" w:lineRule="auto"/>
        <w:rPr>
          <w:rFonts w:cs="Calibri"/>
        </w:rPr>
      </w:pPr>
      <w:r w:rsidRPr="00F25A0F">
        <w:rPr>
          <w:rFonts w:cs="Calibri"/>
          <w:b/>
          <w:bCs/>
        </w:rPr>
        <w:t xml:space="preserve">Supplementary Figure </w:t>
      </w:r>
      <w:r w:rsidR="00DD2EE3">
        <w:rPr>
          <w:rFonts w:cs="Calibri"/>
          <w:b/>
          <w:bCs/>
        </w:rPr>
        <w:t>5</w:t>
      </w:r>
      <w:r w:rsidRPr="00F25A0F">
        <w:rPr>
          <w:rFonts w:cs="Calibri"/>
          <w:b/>
          <w:bCs/>
        </w:rPr>
        <w:t xml:space="preserve">. </w:t>
      </w:r>
      <w:r w:rsidRPr="00A659D4">
        <w:rPr>
          <w:rFonts w:cs="Calibri"/>
          <w:b/>
        </w:rPr>
        <w:t>MTSS1 does not active Wnt/ β-catenin signaling and MTSS1 stabilizes E-cadherin in NPC cells.</w:t>
      </w:r>
      <w:r w:rsidRPr="00F25A0F">
        <w:rPr>
          <w:rFonts w:cs="Calibri"/>
        </w:rPr>
        <w:t xml:space="preserve"> </w:t>
      </w:r>
    </w:p>
    <w:p w14:paraId="1F3A2A0B" w14:textId="7C1947C4" w:rsidR="002377AA" w:rsidRPr="003301A4" w:rsidRDefault="002377AA" w:rsidP="00A659D4">
      <w:pPr>
        <w:spacing w:before="0" w:beforeAutospacing="0" w:after="120" w:line="480" w:lineRule="auto"/>
        <w:rPr>
          <w:rFonts w:cs="Calibri"/>
          <w:b/>
          <w:bCs/>
        </w:rPr>
      </w:pPr>
      <w:r w:rsidRPr="00F25A0F">
        <w:rPr>
          <w:rFonts w:cs="Calibri"/>
        </w:rPr>
        <w:t>(</w:t>
      </w:r>
      <w:r w:rsidRPr="00F25A0F">
        <w:rPr>
          <w:rFonts w:cs="Calibri"/>
          <w:b/>
          <w:bCs/>
        </w:rPr>
        <w:t>a</w:t>
      </w:r>
      <w:r w:rsidRPr="00F25A0F">
        <w:rPr>
          <w:rFonts w:cs="Calibri"/>
        </w:rPr>
        <w:t>) Gene set enrichment analysis enrichment plots of Wnt/ β-catenin signaling. (</w:t>
      </w:r>
      <w:r w:rsidRPr="00F25A0F">
        <w:rPr>
          <w:rFonts w:cs="Calibri"/>
          <w:b/>
          <w:bCs/>
        </w:rPr>
        <w:t>b</w:t>
      </w:r>
      <w:r w:rsidRPr="00F25A0F">
        <w:rPr>
          <w:rFonts w:cs="Calibri"/>
        </w:rPr>
        <w:t>) Gene set enrichment analysis enrichment plots of E-cadherin stabilization pathway.</w:t>
      </w:r>
      <w:r w:rsidR="004A28EB" w:rsidRPr="004A28EB">
        <w:rPr>
          <w:rFonts w:cs="Calibri"/>
        </w:rPr>
        <w:t xml:space="preserve"> </w:t>
      </w:r>
      <w:r w:rsidR="004A28EB" w:rsidRPr="00F25A0F">
        <w:rPr>
          <w:rFonts w:cs="Calibri"/>
        </w:rPr>
        <w:t>(</w:t>
      </w:r>
      <w:r w:rsidR="004A28EB">
        <w:rPr>
          <w:rFonts w:cs="Calibri"/>
          <w:b/>
          <w:bCs/>
        </w:rPr>
        <w:t>c</w:t>
      </w:r>
      <w:r w:rsidR="004A28EB" w:rsidRPr="00F25A0F">
        <w:rPr>
          <w:rFonts w:cs="Calibri"/>
        </w:rPr>
        <w:t>)</w:t>
      </w:r>
      <w:r w:rsidR="003301A4">
        <w:rPr>
          <w:rFonts w:cs="Calibri"/>
        </w:rPr>
        <w:t xml:space="preserve"> Fold change of genes involved in </w:t>
      </w:r>
      <w:r w:rsidR="003301A4" w:rsidRPr="003301A4">
        <w:rPr>
          <w:rFonts w:cs="Calibri"/>
        </w:rPr>
        <w:t>dephosphorylat</w:t>
      </w:r>
      <w:r w:rsidR="00B85254">
        <w:rPr>
          <w:rFonts w:cs="Calibri"/>
        </w:rPr>
        <w:t>ion of</w:t>
      </w:r>
      <w:r w:rsidR="003301A4" w:rsidRPr="003301A4">
        <w:rPr>
          <w:rFonts w:cs="Calibri"/>
        </w:rPr>
        <w:t xml:space="preserve"> beta-catenin</w:t>
      </w:r>
      <w:r w:rsidR="003301A4">
        <w:rPr>
          <w:rFonts w:cs="Calibri"/>
        </w:rPr>
        <w:t xml:space="preserve"> in MTSS1 positive 5-8F and TW03 cells</w:t>
      </w:r>
      <w:r w:rsidR="004A28EB" w:rsidRPr="00F25A0F">
        <w:rPr>
          <w:rFonts w:cs="Calibri"/>
        </w:rPr>
        <w:t>.</w:t>
      </w:r>
      <w:r w:rsidR="000E5D4E">
        <w:rPr>
          <w:rFonts w:cs="Calibri"/>
        </w:rPr>
        <w:t xml:space="preserve"> </w:t>
      </w:r>
      <w:r w:rsidR="000E5D4E" w:rsidRPr="000E5D4E">
        <w:rPr>
          <w:rFonts w:cs="Calibri"/>
        </w:rPr>
        <w:t>PTPRU</w:t>
      </w:r>
      <w:r w:rsidR="000E5D4E">
        <w:rPr>
          <w:rFonts w:cs="Calibri"/>
        </w:rPr>
        <w:t>,</w:t>
      </w:r>
      <w:r w:rsidR="000E5D4E" w:rsidRPr="000E5D4E">
        <w:rPr>
          <w:rFonts w:cs="Calibri"/>
        </w:rPr>
        <w:t xml:space="preserve"> protein tyrosine phosphatase receptor type U</w:t>
      </w:r>
      <w:r w:rsidR="000E5D4E">
        <w:rPr>
          <w:rFonts w:cs="Calibri"/>
        </w:rPr>
        <w:t xml:space="preserve">; </w:t>
      </w:r>
      <w:r w:rsidR="000E5D4E" w:rsidRPr="000E5D4E">
        <w:rPr>
          <w:rFonts w:cs="Calibri"/>
        </w:rPr>
        <w:t xml:space="preserve">PTPRF, protein tyrosine phosphatase receptor type </w:t>
      </w:r>
      <w:r w:rsidR="000E5D4E">
        <w:rPr>
          <w:rFonts w:cs="Calibri"/>
        </w:rPr>
        <w:t>F;</w:t>
      </w:r>
      <w:r w:rsidR="000E5D4E" w:rsidRPr="000E5D4E">
        <w:rPr>
          <w:rFonts w:cs="Calibri"/>
        </w:rPr>
        <w:t xml:space="preserve"> PTPRG</w:t>
      </w:r>
      <w:r w:rsidR="000E5D4E">
        <w:rPr>
          <w:rFonts w:cs="Calibri"/>
        </w:rPr>
        <w:t xml:space="preserve">, </w:t>
      </w:r>
      <w:r w:rsidR="000E5D4E" w:rsidRPr="000E5D4E">
        <w:rPr>
          <w:rFonts w:cs="Calibri"/>
        </w:rPr>
        <w:t xml:space="preserve">protein tyrosine phosphatase receptor type </w:t>
      </w:r>
      <w:r w:rsidR="000E5D4E">
        <w:rPr>
          <w:rFonts w:cs="Calibri"/>
        </w:rPr>
        <w:t>G;</w:t>
      </w:r>
      <w:r w:rsidR="000E5D4E" w:rsidRPr="000E5D4E">
        <w:rPr>
          <w:rFonts w:cs="Calibri"/>
        </w:rPr>
        <w:t xml:space="preserve"> PTPRK</w:t>
      </w:r>
      <w:r w:rsidR="000E5D4E">
        <w:rPr>
          <w:rFonts w:cs="Calibri"/>
        </w:rPr>
        <w:t xml:space="preserve">, </w:t>
      </w:r>
      <w:r w:rsidR="000E5D4E" w:rsidRPr="000E5D4E">
        <w:rPr>
          <w:rFonts w:cs="Calibri"/>
        </w:rPr>
        <w:t>protein tyrosine phosphatase receptor type K</w:t>
      </w:r>
      <w:r w:rsidR="000E5D4E">
        <w:rPr>
          <w:rFonts w:cs="Calibri"/>
        </w:rPr>
        <w:t>.</w:t>
      </w:r>
    </w:p>
    <w:p w14:paraId="62CFFE45" w14:textId="0499B81B" w:rsidR="002377AA" w:rsidRPr="002377AA" w:rsidRDefault="001C2CE6" w:rsidP="00A659D4">
      <w:pPr>
        <w:suppressAutoHyphens/>
        <w:spacing w:before="0" w:beforeAutospacing="0" w:after="120" w:line="480" w:lineRule="auto"/>
        <w:textAlignment w:val="baseline"/>
        <w:rPr>
          <w:rFonts w:cs="Calibri"/>
        </w:rPr>
      </w:pPr>
      <w:r w:rsidRPr="00F25A0F">
        <w:rPr>
          <w:rFonts w:cs="Calibri"/>
          <w:b/>
          <w:bCs/>
        </w:rPr>
        <w:lastRenderedPageBreak/>
        <w:t xml:space="preserve">Supplementary Figure </w:t>
      </w:r>
      <w:r w:rsidR="00DD2EE3">
        <w:rPr>
          <w:rFonts w:cs="Calibri"/>
          <w:b/>
          <w:bCs/>
        </w:rPr>
        <w:t>6</w:t>
      </w:r>
      <w:r w:rsidRPr="00A659D4">
        <w:rPr>
          <w:rFonts w:cs="Calibri"/>
          <w:b/>
          <w:bCs/>
        </w:rPr>
        <w:t>.</w:t>
      </w:r>
      <w:r w:rsidRPr="00A659D4">
        <w:rPr>
          <w:rFonts w:cs="Calibri"/>
          <w:b/>
        </w:rPr>
        <w:t xml:space="preserve"> MTSS1 regulates actin dynamics for the formation of cell–cell junctions.</w:t>
      </w:r>
      <w:r w:rsidRPr="00F25A0F">
        <w:rPr>
          <w:rFonts w:cs="Calibri"/>
        </w:rPr>
        <w:t xml:space="preserve"> (</w:t>
      </w:r>
      <w:r w:rsidRPr="00F25A0F">
        <w:rPr>
          <w:rFonts w:cs="Calibri"/>
          <w:b/>
          <w:bCs/>
        </w:rPr>
        <w:t>a</w:t>
      </w:r>
      <w:r w:rsidRPr="00F25A0F">
        <w:rPr>
          <w:rFonts w:cs="Calibri"/>
        </w:rPr>
        <w:t>) Representative immunofluorescence staining of adhering TW03 NPC cells to show the cell morphology. Red, TFP (tdTomato fluorescent protein)/MTSS1; green, phalloidin; Blue, Hoechst. Scale bar, 50 µm. (</w:t>
      </w:r>
      <w:r w:rsidRPr="00F25A0F">
        <w:rPr>
          <w:rFonts w:cs="Calibri"/>
          <w:b/>
          <w:bCs/>
        </w:rPr>
        <w:t>b-d</w:t>
      </w:r>
      <w:r w:rsidRPr="00F25A0F">
        <w:rPr>
          <w:rFonts w:cs="Calibri"/>
        </w:rPr>
        <w:t>) Quantification of filopodia length (</w:t>
      </w:r>
      <w:r w:rsidRPr="00F25A0F">
        <w:rPr>
          <w:rFonts w:cs="Calibri"/>
          <w:b/>
          <w:bCs/>
        </w:rPr>
        <w:t>b</w:t>
      </w:r>
      <w:r w:rsidRPr="00F25A0F">
        <w:rPr>
          <w:rFonts w:cs="Calibri"/>
        </w:rPr>
        <w:t xml:space="preserve">) and lamellipodia </w:t>
      </w:r>
      <w:r w:rsidR="005A0A11" w:rsidRPr="00F25A0F">
        <w:rPr>
          <w:rFonts w:cs="Calibri"/>
        </w:rPr>
        <w:t xml:space="preserve">area </w:t>
      </w:r>
      <w:r w:rsidRPr="00F25A0F">
        <w:rPr>
          <w:rFonts w:cs="Calibri"/>
        </w:rPr>
        <w:t>(</w:t>
      </w:r>
      <w:r w:rsidRPr="00F25A0F">
        <w:rPr>
          <w:rFonts w:cs="Calibri"/>
          <w:b/>
          <w:bCs/>
        </w:rPr>
        <w:t>c</w:t>
      </w:r>
      <w:r w:rsidRPr="00F25A0F">
        <w:rPr>
          <w:rFonts w:cs="Calibri"/>
        </w:rPr>
        <w:t>) along the cell edge, and cell polarity (</w:t>
      </w:r>
      <w:r w:rsidRPr="00F25A0F">
        <w:rPr>
          <w:rFonts w:cs="Calibri"/>
          <w:b/>
          <w:bCs/>
        </w:rPr>
        <w:t>d</w:t>
      </w:r>
      <w:r w:rsidRPr="00F25A0F">
        <w:rPr>
          <w:rFonts w:cs="Calibri"/>
        </w:rPr>
        <w:t>). (</w:t>
      </w:r>
      <w:r w:rsidRPr="00F25A0F">
        <w:rPr>
          <w:rFonts w:cs="Calibri"/>
          <w:b/>
          <w:bCs/>
        </w:rPr>
        <w:t>e</w:t>
      </w:r>
      <w:r w:rsidRPr="00F25A0F">
        <w:rPr>
          <w:rFonts w:cs="Calibri"/>
        </w:rPr>
        <w:t>) Summary of the TW03 NPC cell morphology. (</w:t>
      </w:r>
      <w:r w:rsidRPr="00F25A0F">
        <w:rPr>
          <w:rFonts w:cs="Calibri"/>
          <w:b/>
          <w:bCs/>
        </w:rPr>
        <w:t>f</w:t>
      </w:r>
      <w:r w:rsidRPr="00F25A0F">
        <w:rPr>
          <w:rFonts w:cs="Calibri"/>
        </w:rPr>
        <w:t>) Representative immunofluorescence staining of adhering TW03 NPC cells to show the adherens junctions. Red, TFP (tdTomato fluorescent protein)/MTSS1; green, phalloidin; Blue, Hoechst. Scale bar, 50 µm. (</w:t>
      </w:r>
      <w:r w:rsidRPr="00F25A0F">
        <w:rPr>
          <w:rFonts w:cs="Calibri"/>
          <w:b/>
          <w:bCs/>
        </w:rPr>
        <w:t>g</w:t>
      </w:r>
      <w:r w:rsidRPr="00F25A0F">
        <w:rPr>
          <w:rFonts w:cs="Calibri"/>
        </w:rPr>
        <w:t xml:space="preserve">) Quantification of immunofluorescence intensity of F-actin at cell–cell junctions, using the ZEN software. </w:t>
      </w:r>
      <w:r w:rsidRPr="00F25A0F">
        <w:rPr>
          <w:rFonts w:cs="Calibri" w:hint="eastAsia"/>
        </w:rPr>
        <w:t>Numerical data are presented as means</w:t>
      </w:r>
      <w:r w:rsidR="006235DE" w:rsidRPr="00F25A0F">
        <w:rPr>
          <w:rFonts w:cs="Calibri"/>
        </w:rPr>
        <w:t xml:space="preserve"> </w:t>
      </w:r>
      <w:r w:rsidRPr="00F25A0F">
        <w:rPr>
          <w:rFonts w:ascii="DengXian" w:hAnsi="DengXian" w:cs="Calibri" w:hint="eastAsia"/>
        </w:rPr>
        <w:t>±</w:t>
      </w:r>
      <w:r w:rsidR="006235DE" w:rsidRPr="00F25A0F">
        <w:rPr>
          <w:rFonts w:ascii="DengXian" w:hAnsi="DengXian" w:cs="Calibri" w:hint="eastAsia"/>
        </w:rPr>
        <w:t xml:space="preserve"> </w:t>
      </w:r>
      <w:r w:rsidRPr="00F25A0F">
        <w:rPr>
          <w:rFonts w:cs="Calibri" w:hint="eastAsia"/>
        </w:rPr>
        <w:t>S</w:t>
      </w:r>
      <w:r w:rsidR="00A84DBF" w:rsidRPr="00F25A0F">
        <w:rPr>
          <w:rFonts w:cs="Calibri"/>
        </w:rPr>
        <w:t>EM</w:t>
      </w:r>
      <w:r w:rsidRPr="00F25A0F">
        <w:rPr>
          <w:rFonts w:cs="Calibri" w:hint="eastAsia"/>
        </w:rPr>
        <w:t xml:space="preserve">. 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0.05; **,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0.01; ***,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0.001; ns,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&gt;0.05 (n = 3 biological replicates/group; </w:t>
      </w:r>
      <w:r w:rsidR="008D5BDD" w:rsidRPr="00F25A0F">
        <w:rPr>
          <w:rFonts w:cs="Calibri"/>
        </w:rPr>
        <w:t>Unpaired, t</w:t>
      </w:r>
      <w:r w:rsidR="008D5BDD" w:rsidRPr="00F25A0F">
        <w:rPr>
          <w:rFonts w:cstheme="minorHAnsi"/>
        </w:rPr>
        <w:t xml:space="preserve">wo-tailed Student's </w:t>
      </w:r>
      <w:r w:rsidR="008D5BDD" w:rsidRPr="00F25A0F">
        <w:rPr>
          <w:rFonts w:cstheme="minorHAnsi" w:hint="eastAsia"/>
          <w:i/>
          <w:iCs/>
        </w:rPr>
        <w:t>t</w:t>
      </w:r>
      <w:r w:rsidR="008D5BDD" w:rsidRPr="00F25A0F">
        <w:rPr>
          <w:rFonts w:cstheme="minorHAnsi" w:hint="eastAsia"/>
        </w:rPr>
        <w:t>‐</w:t>
      </w:r>
      <w:r w:rsidR="008D5BDD" w:rsidRPr="00F25A0F">
        <w:rPr>
          <w:rFonts w:cstheme="minorHAnsi" w:hint="eastAsia"/>
        </w:rPr>
        <w:t>test</w:t>
      </w:r>
      <w:r w:rsidRPr="00F25A0F">
        <w:rPr>
          <w:rFonts w:cs="Calibri" w:hint="eastAsia"/>
        </w:rPr>
        <w:t>).</w:t>
      </w:r>
    </w:p>
    <w:p w14:paraId="605A8464" w14:textId="3DB9DE68" w:rsidR="002377AA" w:rsidRDefault="002377AA" w:rsidP="00A659D4">
      <w:pPr>
        <w:suppressAutoHyphens/>
        <w:autoSpaceDN w:val="0"/>
        <w:spacing w:before="0" w:beforeAutospacing="0" w:after="120" w:line="480" w:lineRule="auto"/>
        <w:textAlignment w:val="baseline"/>
        <w:rPr>
          <w:rFonts w:cstheme="minorHAnsi"/>
        </w:rPr>
      </w:pPr>
      <w:bookmarkStart w:id="1" w:name="_Hlk77835863"/>
      <w:bookmarkStart w:id="2" w:name="_Hlk77344012"/>
      <w:r>
        <w:rPr>
          <w:rFonts w:cstheme="minorHAnsi"/>
          <w:b/>
          <w:bCs/>
        </w:rPr>
        <w:t xml:space="preserve">Supplementary Figure </w:t>
      </w:r>
      <w:r w:rsidR="00DD2EE3">
        <w:rPr>
          <w:rFonts w:cstheme="minorHAnsi"/>
          <w:b/>
          <w:bCs/>
        </w:rPr>
        <w:t>7</w:t>
      </w:r>
      <w:r>
        <w:rPr>
          <w:rFonts w:cstheme="minorHAnsi"/>
          <w:b/>
          <w:bCs/>
        </w:rPr>
        <w:t>.</w:t>
      </w:r>
      <w:r>
        <w:rPr>
          <w:rFonts w:cstheme="minorHAnsi"/>
        </w:rPr>
        <w:t xml:space="preserve"> </w:t>
      </w:r>
      <w:r w:rsidRPr="0070499A">
        <w:rPr>
          <w:rFonts w:cstheme="minorHAnsi"/>
          <w:b/>
        </w:rPr>
        <w:t xml:space="preserve">MTSS1 control of cell migration depends on its I-BAR domain. </w:t>
      </w:r>
    </w:p>
    <w:bookmarkEnd w:id="1"/>
    <w:bookmarkEnd w:id="2"/>
    <w:p w14:paraId="0D6D5983" w14:textId="370F20A8" w:rsidR="002377AA" w:rsidRPr="00F25A0F" w:rsidRDefault="002377AA" w:rsidP="00A659D4">
      <w:pPr>
        <w:suppressAutoHyphens/>
        <w:spacing w:before="0" w:beforeAutospacing="0" w:after="120" w:line="480" w:lineRule="auto"/>
        <w:textAlignment w:val="baseline"/>
        <w:rPr>
          <w:rFonts w:cs="Calibri"/>
        </w:rPr>
      </w:pPr>
      <w:r w:rsidRPr="00F25A0F">
        <w:rPr>
          <w:rFonts w:cs="Calibri"/>
        </w:rPr>
        <w:t>(</w:t>
      </w:r>
      <w:r w:rsidRPr="00F25A0F">
        <w:rPr>
          <w:rFonts w:cs="Calibri"/>
          <w:b/>
          <w:bCs/>
        </w:rPr>
        <w:t>a</w:t>
      </w:r>
      <w:r w:rsidRPr="00F25A0F">
        <w:rPr>
          <w:rFonts w:cs="Calibri"/>
        </w:rPr>
        <w:t>) Representative images of cell migration assay</w:t>
      </w:r>
      <w:r>
        <w:rPr>
          <w:rFonts w:cs="Calibri"/>
        </w:rPr>
        <w:t xml:space="preserve"> in TW03 cells</w:t>
      </w:r>
      <w:r w:rsidRPr="00F25A0F">
        <w:rPr>
          <w:rFonts w:cs="Calibri"/>
        </w:rPr>
        <w:t>. Scale bar, 250 µm. (</w:t>
      </w:r>
      <w:r w:rsidRPr="00F25A0F">
        <w:rPr>
          <w:rFonts w:cs="Calibri"/>
          <w:b/>
          <w:bCs/>
        </w:rPr>
        <w:t>b</w:t>
      </w:r>
      <w:r w:rsidRPr="00F25A0F">
        <w:rPr>
          <w:rFonts w:cs="Calibri"/>
        </w:rPr>
        <w:t>) Representative images of cell invasion assay. Scale bar, 250 µm. (</w:t>
      </w:r>
      <w:r w:rsidRPr="00F25A0F">
        <w:rPr>
          <w:rFonts w:cs="Calibri"/>
          <w:b/>
          <w:bCs/>
        </w:rPr>
        <w:t>c</w:t>
      </w:r>
      <w:r w:rsidRPr="00F25A0F">
        <w:rPr>
          <w:rFonts w:cs="Calibri"/>
        </w:rPr>
        <w:t>) Quantification of cell migration. (</w:t>
      </w:r>
      <w:r w:rsidRPr="00F25A0F">
        <w:rPr>
          <w:rFonts w:cs="Calibri"/>
          <w:b/>
          <w:bCs/>
        </w:rPr>
        <w:t>d</w:t>
      </w:r>
      <w:r w:rsidRPr="00F25A0F">
        <w:rPr>
          <w:rFonts w:cs="Calibri"/>
        </w:rPr>
        <w:t>) Quantification of cell invasion. (</w:t>
      </w:r>
      <w:r w:rsidRPr="00F25A0F">
        <w:rPr>
          <w:rFonts w:cs="Calibri"/>
          <w:b/>
          <w:bCs/>
        </w:rPr>
        <w:t>e</w:t>
      </w:r>
      <w:r w:rsidRPr="00F25A0F">
        <w:rPr>
          <w:rFonts w:cs="Calibri"/>
        </w:rPr>
        <w:t xml:space="preserve">) Representative microscopy images of wound closure of cells at 0 h and 14 h after creating a </w:t>
      </w:r>
      <w:r w:rsidRPr="00F25A0F">
        <w:rPr>
          <w:rFonts w:cs="Calibri" w:hint="eastAsia"/>
        </w:rPr>
        <w:t>cell</w:t>
      </w:r>
      <w:r w:rsidRPr="00F25A0F">
        <w:rPr>
          <w:rFonts w:ascii="DengXian" w:hAnsi="DengXian" w:cs="Calibri" w:hint="eastAsia"/>
        </w:rPr>
        <w:t>‐</w:t>
      </w:r>
      <w:r w:rsidRPr="00F25A0F">
        <w:rPr>
          <w:rFonts w:cs="Calibri" w:hint="eastAsia"/>
        </w:rPr>
        <w:t>free</w:t>
      </w:r>
      <w:r w:rsidRPr="00F25A0F">
        <w:rPr>
          <w:rFonts w:cs="Calibri"/>
        </w:rPr>
        <w:t xml:space="preserve"> zone. Red, TFP (tdTomato fluorescent protein)/ MTSS1; Blue, Hoechst. Scale bar, 500 µm. (</w:t>
      </w:r>
      <w:r w:rsidRPr="00F25A0F">
        <w:rPr>
          <w:rFonts w:cs="Calibri"/>
          <w:b/>
          <w:bCs/>
        </w:rPr>
        <w:t>f</w:t>
      </w:r>
      <w:r w:rsidRPr="00F25A0F">
        <w:rPr>
          <w:rFonts w:cs="Calibri"/>
        </w:rPr>
        <w:t xml:space="preserve">) Quantification of gap closure. </w:t>
      </w:r>
      <w:r w:rsidRPr="00F25A0F">
        <w:rPr>
          <w:rFonts w:cs="Calibri" w:hint="eastAsia"/>
        </w:rPr>
        <w:t>Numerical data are presented as means</w:t>
      </w:r>
      <w:r w:rsidRPr="00F25A0F">
        <w:rPr>
          <w:rFonts w:cs="Calibri"/>
        </w:rPr>
        <w:t xml:space="preserve"> </w:t>
      </w:r>
      <w:r w:rsidRPr="00F25A0F">
        <w:rPr>
          <w:rFonts w:ascii="DengXian" w:hAnsi="DengXian" w:cs="Calibri" w:hint="eastAsia"/>
        </w:rPr>
        <w:t xml:space="preserve">± </w:t>
      </w:r>
      <w:r w:rsidRPr="00F25A0F">
        <w:rPr>
          <w:rFonts w:cs="Calibri" w:hint="eastAsia"/>
        </w:rPr>
        <w:t>S</w:t>
      </w:r>
      <w:r w:rsidRPr="00F25A0F">
        <w:rPr>
          <w:rFonts w:cs="Calibri"/>
        </w:rPr>
        <w:t>EM</w:t>
      </w:r>
      <w:r w:rsidRPr="00F25A0F">
        <w:rPr>
          <w:rFonts w:cs="Calibri" w:hint="eastAsia"/>
        </w:rPr>
        <w:t xml:space="preserve">. 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0.05; **,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0.01; ***,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0.001; ****,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0.0001; ns,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&gt;0.05 (n = 3 biological replicates/group; </w:t>
      </w:r>
      <w:r w:rsidRPr="00F25A0F">
        <w:rPr>
          <w:rFonts w:cs="Calibri"/>
        </w:rPr>
        <w:t>Unpaired, t</w:t>
      </w:r>
      <w:r w:rsidRPr="00F25A0F">
        <w:rPr>
          <w:rFonts w:cstheme="minorHAnsi"/>
        </w:rPr>
        <w:t xml:space="preserve">wo-tailed Student's </w:t>
      </w:r>
      <w:r w:rsidRPr="00F25A0F">
        <w:rPr>
          <w:rFonts w:cstheme="minorHAnsi" w:hint="eastAsia"/>
          <w:i/>
          <w:iCs/>
        </w:rPr>
        <w:t>t</w:t>
      </w:r>
      <w:r w:rsidRPr="00F25A0F">
        <w:rPr>
          <w:rFonts w:cstheme="minorHAnsi" w:hint="eastAsia"/>
        </w:rPr>
        <w:t>‐</w:t>
      </w:r>
      <w:r w:rsidRPr="00F25A0F">
        <w:rPr>
          <w:rFonts w:cstheme="minorHAnsi" w:hint="eastAsia"/>
        </w:rPr>
        <w:t>test</w:t>
      </w:r>
      <w:r w:rsidRPr="00F25A0F">
        <w:rPr>
          <w:rFonts w:cs="Calibri" w:hint="eastAsia"/>
        </w:rPr>
        <w:t>).</w:t>
      </w:r>
    </w:p>
    <w:p w14:paraId="775A56BF" w14:textId="7797B08E" w:rsidR="002377AA" w:rsidRPr="002377AA" w:rsidRDefault="002377AA" w:rsidP="00A659D4">
      <w:pPr>
        <w:suppressAutoHyphens/>
        <w:spacing w:before="0" w:beforeAutospacing="0" w:after="120" w:line="480" w:lineRule="auto"/>
        <w:textAlignment w:val="baseline"/>
        <w:rPr>
          <w:rFonts w:cs="Calibri"/>
          <w:b/>
        </w:rPr>
      </w:pPr>
      <w:r>
        <w:rPr>
          <w:rFonts w:cs="Calibri"/>
          <w:b/>
          <w:bCs/>
        </w:rPr>
        <w:t xml:space="preserve">Supplementary Figure </w:t>
      </w:r>
      <w:r w:rsidR="00DD2EE3">
        <w:rPr>
          <w:rFonts w:cs="Calibri"/>
          <w:b/>
          <w:bCs/>
        </w:rPr>
        <w:t>8</w:t>
      </w:r>
      <w:r w:rsidR="001C2CE6" w:rsidRPr="00F25A0F">
        <w:rPr>
          <w:rFonts w:cs="Calibri"/>
          <w:b/>
          <w:bCs/>
        </w:rPr>
        <w:t>.</w:t>
      </w:r>
      <w:r w:rsidR="001C2CE6" w:rsidRPr="00F25A0F">
        <w:rPr>
          <w:rFonts w:cs="Calibri"/>
        </w:rPr>
        <w:t xml:space="preserve"> </w:t>
      </w:r>
      <w:r w:rsidR="001C2CE6" w:rsidRPr="002377AA">
        <w:rPr>
          <w:rFonts w:cs="Calibri"/>
          <w:b/>
        </w:rPr>
        <w:t xml:space="preserve">MTSS1 control of cell migration depends on its I-BAR domain. </w:t>
      </w:r>
    </w:p>
    <w:p w14:paraId="4F8F34E9" w14:textId="474EEF6D" w:rsidR="001C2CE6" w:rsidRPr="00F25A0F" w:rsidRDefault="001C2CE6" w:rsidP="00A659D4">
      <w:pPr>
        <w:suppressAutoHyphens/>
        <w:spacing w:before="0" w:beforeAutospacing="0" w:after="120" w:line="480" w:lineRule="auto"/>
        <w:textAlignment w:val="baseline"/>
        <w:rPr>
          <w:rFonts w:cs="Calibri"/>
        </w:rPr>
      </w:pPr>
      <w:r w:rsidRPr="00F25A0F">
        <w:rPr>
          <w:rFonts w:cs="Calibri"/>
        </w:rPr>
        <w:t>(</w:t>
      </w:r>
      <w:r w:rsidRPr="00F25A0F">
        <w:rPr>
          <w:rFonts w:cs="Calibri"/>
          <w:b/>
          <w:bCs/>
        </w:rPr>
        <w:t>a</w:t>
      </w:r>
      <w:r w:rsidRPr="00F25A0F">
        <w:rPr>
          <w:rFonts w:cs="Calibri"/>
        </w:rPr>
        <w:t>) Representative images of cell migration assay</w:t>
      </w:r>
      <w:r w:rsidR="002377AA">
        <w:rPr>
          <w:rFonts w:cs="Calibri"/>
        </w:rPr>
        <w:t xml:space="preserve"> in 5-8F cells</w:t>
      </w:r>
      <w:r w:rsidRPr="00F25A0F">
        <w:rPr>
          <w:rFonts w:cs="Calibri"/>
        </w:rPr>
        <w:t>. Scale bar, 250 µm. (</w:t>
      </w:r>
      <w:r w:rsidRPr="00F25A0F">
        <w:rPr>
          <w:rFonts w:cs="Calibri"/>
          <w:b/>
          <w:bCs/>
        </w:rPr>
        <w:t>b</w:t>
      </w:r>
      <w:r w:rsidRPr="00F25A0F">
        <w:rPr>
          <w:rFonts w:cs="Calibri"/>
        </w:rPr>
        <w:t>) Representative images of cell invasion assay. Scale bar, 250 µm. (</w:t>
      </w:r>
      <w:r w:rsidRPr="00F25A0F">
        <w:rPr>
          <w:rFonts w:cs="Calibri"/>
          <w:b/>
          <w:bCs/>
        </w:rPr>
        <w:t>c</w:t>
      </w:r>
      <w:r w:rsidRPr="00F25A0F">
        <w:rPr>
          <w:rFonts w:cs="Calibri"/>
        </w:rPr>
        <w:t>) Quantification of cell migration. (</w:t>
      </w:r>
      <w:r w:rsidRPr="00F25A0F">
        <w:rPr>
          <w:rFonts w:cs="Calibri"/>
          <w:b/>
          <w:bCs/>
        </w:rPr>
        <w:t>d</w:t>
      </w:r>
      <w:r w:rsidRPr="00F25A0F">
        <w:rPr>
          <w:rFonts w:cs="Calibri"/>
        </w:rPr>
        <w:t xml:space="preserve">) </w:t>
      </w:r>
      <w:r w:rsidRPr="00F25A0F">
        <w:rPr>
          <w:rFonts w:cs="Calibri"/>
        </w:rPr>
        <w:lastRenderedPageBreak/>
        <w:t>Quantification of cell invasion. (</w:t>
      </w:r>
      <w:r w:rsidRPr="00F25A0F">
        <w:rPr>
          <w:rFonts w:cs="Calibri"/>
          <w:b/>
          <w:bCs/>
        </w:rPr>
        <w:t>e</w:t>
      </w:r>
      <w:r w:rsidRPr="00F25A0F">
        <w:rPr>
          <w:rFonts w:cs="Calibri"/>
        </w:rPr>
        <w:t xml:space="preserve">) Representative microscopy images of wound closure of cells at 0 h and 14 h after creating a </w:t>
      </w:r>
      <w:r w:rsidRPr="00F25A0F">
        <w:rPr>
          <w:rFonts w:cs="Calibri" w:hint="eastAsia"/>
        </w:rPr>
        <w:t>cell</w:t>
      </w:r>
      <w:r w:rsidRPr="00F25A0F">
        <w:rPr>
          <w:rFonts w:ascii="DengXian" w:hAnsi="DengXian" w:cs="Calibri" w:hint="eastAsia"/>
        </w:rPr>
        <w:t>‐</w:t>
      </w:r>
      <w:r w:rsidRPr="00F25A0F">
        <w:rPr>
          <w:rFonts w:cs="Calibri" w:hint="eastAsia"/>
        </w:rPr>
        <w:t>free</w:t>
      </w:r>
      <w:r w:rsidRPr="00F25A0F">
        <w:rPr>
          <w:rFonts w:cs="Calibri"/>
        </w:rPr>
        <w:t xml:space="preserve"> zone. Red, TFP (tdTomato fluorescent protein)/ MTSS1; Blue, Hoechst. Scale bar, 500 µm. (</w:t>
      </w:r>
      <w:r w:rsidRPr="00F25A0F">
        <w:rPr>
          <w:rFonts w:cs="Calibri"/>
          <w:b/>
          <w:bCs/>
        </w:rPr>
        <w:t>f</w:t>
      </w:r>
      <w:r w:rsidRPr="00F25A0F">
        <w:rPr>
          <w:rFonts w:cs="Calibri"/>
        </w:rPr>
        <w:t xml:space="preserve">) </w:t>
      </w:r>
      <w:r w:rsidR="00A659D4">
        <w:rPr>
          <w:rFonts w:cs="Calibri"/>
        </w:rPr>
        <w:t xml:space="preserve">Quantification of gap closure. </w:t>
      </w:r>
      <w:r w:rsidRPr="00F25A0F">
        <w:rPr>
          <w:rFonts w:cs="Calibri" w:hint="eastAsia"/>
        </w:rPr>
        <w:t>Numerical data are presented as means</w:t>
      </w:r>
      <w:r w:rsidR="006235DE" w:rsidRPr="00F25A0F">
        <w:rPr>
          <w:rFonts w:cs="Calibri"/>
        </w:rPr>
        <w:t xml:space="preserve"> </w:t>
      </w:r>
      <w:r w:rsidRPr="00F25A0F">
        <w:rPr>
          <w:rFonts w:ascii="DengXian" w:hAnsi="DengXian" w:cs="Calibri" w:hint="eastAsia"/>
        </w:rPr>
        <w:t>±</w:t>
      </w:r>
      <w:r w:rsidR="006235DE" w:rsidRPr="00F25A0F">
        <w:rPr>
          <w:rFonts w:ascii="DengXian" w:hAnsi="DengXian" w:cs="Calibri" w:hint="eastAsia"/>
        </w:rPr>
        <w:t xml:space="preserve"> </w:t>
      </w:r>
      <w:r w:rsidRPr="00F25A0F">
        <w:rPr>
          <w:rFonts w:cs="Calibri" w:hint="eastAsia"/>
        </w:rPr>
        <w:t>S</w:t>
      </w:r>
      <w:r w:rsidR="00966DA2" w:rsidRPr="00F25A0F">
        <w:rPr>
          <w:rFonts w:cs="Calibri"/>
        </w:rPr>
        <w:t>EM</w:t>
      </w:r>
      <w:r w:rsidRPr="00F25A0F">
        <w:rPr>
          <w:rFonts w:cs="Calibri" w:hint="eastAsia"/>
        </w:rPr>
        <w:t xml:space="preserve">. 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0.05; **,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0.01; ***,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0.001; ****,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 xml:space="preserve">0.0001; ns, </w:t>
      </w:r>
      <w:r w:rsidRPr="00F25A0F">
        <w:rPr>
          <w:rFonts w:cs="Calibri" w:hint="eastAsia"/>
          <w:i/>
          <w:iCs/>
        </w:rPr>
        <w:t>P</w:t>
      </w:r>
      <w:r w:rsidRPr="00F25A0F">
        <w:rPr>
          <w:rFonts w:cs="Calibri" w:hint="eastAsia"/>
        </w:rPr>
        <w:t xml:space="preserve"> &gt;0.05 (n = 3 biological replicates/group; </w:t>
      </w:r>
      <w:r w:rsidR="008D5BDD" w:rsidRPr="00F25A0F">
        <w:rPr>
          <w:rFonts w:cs="Calibri"/>
        </w:rPr>
        <w:t>Unpaired, t</w:t>
      </w:r>
      <w:r w:rsidR="008D5BDD" w:rsidRPr="00F25A0F">
        <w:rPr>
          <w:rFonts w:cstheme="minorHAnsi"/>
        </w:rPr>
        <w:t xml:space="preserve">wo-tailed Student's </w:t>
      </w:r>
      <w:r w:rsidR="008D5BDD" w:rsidRPr="00F25A0F">
        <w:rPr>
          <w:rFonts w:cstheme="minorHAnsi" w:hint="eastAsia"/>
          <w:i/>
          <w:iCs/>
        </w:rPr>
        <w:t>t</w:t>
      </w:r>
      <w:r w:rsidR="008D5BDD" w:rsidRPr="00F25A0F">
        <w:rPr>
          <w:rFonts w:cstheme="minorHAnsi" w:hint="eastAsia"/>
        </w:rPr>
        <w:t>‐</w:t>
      </w:r>
      <w:r w:rsidR="008D5BDD" w:rsidRPr="00F25A0F">
        <w:rPr>
          <w:rFonts w:cstheme="minorHAnsi" w:hint="eastAsia"/>
        </w:rPr>
        <w:t>test</w:t>
      </w:r>
      <w:r w:rsidRPr="00F25A0F">
        <w:rPr>
          <w:rFonts w:cs="Calibri" w:hint="eastAsia"/>
        </w:rPr>
        <w:t>).</w:t>
      </w:r>
    </w:p>
    <w:p w14:paraId="1421877C" w14:textId="7F124A10" w:rsidR="001C2CE6" w:rsidRPr="00E56AC0" w:rsidRDefault="002377AA" w:rsidP="00A659D4">
      <w:pPr>
        <w:suppressAutoHyphens/>
        <w:spacing w:before="0" w:beforeAutospacing="0" w:after="120" w:line="480" w:lineRule="auto"/>
        <w:textAlignment w:val="baseline"/>
        <w:rPr>
          <w:rFonts w:cs="Calibri"/>
          <w:b/>
        </w:rPr>
      </w:pPr>
      <w:r>
        <w:rPr>
          <w:rFonts w:cs="Calibri"/>
          <w:b/>
          <w:bCs/>
        </w:rPr>
        <w:t xml:space="preserve">Supplementary Figure </w:t>
      </w:r>
      <w:r w:rsidR="00DD2EE3">
        <w:rPr>
          <w:rFonts w:cs="Calibri"/>
          <w:b/>
          <w:bCs/>
        </w:rPr>
        <w:t>9</w:t>
      </w:r>
      <w:r w:rsidR="001C2CE6" w:rsidRPr="00F25A0F">
        <w:rPr>
          <w:rFonts w:cs="Calibri"/>
          <w:b/>
          <w:bCs/>
        </w:rPr>
        <w:t xml:space="preserve">. </w:t>
      </w:r>
      <w:r w:rsidR="001C2CE6" w:rsidRPr="002377AA">
        <w:rPr>
          <w:rFonts w:cs="Calibri"/>
          <w:b/>
        </w:rPr>
        <w:t xml:space="preserve">MTSS1 regulates actin dynamics for the formation of cell–cell junctions. </w:t>
      </w:r>
      <w:r w:rsidR="001C2CE6" w:rsidRPr="00F25A0F">
        <w:rPr>
          <w:rFonts w:cs="Calibri"/>
        </w:rPr>
        <w:t>(</w:t>
      </w:r>
      <w:r w:rsidR="00E56AC0">
        <w:rPr>
          <w:rFonts w:cs="Calibri"/>
          <w:b/>
          <w:bCs/>
        </w:rPr>
        <w:t>a, b</w:t>
      </w:r>
      <w:r w:rsidR="001C2CE6" w:rsidRPr="00F25A0F">
        <w:rPr>
          <w:rFonts w:cs="Calibri"/>
        </w:rPr>
        <w:t>) Relative expression level of MTSS1 (</w:t>
      </w:r>
      <w:r w:rsidR="00E56AC0">
        <w:rPr>
          <w:rFonts w:cs="Calibri"/>
          <w:b/>
          <w:bCs/>
        </w:rPr>
        <w:t>a</w:t>
      </w:r>
      <w:r w:rsidR="001C2CE6" w:rsidRPr="00F25A0F">
        <w:rPr>
          <w:rFonts w:cs="Calibri"/>
        </w:rPr>
        <w:t>) and β-catenin (</w:t>
      </w:r>
      <w:r w:rsidR="00E56AC0">
        <w:rPr>
          <w:rFonts w:cs="Calibri"/>
          <w:b/>
          <w:bCs/>
        </w:rPr>
        <w:t>b</w:t>
      </w:r>
      <w:r w:rsidR="001C2CE6" w:rsidRPr="00F25A0F">
        <w:rPr>
          <w:rFonts w:cs="Calibri"/>
        </w:rPr>
        <w:t>)</w:t>
      </w:r>
      <w:r w:rsidR="00316871">
        <w:rPr>
          <w:rFonts w:cs="Calibri"/>
        </w:rPr>
        <w:t xml:space="preserve"> by Western blotting</w:t>
      </w:r>
      <w:bookmarkStart w:id="3" w:name="_GoBack"/>
      <w:bookmarkEnd w:id="3"/>
      <w:r w:rsidR="001C2CE6" w:rsidRPr="00F25A0F">
        <w:rPr>
          <w:rFonts w:cs="Calibri"/>
        </w:rPr>
        <w:t>. (</w:t>
      </w:r>
      <w:r w:rsidR="00E56AC0">
        <w:rPr>
          <w:rFonts w:cs="Calibri"/>
          <w:b/>
          <w:bCs/>
        </w:rPr>
        <w:t>c</w:t>
      </w:r>
      <w:r w:rsidR="001C2CE6" w:rsidRPr="00F25A0F">
        <w:rPr>
          <w:rFonts w:cs="Calibri"/>
        </w:rPr>
        <w:t>) Quantification of the efficiency of silencing with two different MTSS1-specific siRNAs by qPCR. (</w:t>
      </w:r>
      <w:r w:rsidR="00E56AC0">
        <w:rPr>
          <w:rFonts w:cs="Calibri"/>
          <w:b/>
          <w:bCs/>
        </w:rPr>
        <w:t>d</w:t>
      </w:r>
      <w:r w:rsidR="001C2CE6" w:rsidRPr="00F25A0F">
        <w:rPr>
          <w:rFonts w:cs="Calibri"/>
        </w:rPr>
        <w:t>) Representative immunofluorescence staining of adhering cells to show the adherens junctions. Red, TFP (tdTomato fluo</w:t>
      </w:r>
      <w:r w:rsidR="00E56AC0">
        <w:rPr>
          <w:rFonts w:cs="Calibri"/>
        </w:rPr>
        <w:t xml:space="preserve">rescent protein)/MTSS1; green, </w:t>
      </w:r>
      <w:r w:rsidR="00E56AC0" w:rsidRPr="00E56AC0">
        <w:rPr>
          <w:rFonts w:ascii="Symbol" w:hAnsi="Symbol" w:cs="Calibri"/>
        </w:rPr>
        <w:t></w:t>
      </w:r>
      <w:r w:rsidR="00E56AC0">
        <w:rPr>
          <w:rFonts w:cs="Calibri"/>
        </w:rPr>
        <w:t>-catenin</w:t>
      </w:r>
      <w:r w:rsidR="001C2CE6" w:rsidRPr="00F25A0F">
        <w:rPr>
          <w:rFonts w:cs="Calibri"/>
        </w:rPr>
        <w:t>; Blue, Hoechst. Scale bar, 50 µm. (</w:t>
      </w:r>
      <w:r w:rsidR="00E56AC0">
        <w:rPr>
          <w:rFonts w:cs="Calibri"/>
          <w:b/>
          <w:bCs/>
        </w:rPr>
        <w:t>e,f</w:t>
      </w:r>
      <w:r w:rsidR="001C2CE6" w:rsidRPr="00F25A0F">
        <w:rPr>
          <w:rFonts w:cs="Calibri"/>
        </w:rPr>
        <w:t>) Quantification of immunofluorescence intensity of intracellular MTSS1 (</w:t>
      </w:r>
      <w:r w:rsidR="00E56AC0">
        <w:rPr>
          <w:rFonts w:cs="Calibri"/>
          <w:b/>
          <w:bCs/>
        </w:rPr>
        <w:t>e</w:t>
      </w:r>
      <w:r w:rsidR="001C2CE6" w:rsidRPr="00F25A0F">
        <w:rPr>
          <w:rFonts w:cs="Calibri"/>
        </w:rPr>
        <w:t>) and β-catenin at cell–cell junctions (</w:t>
      </w:r>
      <w:r w:rsidR="00E56AC0">
        <w:rPr>
          <w:rFonts w:cs="Calibri"/>
          <w:b/>
          <w:bCs/>
        </w:rPr>
        <w:t>f</w:t>
      </w:r>
      <w:r w:rsidR="001C2CE6" w:rsidRPr="00F25A0F">
        <w:rPr>
          <w:rFonts w:cs="Calibri"/>
        </w:rPr>
        <w:t xml:space="preserve">), using the ZEN software. </w:t>
      </w:r>
      <w:r w:rsidR="001C2CE6" w:rsidRPr="00F25A0F">
        <w:rPr>
          <w:rFonts w:cs="Calibri"/>
          <w:bCs/>
        </w:rPr>
        <w:t>(</w:t>
      </w:r>
      <w:r w:rsidR="00E56AC0">
        <w:rPr>
          <w:rFonts w:cs="Calibri"/>
          <w:b/>
        </w:rPr>
        <w:t>g</w:t>
      </w:r>
      <w:r w:rsidR="001C2CE6" w:rsidRPr="00F25A0F">
        <w:rPr>
          <w:rFonts w:cs="Calibri"/>
          <w:bCs/>
        </w:rPr>
        <w:t>)</w:t>
      </w:r>
      <w:r w:rsidR="001C2CE6" w:rsidRPr="00F25A0F">
        <w:rPr>
          <w:rFonts w:cs="Calibri"/>
        </w:rPr>
        <w:t xml:space="preserve"> Representative immunofluorescence staining of adhering cells to show the cell morphology. Red, TFP (tdTomato fluorescent protein)/MTSS1; green, phalloidin; Blue, Hoechst. Scale bar, 50 µm. (</w:t>
      </w:r>
      <w:r w:rsidR="00E56AC0">
        <w:rPr>
          <w:rFonts w:cs="Calibri"/>
          <w:b/>
          <w:bCs/>
        </w:rPr>
        <w:t>h</w:t>
      </w:r>
      <w:r w:rsidR="001C2CE6" w:rsidRPr="00F25A0F">
        <w:rPr>
          <w:rFonts w:cs="Calibri"/>
        </w:rPr>
        <w:t xml:space="preserve">, </w:t>
      </w:r>
      <w:r w:rsidR="00E56AC0">
        <w:rPr>
          <w:rFonts w:cs="Calibri"/>
          <w:b/>
          <w:bCs/>
        </w:rPr>
        <w:t>i</w:t>
      </w:r>
      <w:r w:rsidR="001C2CE6" w:rsidRPr="00F25A0F">
        <w:rPr>
          <w:rFonts w:cs="Calibri"/>
        </w:rPr>
        <w:t>) Quantification of immunofluorescence intensity of intracellular MTSS1 (</w:t>
      </w:r>
      <w:r w:rsidR="00E56AC0">
        <w:rPr>
          <w:rFonts w:cs="Calibri"/>
          <w:b/>
          <w:bCs/>
        </w:rPr>
        <w:t>h</w:t>
      </w:r>
      <w:r w:rsidR="001C2CE6" w:rsidRPr="00F25A0F">
        <w:rPr>
          <w:rFonts w:cs="Calibri"/>
        </w:rPr>
        <w:t>) and F-actin at cell–cell junctions (</w:t>
      </w:r>
      <w:r w:rsidR="00E56AC0">
        <w:rPr>
          <w:rFonts w:cs="Calibri"/>
          <w:b/>
          <w:bCs/>
        </w:rPr>
        <w:t>i</w:t>
      </w:r>
      <w:r w:rsidR="001C2CE6" w:rsidRPr="00F25A0F">
        <w:rPr>
          <w:rFonts w:cs="Calibri"/>
        </w:rPr>
        <w:t xml:space="preserve">), using the ZEN software. </w:t>
      </w:r>
      <w:r w:rsidR="001C2CE6" w:rsidRPr="00F25A0F">
        <w:rPr>
          <w:rFonts w:cs="Calibri" w:hint="eastAsia"/>
        </w:rPr>
        <w:t>Numerical data are presented as means</w:t>
      </w:r>
      <w:r w:rsidR="006235DE" w:rsidRPr="00F25A0F">
        <w:rPr>
          <w:rFonts w:cs="Calibri"/>
        </w:rPr>
        <w:t xml:space="preserve"> </w:t>
      </w:r>
      <w:r w:rsidR="001C2CE6" w:rsidRPr="00F25A0F">
        <w:rPr>
          <w:rFonts w:ascii="DengXian" w:hAnsi="DengXian" w:cs="Calibri" w:hint="eastAsia"/>
        </w:rPr>
        <w:t>±</w:t>
      </w:r>
      <w:r w:rsidR="006235DE" w:rsidRPr="00F25A0F">
        <w:rPr>
          <w:rFonts w:ascii="DengXian" w:hAnsi="DengXian" w:cs="Calibri" w:hint="eastAsia"/>
        </w:rPr>
        <w:t xml:space="preserve"> </w:t>
      </w:r>
      <w:r w:rsidR="001C2CE6" w:rsidRPr="00F25A0F">
        <w:rPr>
          <w:rFonts w:cs="Calibri" w:hint="eastAsia"/>
        </w:rPr>
        <w:t>S</w:t>
      </w:r>
      <w:r w:rsidR="00966DA2" w:rsidRPr="00F25A0F">
        <w:rPr>
          <w:rFonts w:cs="Calibri"/>
        </w:rPr>
        <w:t>EM</w:t>
      </w:r>
      <w:r w:rsidR="001C2CE6" w:rsidRPr="00F25A0F">
        <w:rPr>
          <w:rFonts w:cs="Calibri" w:hint="eastAsia"/>
        </w:rPr>
        <w:t xml:space="preserve">. *, </w:t>
      </w:r>
      <w:r w:rsidR="001C2CE6" w:rsidRPr="00F25A0F">
        <w:rPr>
          <w:rFonts w:cs="Calibri" w:hint="eastAsia"/>
          <w:i/>
          <w:iCs/>
        </w:rPr>
        <w:t>P</w:t>
      </w:r>
      <w:r w:rsidR="001C2CE6" w:rsidRPr="00F25A0F">
        <w:rPr>
          <w:rFonts w:cs="Calibri" w:hint="eastAsia"/>
        </w:rPr>
        <w:t xml:space="preserve"> </w:t>
      </w:r>
      <w:r w:rsidR="001C2CE6" w:rsidRPr="00F25A0F">
        <w:rPr>
          <w:rFonts w:ascii="DengXian" w:hAnsi="DengXian" w:cs="Calibri" w:hint="eastAsia"/>
        </w:rPr>
        <w:t>≤</w:t>
      </w:r>
      <w:r w:rsidR="001C2CE6" w:rsidRPr="00F25A0F">
        <w:rPr>
          <w:rFonts w:cs="Calibri" w:hint="eastAsia"/>
        </w:rPr>
        <w:t xml:space="preserve">0.05; **, </w:t>
      </w:r>
      <w:r w:rsidR="001C2CE6" w:rsidRPr="00F25A0F">
        <w:rPr>
          <w:rFonts w:cs="Calibri" w:hint="eastAsia"/>
          <w:i/>
          <w:iCs/>
        </w:rPr>
        <w:t>P</w:t>
      </w:r>
      <w:r w:rsidR="001C2CE6" w:rsidRPr="00F25A0F">
        <w:rPr>
          <w:rFonts w:cs="Calibri" w:hint="eastAsia"/>
        </w:rPr>
        <w:t xml:space="preserve"> </w:t>
      </w:r>
      <w:r w:rsidR="001C2CE6" w:rsidRPr="00F25A0F">
        <w:rPr>
          <w:rFonts w:ascii="DengXian" w:hAnsi="DengXian" w:cs="Calibri" w:hint="eastAsia"/>
        </w:rPr>
        <w:t>≤</w:t>
      </w:r>
      <w:r w:rsidR="001C2CE6" w:rsidRPr="00F25A0F">
        <w:rPr>
          <w:rFonts w:cs="Calibri" w:hint="eastAsia"/>
        </w:rPr>
        <w:t>0.01; ***,</w:t>
      </w:r>
      <w:r w:rsidR="001C2CE6" w:rsidRPr="00F25A0F">
        <w:rPr>
          <w:rFonts w:cs="Calibri" w:hint="eastAsia"/>
          <w:i/>
          <w:iCs/>
        </w:rPr>
        <w:t xml:space="preserve"> P</w:t>
      </w:r>
      <w:r w:rsidR="001C2CE6" w:rsidRPr="00F25A0F">
        <w:rPr>
          <w:rFonts w:cs="Calibri" w:hint="eastAsia"/>
        </w:rPr>
        <w:t xml:space="preserve"> </w:t>
      </w:r>
      <w:r w:rsidR="001C2CE6" w:rsidRPr="00F25A0F">
        <w:rPr>
          <w:rFonts w:ascii="DengXian" w:hAnsi="DengXian" w:cs="Calibri" w:hint="eastAsia"/>
        </w:rPr>
        <w:t>≤</w:t>
      </w:r>
      <w:r w:rsidR="001C2CE6" w:rsidRPr="00F25A0F">
        <w:rPr>
          <w:rFonts w:cs="Calibri" w:hint="eastAsia"/>
        </w:rPr>
        <w:t xml:space="preserve">0.001; ****, </w:t>
      </w:r>
      <w:r w:rsidR="001C2CE6" w:rsidRPr="00F25A0F">
        <w:rPr>
          <w:rFonts w:cs="Calibri" w:hint="eastAsia"/>
          <w:i/>
          <w:iCs/>
        </w:rPr>
        <w:t>P</w:t>
      </w:r>
      <w:r w:rsidR="001C2CE6" w:rsidRPr="00F25A0F">
        <w:rPr>
          <w:rFonts w:cs="Calibri" w:hint="eastAsia"/>
        </w:rPr>
        <w:t xml:space="preserve"> </w:t>
      </w:r>
      <w:r w:rsidR="001C2CE6" w:rsidRPr="00F25A0F">
        <w:rPr>
          <w:rFonts w:ascii="DengXian" w:hAnsi="DengXian" w:cs="Calibri" w:hint="eastAsia"/>
        </w:rPr>
        <w:t>≤</w:t>
      </w:r>
      <w:r w:rsidR="001C2CE6" w:rsidRPr="00F25A0F">
        <w:rPr>
          <w:rFonts w:cs="Calibri" w:hint="eastAsia"/>
        </w:rPr>
        <w:t xml:space="preserve">0.0001; ns, </w:t>
      </w:r>
      <w:r w:rsidR="001C2CE6" w:rsidRPr="00F25A0F">
        <w:rPr>
          <w:rFonts w:cs="Calibri" w:hint="eastAsia"/>
          <w:i/>
          <w:iCs/>
        </w:rPr>
        <w:t>P</w:t>
      </w:r>
      <w:r w:rsidR="001C2CE6" w:rsidRPr="00F25A0F">
        <w:rPr>
          <w:rFonts w:cs="Calibri" w:hint="eastAsia"/>
        </w:rPr>
        <w:t xml:space="preserve"> &gt;0.05 (n = 3 biological replicates/group; </w:t>
      </w:r>
      <w:r w:rsidR="008D5BDD" w:rsidRPr="00F25A0F">
        <w:rPr>
          <w:rFonts w:cstheme="minorHAnsi"/>
        </w:rPr>
        <w:t>U</w:t>
      </w:r>
      <w:r w:rsidR="008D5BDD" w:rsidRPr="00F25A0F">
        <w:rPr>
          <w:rFonts w:cstheme="minorHAnsi" w:hint="eastAsia"/>
        </w:rPr>
        <w:t xml:space="preserve">npaired, two-tailed Student's </w:t>
      </w:r>
      <w:r w:rsidR="008D5BDD" w:rsidRPr="00F25A0F">
        <w:rPr>
          <w:rFonts w:cstheme="minorHAnsi" w:hint="eastAsia"/>
          <w:i/>
          <w:iCs/>
        </w:rPr>
        <w:t>t</w:t>
      </w:r>
      <w:r w:rsidR="008D5BDD" w:rsidRPr="00F25A0F">
        <w:rPr>
          <w:rFonts w:cstheme="minorHAnsi" w:hint="eastAsia"/>
        </w:rPr>
        <w:t>‐</w:t>
      </w:r>
      <w:r w:rsidR="008D5BDD" w:rsidRPr="00F25A0F">
        <w:rPr>
          <w:rFonts w:cstheme="minorHAnsi" w:hint="eastAsia"/>
        </w:rPr>
        <w:t>test</w:t>
      </w:r>
      <w:r w:rsidR="001C2CE6" w:rsidRPr="00F25A0F">
        <w:rPr>
          <w:rFonts w:cs="Calibri" w:hint="eastAsia"/>
        </w:rPr>
        <w:t>).</w:t>
      </w:r>
    </w:p>
    <w:p w14:paraId="5C5D5216" w14:textId="78DFA0A5" w:rsidR="002377AA" w:rsidRDefault="001C2CE6" w:rsidP="00A659D4">
      <w:pPr>
        <w:spacing w:before="0" w:beforeAutospacing="0" w:after="120" w:line="480" w:lineRule="auto"/>
        <w:rPr>
          <w:rFonts w:cs="Calibri"/>
        </w:rPr>
      </w:pPr>
      <w:r w:rsidRPr="00F25A0F">
        <w:rPr>
          <w:rFonts w:cs="Calibri"/>
          <w:b/>
          <w:bCs/>
        </w:rPr>
        <w:t xml:space="preserve">Supplementary Figure </w:t>
      </w:r>
      <w:r w:rsidR="00DD2EE3">
        <w:rPr>
          <w:rFonts w:cs="Calibri"/>
          <w:b/>
          <w:bCs/>
        </w:rPr>
        <w:t>10</w:t>
      </w:r>
      <w:r w:rsidRPr="002377AA">
        <w:rPr>
          <w:rFonts w:cs="Calibri"/>
          <w:b/>
        </w:rPr>
        <w:t>. MTSS1 suppresses NPC metastasis independent of EMT</w:t>
      </w:r>
      <w:r w:rsidRPr="002377AA">
        <w:rPr>
          <w:rFonts w:cs="Calibri"/>
          <w:b/>
          <w:bCs/>
        </w:rPr>
        <w:t>.</w:t>
      </w:r>
      <w:r w:rsidRPr="00F25A0F">
        <w:rPr>
          <w:rFonts w:cs="Calibri"/>
        </w:rPr>
        <w:t xml:space="preserve"> </w:t>
      </w:r>
    </w:p>
    <w:p w14:paraId="437E4ACF" w14:textId="77777777" w:rsidR="00692923" w:rsidRDefault="001C2CE6" w:rsidP="00692923">
      <w:pPr>
        <w:spacing w:before="0" w:beforeAutospacing="0" w:after="120" w:line="480" w:lineRule="auto"/>
        <w:rPr>
          <w:rFonts w:cs="Calibri"/>
        </w:rPr>
      </w:pPr>
      <w:r w:rsidRPr="00F25A0F">
        <w:rPr>
          <w:rFonts w:cs="Calibri"/>
        </w:rPr>
        <w:t>(</w:t>
      </w:r>
      <w:r w:rsidRPr="00F25A0F">
        <w:rPr>
          <w:rFonts w:cs="Calibri"/>
          <w:b/>
          <w:bCs/>
        </w:rPr>
        <w:t>a</w:t>
      </w:r>
      <w:r w:rsidRPr="00F25A0F">
        <w:rPr>
          <w:rFonts w:cs="Calibri"/>
        </w:rPr>
        <w:t>) Gene set enrichment analysis enrichment plots of EMT. (</w:t>
      </w:r>
      <w:r w:rsidRPr="00F25A0F">
        <w:rPr>
          <w:rFonts w:cs="Calibri"/>
          <w:b/>
          <w:bCs/>
        </w:rPr>
        <w:t>b</w:t>
      </w:r>
      <w:r w:rsidRPr="00F25A0F">
        <w:rPr>
          <w:rFonts w:cs="Calibri"/>
        </w:rPr>
        <w:t>) RT–qPCR analysis of expression of genes involved in EMT. Numerical data are given as means</w:t>
      </w:r>
      <w:r w:rsidR="006235DE" w:rsidRPr="00F25A0F">
        <w:rPr>
          <w:rFonts w:cs="Calibri"/>
        </w:rPr>
        <w:t xml:space="preserve"> </w:t>
      </w:r>
      <w:r w:rsidRPr="00F25A0F">
        <w:rPr>
          <w:rFonts w:cs="Calibri"/>
        </w:rPr>
        <w:t>±</w:t>
      </w:r>
      <w:r w:rsidR="006235DE" w:rsidRPr="00F25A0F">
        <w:rPr>
          <w:rFonts w:cs="Calibri"/>
        </w:rPr>
        <w:t xml:space="preserve"> </w:t>
      </w:r>
      <w:r w:rsidRPr="00F25A0F">
        <w:rPr>
          <w:rFonts w:cs="Calibri"/>
        </w:rPr>
        <w:t>S</w:t>
      </w:r>
      <w:r w:rsidR="00966DA2" w:rsidRPr="00F25A0F">
        <w:rPr>
          <w:rFonts w:cs="Calibri"/>
        </w:rPr>
        <w:t>EM</w:t>
      </w:r>
      <w:r w:rsidRPr="00F25A0F">
        <w:rPr>
          <w:rFonts w:cs="Calibri"/>
        </w:rPr>
        <w:t xml:space="preserve">. *, </w:t>
      </w:r>
      <w:r w:rsidRPr="00F25A0F">
        <w:rPr>
          <w:rFonts w:cs="Calibri"/>
          <w:i/>
          <w:iCs/>
        </w:rPr>
        <w:t>P</w:t>
      </w:r>
      <w:r w:rsidRPr="00F25A0F">
        <w:rPr>
          <w:rFonts w:cs="Calibri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>0.05;</w:t>
      </w:r>
      <w:r w:rsidRPr="00F25A0F">
        <w:rPr>
          <w:rFonts w:cs="Calibri"/>
        </w:rPr>
        <w:t xml:space="preserve"> ***, </w:t>
      </w:r>
      <w:r w:rsidRPr="00F25A0F">
        <w:rPr>
          <w:rFonts w:cs="Calibri"/>
          <w:i/>
          <w:iCs/>
        </w:rPr>
        <w:t>P</w:t>
      </w:r>
      <w:r w:rsidRPr="00F25A0F">
        <w:rPr>
          <w:rFonts w:cs="Calibri"/>
        </w:rPr>
        <w:t xml:space="preserve"> </w:t>
      </w:r>
      <w:r w:rsidRPr="00F25A0F">
        <w:rPr>
          <w:rFonts w:ascii="DengXian" w:hAnsi="DengXian" w:cs="Calibri" w:hint="eastAsia"/>
        </w:rPr>
        <w:t>≤</w:t>
      </w:r>
      <w:r w:rsidRPr="00F25A0F">
        <w:rPr>
          <w:rFonts w:cs="Calibri" w:hint="eastAsia"/>
        </w:rPr>
        <w:t>0.001;</w:t>
      </w:r>
      <w:r w:rsidRPr="00F25A0F">
        <w:rPr>
          <w:rFonts w:cs="Calibri"/>
        </w:rPr>
        <w:t xml:space="preserve"> ns, </w:t>
      </w:r>
      <w:r w:rsidRPr="00F25A0F">
        <w:rPr>
          <w:rFonts w:cs="Calibri"/>
          <w:i/>
          <w:iCs/>
        </w:rPr>
        <w:t>P</w:t>
      </w:r>
      <w:r w:rsidRPr="00F25A0F">
        <w:rPr>
          <w:rFonts w:cs="Calibri"/>
        </w:rPr>
        <w:t xml:space="preserve"> &gt;0.05 (n = 3 biological replicates/group; </w:t>
      </w:r>
      <w:r w:rsidR="008D5BDD" w:rsidRPr="00F25A0F">
        <w:rPr>
          <w:rFonts w:cs="Calibri"/>
        </w:rPr>
        <w:t>Unpaired, t</w:t>
      </w:r>
      <w:r w:rsidR="008D5BDD" w:rsidRPr="00F25A0F">
        <w:rPr>
          <w:rFonts w:cstheme="minorHAnsi"/>
        </w:rPr>
        <w:t xml:space="preserve">wo-tailed Student's </w:t>
      </w:r>
      <w:r w:rsidR="008D5BDD" w:rsidRPr="00F25A0F">
        <w:rPr>
          <w:rFonts w:cstheme="minorHAnsi" w:hint="eastAsia"/>
          <w:i/>
          <w:iCs/>
        </w:rPr>
        <w:t>t</w:t>
      </w:r>
      <w:r w:rsidR="008D5BDD" w:rsidRPr="00F25A0F">
        <w:rPr>
          <w:rFonts w:cstheme="minorHAnsi" w:hint="eastAsia"/>
        </w:rPr>
        <w:t>‐</w:t>
      </w:r>
      <w:r w:rsidR="008D5BDD" w:rsidRPr="00F25A0F">
        <w:rPr>
          <w:rFonts w:cstheme="minorHAnsi" w:hint="eastAsia"/>
        </w:rPr>
        <w:t>test</w:t>
      </w:r>
      <w:r w:rsidRPr="00F25A0F">
        <w:rPr>
          <w:rFonts w:cs="Calibri" w:hint="eastAsia"/>
        </w:rPr>
        <w:t>).</w:t>
      </w:r>
    </w:p>
    <w:p w14:paraId="0D0D68FE" w14:textId="342CF190" w:rsidR="00692923" w:rsidRPr="00BB30D9" w:rsidRDefault="00692923" w:rsidP="00692923">
      <w:pPr>
        <w:spacing w:before="0" w:beforeAutospacing="0" w:after="120" w:line="480" w:lineRule="auto"/>
        <w:rPr>
          <w:rFonts w:cs="Calibri"/>
        </w:rPr>
      </w:pPr>
      <w:r w:rsidRPr="00BB30D9">
        <w:rPr>
          <w:rFonts w:cs="Calibri"/>
          <w:b/>
        </w:rPr>
        <w:lastRenderedPageBreak/>
        <w:t>Supplementary Figure 11</w:t>
      </w:r>
      <w:r w:rsidR="007D7283" w:rsidRPr="00BB30D9">
        <w:rPr>
          <w:rFonts w:cs="Calibri"/>
          <w:b/>
        </w:rPr>
        <w:t xml:space="preserve">. </w:t>
      </w:r>
      <w:r w:rsidR="00BB30D9">
        <w:rPr>
          <w:rFonts w:cs="Calibri"/>
          <w:b/>
          <w:bCs/>
          <w:sz w:val="24"/>
          <w:szCs w:val="24"/>
        </w:rPr>
        <w:t>Original Western blots</w:t>
      </w:r>
      <w:r w:rsidRPr="00BB30D9">
        <w:rPr>
          <w:rFonts w:cs="Calibri"/>
          <w:b/>
          <w:bCs/>
          <w:sz w:val="24"/>
          <w:szCs w:val="24"/>
        </w:rPr>
        <w:t>.</w:t>
      </w:r>
      <w:r w:rsidRPr="00BB30D9">
        <w:rPr>
          <w:rFonts w:cs="Calibri"/>
          <w:sz w:val="24"/>
          <w:szCs w:val="24"/>
        </w:rPr>
        <w:t xml:space="preserve"> </w:t>
      </w:r>
      <w:r w:rsidR="007D7283" w:rsidRPr="00BB30D9">
        <w:rPr>
          <w:rFonts w:cs="Calibri"/>
          <w:sz w:val="24"/>
          <w:szCs w:val="24"/>
        </w:rPr>
        <w:t>Original Western blots used in Fig.3g</w:t>
      </w:r>
      <w:r w:rsidRPr="00BB30D9">
        <w:rPr>
          <w:rFonts w:cs="Calibri"/>
          <w:sz w:val="24"/>
          <w:szCs w:val="24"/>
        </w:rPr>
        <w:t>.</w:t>
      </w:r>
    </w:p>
    <w:p w14:paraId="5D58CCE8" w14:textId="62FE95E6" w:rsidR="007D7283" w:rsidRPr="00BB30D9" w:rsidRDefault="007D7283" w:rsidP="007D7283">
      <w:pPr>
        <w:spacing w:before="0" w:beforeAutospacing="0" w:after="120" w:line="480" w:lineRule="auto"/>
        <w:rPr>
          <w:rFonts w:cs="Calibri"/>
        </w:rPr>
      </w:pPr>
      <w:r w:rsidRPr="00BB30D9">
        <w:rPr>
          <w:rFonts w:cs="Calibri"/>
          <w:b/>
        </w:rPr>
        <w:t xml:space="preserve">Supplementary Figure 12. </w:t>
      </w:r>
      <w:r w:rsidR="00BB30D9">
        <w:rPr>
          <w:rFonts w:cs="Calibri"/>
          <w:b/>
          <w:bCs/>
          <w:sz w:val="24"/>
          <w:szCs w:val="24"/>
        </w:rPr>
        <w:t>Original Western blots</w:t>
      </w:r>
      <w:r w:rsidRPr="00BB30D9">
        <w:rPr>
          <w:rFonts w:cs="Calibri"/>
          <w:b/>
          <w:bCs/>
          <w:sz w:val="24"/>
          <w:szCs w:val="24"/>
        </w:rPr>
        <w:t>.</w:t>
      </w:r>
      <w:r w:rsidRPr="00BB30D9">
        <w:rPr>
          <w:rFonts w:cs="Calibri"/>
          <w:sz w:val="24"/>
          <w:szCs w:val="24"/>
        </w:rPr>
        <w:t xml:space="preserve"> Original Western blots used in Fig.5a.</w:t>
      </w:r>
    </w:p>
    <w:p w14:paraId="09370756" w14:textId="456EC447" w:rsidR="007D7283" w:rsidRPr="00692923" w:rsidRDefault="007D7283" w:rsidP="007D7283">
      <w:pPr>
        <w:spacing w:before="0" w:beforeAutospacing="0" w:after="120" w:line="480" w:lineRule="auto"/>
        <w:rPr>
          <w:rFonts w:cs="Calibri"/>
        </w:rPr>
      </w:pPr>
      <w:r w:rsidRPr="00BB30D9">
        <w:rPr>
          <w:rFonts w:cs="Calibri"/>
          <w:b/>
        </w:rPr>
        <w:t xml:space="preserve">Supplementary Figure 13. </w:t>
      </w:r>
      <w:r w:rsidR="00BB30D9">
        <w:rPr>
          <w:rFonts w:cs="Calibri"/>
          <w:b/>
          <w:bCs/>
          <w:sz w:val="24"/>
          <w:szCs w:val="24"/>
        </w:rPr>
        <w:t>Original Western blots</w:t>
      </w:r>
      <w:r w:rsidRPr="00BB30D9">
        <w:rPr>
          <w:rFonts w:cs="Calibri"/>
          <w:b/>
          <w:bCs/>
          <w:sz w:val="24"/>
          <w:szCs w:val="24"/>
        </w:rPr>
        <w:t>.</w:t>
      </w:r>
      <w:r w:rsidRPr="00BB30D9">
        <w:rPr>
          <w:rFonts w:cs="Calibri"/>
          <w:sz w:val="24"/>
          <w:szCs w:val="24"/>
        </w:rPr>
        <w:t xml:space="preserve"> Original Western blots used in Fig.5a.</w:t>
      </w:r>
    </w:p>
    <w:p w14:paraId="3305B521" w14:textId="5752A872" w:rsidR="00692923" w:rsidRPr="00692923" w:rsidRDefault="00692923" w:rsidP="00A659D4">
      <w:pPr>
        <w:spacing w:before="0" w:beforeAutospacing="0" w:after="120" w:line="480" w:lineRule="auto"/>
        <w:rPr>
          <w:rFonts w:cs="Calibri"/>
        </w:rPr>
      </w:pPr>
    </w:p>
    <w:sectPr w:rsidR="00692923" w:rsidRPr="00692923" w:rsidSect="007B006F">
      <w:headerReference w:type="default" r:id="rId7"/>
      <w:pgSz w:w="11906" w:h="16838"/>
      <w:pgMar w:top="1440" w:right="1440" w:bottom="1440" w:left="1440" w:header="851" w:footer="992" w:gutter="0"/>
      <w:lnNumType w:countBy="1" w:restart="continuous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56B414" w14:textId="77777777" w:rsidR="002738E5" w:rsidRDefault="002738E5" w:rsidP="005959D8">
      <w:pPr>
        <w:spacing w:before="0" w:after="0" w:line="240" w:lineRule="auto"/>
      </w:pPr>
      <w:r>
        <w:separator/>
      </w:r>
    </w:p>
  </w:endnote>
  <w:endnote w:type="continuationSeparator" w:id="0">
    <w:p w14:paraId="45341B2C" w14:textId="77777777" w:rsidR="002738E5" w:rsidRDefault="002738E5" w:rsidP="005959D8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ngXian Light">
    <w:altName w:val="Microsoft YaHei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D78395" w14:textId="77777777" w:rsidR="002738E5" w:rsidRDefault="002738E5" w:rsidP="005959D8">
      <w:pPr>
        <w:spacing w:before="0" w:after="0" w:line="240" w:lineRule="auto"/>
      </w:pPr>
      <w:r>
        <w:separator/>
      </w:r>
    </w:p>
  </w:footnote>
  <w:footnote w:type="continuationSeparator" w:id="0">
    <w:p w14:paraId="00549B98" w14:textId="77777777" w:rsidR="002738E5" w:rsidRDefault="002738E5" w:rsidP="005959D8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43488363"/>
      <w:docPartObj>
        <w:docPartGallery w:val="Page Numbers (Top of Page)"/>
        <w:docPartUnique/>
      </w:docPartObj>
    </w:sdtPr>
    <w:sdtEndPr/>
    <w:sdtContent>
      <w:p w14:paraId="53758929" w14:textId="447AFD22" w:rsidR="00990053" w:rsidRDefault="00990053">
        <w:pPr>
          <w:pStyle w:val="Head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16871" w:rsidRPr="00316871">
          <w:rPr>
            <w:noProof/>
            <w:lang w:val="zh-CN"/>
          </w:rPr>
          <w:t>5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hyphenationZone w:val="425"/>
  <w:drawingGridHorizontalSpacing w:val="11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DUwMbE0MjM3MjU1NTRR0lEKTi0uzszPAykwNKgFAL14X2MtAAAA"/>
  </w:docVars>
  <w:rsids>
    <w:rsidRoot w:val="001C2CE6"/>
    <w:rsid w:val="00010606"/>
    <w:rsid w:val="0002333A"/>
    <w:rsid w:val="00040B32"/>
    <w:rsid w:val="0005088E"/>
    <w:rsid w:val="00067954"/>
    <w:rsid w:val="000854E3"/>
    <w:rsid w:val="0009783A"/>
    <w:rsid w:val="000A07B8"/>
    <w:rsid w:val="000A0CFB"/>
    <w:rsid w:val="000C3488"/>
    <w:rsid w:val="000E5D4E"/>
    <w:rsid w:val="001276AF"/>
    <w:rsid w:val="00170332"/>
    <w:rsid w:val="001A384D"/>
    <w:rsid w:val="001A7715"/>
    <w:rsid w:val="001B28BE"/>
    <w:rsid w:val="001B4C0E"/>
    <w:rsid w:val="001C2CE6"/>
    <w:rsid w:val="001F512F"/>
    <w:rsid w:val="002377AA"/>
    <w:rsid w:val="00253E5D"/>
    <w:rsid w:val="00260625"/>
    <w:rsid w:val="002738E5"/>
    <w:rsid w:val="002A4276"/>
    <w:rsid w:val="002C0E05"/>
    <w:rsid w:val="002E5A0F"/>
    <w:rsid w:val="00316871"/>
    <w:rsid w:val="003301A4"/>
    <w:rsid w:val="00350DA7"/>
    <w:rsid w:val="003515EC"/>
    <w:rsid w:val="003D4BC3"/>
    <w:rsid w:val="004328B4"/>
    <w:rsid w:val="00443C2D"/>
    <w:rsid w:val="00465263"/>
    <w:rsid w:val="004A28EB"/>
    <w:rsid w:val="004F2049"/>
    <w:rsid w:val="0055319B"/>
    <w:rsid w:val="00572145"/>
    <w:rsid w:val="005959D8"/>
    <w:rsid w:val="005A0A11"/>
    <w:rsid w:val="005A1C15"/>
    <w:rsid w:val="005A2C49"/>
    <w:rsid w:val="005A4B09"/>
    <w:rsid w:val="005C760C"/>
    <w:rsid w:val="006235DE"/>
    <w:rsid w:val="0062715F"/>
    <w:rsid w:val="00634FF4"/>
    <w:rsid w:val="00660837"/>
    <w:rsid w:val="00684A56"/>
    <w:rsid w:val="00692923"/>
    <w:rsid w:val="006A2B02"/>
    <w:rsid w:val="00720157"/>
    <w:rsid w:val="0072580E"/>
    <w:rsid w:val="00731692"/>
    <w:rsid w:val="00764839"/>
    <w:rsid w:val="00784DD2"/>
    <w:rsid w:val="00796D16"/>
    <w:rsid w:val="007B006F"/>
    <w:rsid w:val="007D7283"/>
    <w:rsid w:val="007F2242"/>
    <w:rsid w:val="00831322"/>
    <w:rsid w:val="00846DC9"/>
    <w:rsid w:val="008B755E"/>
    <w:rsid w:val="008D5BDD"/>
    <w:rsid w:val="008E644F"/>
    <w:rsid w:val="008F399A"/>
    <w:rsid w:val="00955D4E"/>
    <w:rsid w:val="00966DA2"/>
    <w:rsid w:val="00990053"/>
    <w:rsid w:val="009B3B28"/>
    <w:rsid w:val="009E56FF"/>
    <w:rsid w:val="00A659D4"/>
    <w:rsid w:val="00A84DBF"/>
    <w:rsid w:val="00AC490C"/>
    <w:rsid w:val="00AD367F"/>
    <w:rsid w:val="00B33EC0"/>
    <w:rsid w:val="00B85254"/>
    <w:rsid w:val="00BB30D9"/>
    <w:rsid w:val="00C341F8"/>
    <w:rsid w:val="00CB33A7"/>
    <w:rsid w:val="00CD04DB"/>
    <w:rsid w:val="00CD2E0B"/>
    <w:rsid w:val="00D13BD3"/>
    <w:rsid w:val="00D168A1"/>
    <w:rsid w:val="00D322BE"/>
    <w:rsid w:val="00DD2EE3"/>
    <w:rsid w:val="00E006C2"/>
    <w:rsid w:val="00E5150B"/>
    <w:rsid w:val="00E56AC0"/>
    <w:rsid w:val="00EE0D97"/>
    <w:rsid w:val="00F1242F"/>
    <w:rsid w:val="00F17E33"/>
    <w:rsid w:val="00F25A0F"/>
    <w:rsid w:val="00FB1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D6EA6C"/>
  <w15:chartTrackingRefBased/>
  <w15:docId w15:val="{E0EBD970-F687-4857-8C17-473B245B1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2CE6"/>
    <w:pPr>
      <w:spacing w:before="100" w:beforeAutospacing="1" w:after="160" w:line="256" w:lineRule="auto"/>
    </w:pPr>
    <w:rPr>
      <w:rFonts w:ascii="Calibri" w:eastAsia="DengXian" w:hAnsi="Calibri" w:cs="Times New Roman"/>
      <w:kern w:val="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0053"/>
    <w:pPr>
      <w:tabs>
        <w:tab w:val="center" w:pos="4513"/>
        <w:tab w:val="right" w:pos="902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990053"/>
    <w:rPr>
      <w:rFonts w:ascii="Calibri" w:eastAsia="DengXian" w:hAnsi="Calibri" w:cs="Times New Roman"/>
      <w:kern w:val="0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5959D8"/>
    <w:pPr>
      <w:tabs>
        <w:tab w:val="center" w:pos="4513"/>
        <w:tab w:val="right" w:pos="9026"/>
      </w:tabs>
      <w:snapToGrid w:val="0"/>
      <w:spacing w:line="240" w:lineRule="auto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5959D8"/>
    <w:rPr>
      <w:rFonts w:ascii="Calibri" w:eastAsia="DengXian" w:hAnsi="Calibri" w:cs="Times New Roman"/>
      <w:kern w:val="0"/>
      <w:sz w:val="18"/>
      <w:szCs w:val="18"/>
    </w:rPr>
  </w:style>
  <w:style w:type="paragraph" w:styleId="Revision">
    <w:name w:val="Revision"/>
    <w:hidden/>
    <w:uiPriority w:val="99"/>
    <w:semiHidden/>
    <w:rsid w:val="004F2049"/>
    <w:rPr>
      <w:rFonts w:ascii="Calibri" w:eastAsia="DengXian" w:hAnsi="Calibri" w:cs="Times New Roman"/>
      <w:kern w:val="0"/>
      <w:sz w:val="22"/>
    </w:rPr>
  </w:style>
  <w:style w:type="character" w:styleId="LineNumber">
    <w:name w:val="line number"/>
    <w:basedOn w:val="DefaultParagraphFont"/>
    <w:uiPriority w:val="99"/>
    <w:semiHidden/>
    <w:unhideWhenUsed/>
    <w:rsid w:val="007B006F"/>
  </w:style>
  <w:style w:type="paragraph" w:styleId="ListParagraph">
    <w:name w:val="List Paragraph"/>
    <w:basedOn w:val="Normal"/>
    <w:uiPriority w:val="34"/>
    <w:qFormat/>
    <w:rsid w:val="0069292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20157"/>
    <w:rPr>
      <w:sz w:val="21"/>
      <w:szCs w:val="21"/>
    </w:rPr>
  </w:style>
  <w:style w:type="paragraph" w:styleId="CommentText">
    <w:name w:val="annotation text"/>
    <w:basedOn w:val="Normal"/>
    <w:link w:val="CommentTextChar"/>
    <w:uiPriority w:val="99"/>
    <w:unhideWhenUsed/>
    <w:rsid w:val="00720157"/>
  </w:style>
  <w:style w:type="character" w:customStyle="1" w:styleId="CommentTextChar">
    <w:name w:val="Comment Text Char"/>
    <w:basedOn w:val="DefaultParagraphFont"/>
    <w:link w:val="CommentText"/>
    <w:uiPriority w:val="99"/>
    <w:rsid w:val="00720157"/>
    <w:rPr>
      <w:rFonts w:ascii="Calibri" w:eastAsia="DengXian" w:hAnsi="Calibri" w:cs="Times New Roman"/>
      <w:kern w:val="0"/>
      <w:sz w:val="22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015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20157"/>
    <w:rPr>
      <w:rFonts w:ascii="Calibri" w:eastAsia="DengXian" w:hAnsi="Calibri" w:cs="Times New Roman"/>
      <w:b/>
      <w:bCs/>
      <w:kern w:val="0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4839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4839"/>
    <w:rPr>
      <w:rFonts w:ascii="Segoe UI" w:eastAsia="DengXian" w:hAnsi="Segoe UI" w:cs="Segoe U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793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211414-F94C-4955-9E41-5EAFBA4C5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1227</Words>
  <Characters>6504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 sx</dc:creator>
  <cp:keywords/>
  <dc:description/>
  <cp:lastModifiedBy>Pontus Aspenström</cp:lastModifiedBy>
  <cp:revision>4</cp:revision>
  <dcterms:created xsi:type="dcterms:W3CDTF">2023-09-26T12:23:00Z</dcterms:created>
  <dcterms:modified xsi:type="dcterms:W3CDTF">2023-10-10T10:31:00Z</dcterms:modified>
</cp:coreProperties>
</file>