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BDC2" w14:textId="41680880" w:rsidR="004E53B2" w:rsidRPr="006D6CCA" w:rsidRDefault="004E53B2" w:rsidP="004E5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D6CCA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6D6CCA">
        <w:rPr>
          <w:rFonts w:ascii="Times New Roman" w:hAnsi="Times New Roman" w:cs="Times New Roman"/>
          <w:b/>
          <w:bCs/>
          <w:sz w:val="24"/>
          <w:szCs w:val="24"/>
        </w:rPr>
        <w:t>igure 1. Flow chart</w:t>
      </w:r>
      <w:r w:rsidR="001107CB">
        <w:rPr>
          <w:rFonts w:ascii="Times New Roman" w:hAnsi="Times New Roman" w:cs="Times New Roman"/>
          <w:b/>
          <w:bCs/>
          <w:sz w:val="24"/>
          <w:szCs w:val="24"/>
        </w:rPr>
        <w:t xml:space="preserve"> showing the identification of subjects.</w:t>
      </w:r>
    </w:p>
    <w:p w14:paraId="6E341D7D" w14:textId="1BFD1714" w:rsidR="00A36BBE" w:rsidRDefault="004656AC" w:rsidP="004E53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DF93B5" wp14:editId="7C9FDD63">
            <wp:extent cx="9773920" cy="3019425"/>
            <wp:effectExtent l="0" t="0" r="0" b="9525"/>
            <wp:docPr id="113342763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92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BBE">
        <w:rPr>
          <w:rFonts w:ascii="Times New Roman" w:hAnsi="Times New Roman" w:cs="Times New Roman"/>
          <w:sz w:val="24"/>
          <w:szCs w:val="24"/>
        </w:rPr>
        <w:br w:type="page"/>
      </w:r>
    </w:p>
    <w:p w14:paraId="605C2D88" w14:textId="77777777" w:rsidR="00A36BBE" w:rsidRPr="00C062DB" w:rsidRDefault="00A36BBE" w:rsidP="00A36B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6D6CC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6CCA">
        <w:rPr>
          <w:rFonts w:ascii="Times New Roman" w:hAnsi="Times New Roman" w:cs="Times New Roman"/>
          <w:b/>
          <w:bCs/>
          <w:sz w:val="24"/>
          <w:szCs w:val="24"/>
        </w:rPr>
        <w:t>. Kaplan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6CCA">
        <w:rPr>
          <w:rFonts w:ascii="Times New Roman" w:hAnsi="Times New Roman" w:cs="Times New Roman"/>
          <w:b/>
          <w:bCs/>
          <w:sz w:val="24"/>
          <w:szCs w:val="24"/>
        </w:rPr>
        <w:t xml:space="preserve">Meier curves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6D6CCA">
        <w:rPr>
          <w:rFonts w:ascii="Times New Roman" w:hAnsi="Times New Roman" w:cs="Times New Roman"/>
          <w:b/>
          <w:bCs/>
          <w:sz w:val="24"/>
          <w:szCs w:val="24"/>
        </w:rPr>
        <w:t>according to the grou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4B4BB49D" w14:textId="77777777" w:rsidR="00A36BBE" w:rsidRDefault="00A36BBE" w:rsidP="00A3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C062DB">
        <w:rPr>
          <w:rFonts w:ascii="Times New Roman" w:hAnsi="Times New Roman" w:cs="Times New Roman" w:hint="eastAsia"/>
          <w:sz w:val="24"/>
          <w:szCs w:val="24"/>
        </w:rPr>
        <w:t>A</w:t>
      </w:r>
      <w:r w:rsidRPr="00C062DB"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z w:val="24"/>
          <w:szCs w:val="24"/>
        </w:rPr>
        <w:t>subjects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(b) 18–39 years; (c) 40–64 years; (d) </w:t>
      </w:r>
      <w:r>
        <w:rPr>
          <w:rFonts w:ascii="Malgun Gothic" w:eastAsia="Malgun Gothic" w:hAnsi="Malgun Gothic" w:cs="Times New Roman" w:hint="eastAsia"/>
          <w:sz w:val="24"/>
          <w:szCs w:val="24"/>
        </w:rPr>
        <w:t>≥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years</w:t>
      </w:r>
    </w:p>
    <w:p w14:paraId="325CCEB1" w14:textId="68ABF63B" w:rsidR="00A36BBE" w:rsidRDefault="00B029D0" w:rsidP="00A3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F3CB18" wp14:editId="5E913723">
            <wp:extent cx="7113326" cy="5808134"/>
            <wp:effectExtent l="0" t="0" r="0" b="2540"/>
            <wp:docPr id="128602194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63" cy="5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BBE">
        <w:rPr>
          <w:rFonts w:ascii="Times New Roman" w:hAnsi="Times New Roman" w:cs="Times New Roman"/>
          <w:sz w:val="24"/>
          <w:szCs w:val="24"/>
        </w:rPr>
        <w:br w:type="page"/>
      </w:r>
    </w:p>
    <w:p w14:paraId="4C1F237E" w14:textId="6BA0F907" w:rsidR="004E53B2" w:rsidRDefault="004E53B2" w:rsidP="004E53B2">
      <w:pPr>
        <w:rPr>
          <w:rFonts w:ascii="Times New Roman" w:hAnsi="Times New Roman" w:cs="Times New Roman"/>
          <w:sz w:val="24"/>
          <w:szCs w:val="24"/>
        </w:rPr>
        <w:sectPr w:rsidR="004E53B2" w:rsidSect="0015704D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14:paraId="7B0EB209" w14:textId="0F9D0A60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1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1107CB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bookmarkStart w:id="0" w:name="_Hlk103843770"/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of antidepressant classes </w:t>
      </w:r>
      <w:bookmarkEnd w:id="0"/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on </w:t>
      </w:r>
      <w:r w:rsidR="00EF598F"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compared to healthy controls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6"/>
        <w:gridCol w:w="921"/>
        <w:gridCol w:w="930"/>
        <w:gridCol w:w="1276"/>
        <w:gridCol w:w="1418"/>
        <w:gridCol w:w="1984"/>
        <w:gridCol w:w="1985"/>
        <w:gridCol w:w="1842"/>
        <w:gridCol w:w="1785"/>
      </w:tblGrid>
      <w:tr w:rsidR="004E53B2" w:rsidRPr="004E53B2" w14:paraId="1252ACD5" w14:textId="77777777" w:rsidTr="00A01C2C">
        <w:trPr>
          <w:trHeight w:val="330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14:paraId="7DD1087D" w14:textId="1D209D6E" w:rsidR="004E53B2" w:rsidRPr="004E53B2" w:rsidRDefault="004E53B2" w:rsidP="00CD24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14:paraId="573FA21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583C8633" w14:textId="01730C81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14:paraId="24F53B81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EF889B2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C75698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370429D9" w14:textId="35B350DC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  <w:hideMark/>
          </w:tcPr>
          <w:p w14:paraId="35C64505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4E53B2" w:rsidRPr="004E53B2" w14:paraId="299E052C" w14:textId="77777777" w:rsidTr="00A01C2C">
        <w:trPr>
          <w:trHeight w:val="680"/>
        </w:trPr>
        <w:tc>
          <w:tcPr>
            <w:tcW w:w="1546" w:type="dxa"/>
            <w:vMerge/>
            <w:shd w:val="clear" w:color="auto" w:fill="auto"/>
            <w:vAlign w:val="center"/>
            <w:hideMark/>
          </w:tcPr>
          <w:p w14:paraId="08BD1CF5" w14:textId="77777777" w:rsidR="004E53B2" w:rsidRPr="004E53B2" w:rsidRDefault="004E53B2" w:rsidP="00CD24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  <w:hideMark/>
          </w:tcPr>
          <w:p w14:paraId="5A0C919C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  <w:hideMark/>
          </w:tcPr>
          <w:p w14:paraId="2F3AE6C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1B39F8F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2FCE6D2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2FF72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28B2F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665884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F5E8EEE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5B73E7" w:rsidRPr="004E53B2" w14:paraId="7B9B1FAF" w14:textId="77777777" w:rsidTr="00A01C2C">
        <w:trPr>
          <w:trHeight w:val="340"/>
        </w:trPr>
        <w:tc>
          <w:tcPr>
            <w:tcW w:w="1546" w:type="dxa"/>
            <w:shd w:val="clear" w:color="auto" w:fill="auto"/>
            <w:vAlign w:val="center"/>
            <w:hideMark/>
          </w:tcPr>
          <w:p w14:paraId="2E39321E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Healthy controls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6729" w14:textId="623E0F71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276,048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8DEC" w14:textId="05666C8A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24,577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482" w14:textId="58F11C6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3,954,318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6AD" w14:textId="409E0D71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C77E36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419C68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1A23DD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FDEA635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5B73E7" w:rsidRPr="004E53B2" w14:paraId="76DC421F" w14:textId="77777777" w:rsidTr="00A01C2C">
        <w:trPr>
          <w:trHeight w:val="360"/>
        </w:trPr>
        <w:tc>
          <w:tcPr>
            <w:tcW w:w="1546" w:type="dxa"/>
            <w:shd w:val="clear" w:color="auto" w:fill="auto"/>
            <w:vAlign w:val="center"/>
            <w:hideMark/>
          </w:tcPr>
          <w:p w14:paraId="091B7403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F3E" w14:textId="0322DB15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188,456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AA7" w14:textId="5F639902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FB3" w14:textId="7B5B85CE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1,542,828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3023" w14:textId="2669387A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8BB4" w14:textId="59999FC8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0.88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91)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3BD4" w14:textId="232EBFBF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9C7" w14:textId="18035E9E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0.88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FEE3" w14:textId="0B25ECCB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0.76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(0.73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79)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5B73E7" w:rsidRPr="004E53B2" w14:paraId="20984633" w14:textId="77777777" w:rsidTr="00A01C2C">
        <w:trPr>
          <w:trHeight w:val="360"/>
        </w:trPr>
        <w:tc>
          <w:tcPr>
            <w:tcW w:w="1546" w:type="dxa"/>
            <w:shd w:val="clear" w:color="auto" w:fill="auto"/>
            <w:vAlign w:val="center"/>
            <w:hideMark/>
          </w:tcPr>
          <w:p w14:paraId="7AE1A288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SNRI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49A" w14:textId="215BE174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46,991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91E6" w14:textId="5619BEE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91D" w14:textId="635ABAF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422,692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47E0" w14:textId="3908F93D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018B" w14:textId="75938FDF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E891" w14:textId="537EC599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0.72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(0.69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75)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FEC" w14:textId="5451810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0.69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(0.66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73)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0421" w14:textId="48F9EFAD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0.60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(0.56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64)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5B73E7" w:rsidRPr="004E53B2" w14:paraId="3C3919AE" w14:textId="77777777" w:rsidTr="00A01C2C">
        <w:trPr>
          <w:trHeight w:val="360"/>
        </w:trPr>
        <w:tc>
          <w:tcPr>
            <w:tcW w:w="1546" w:type="dxa"/>
            <w:shd w:val="clear" w:color="auto" w:fill="auto"/>
            <w:vAlign w:val="center"/>
            <w:hideMark/>
          </w:tcPr>
          <w:p w14:paraId="0CC9CEB3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5709" w14:textId="4620BAB1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151,588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BFB" w14:textId="5241E29E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3923" w14:textId="3ABFF56B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1,483,952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F352" w14:textId="1FA017F6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5128" w14:textId="39036482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1.29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(1.26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32)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2021" w14:textId="416F55C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1.06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(1.03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08)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F75" w14:textId="55CFDB22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(0.88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93)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93CE" w14:textId="376CA813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0.82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(0.79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5B73E7" w:rsidRPr="004E53B2" w14:paraId="4DDE5C3A" w14:textId="77777777" w:rsidTr="00A01C2C">
        <w:trPr>
          <w:trHeight w:val="360"/>
        </w:trPr>
        <w:tc>
          <w:tcPr>
            <w:tcW w:w="1546" w:type="dxa"/>
            <w:shd w:val="clear" w:color="auto" w:fill="auto"/>
            <w:vAlign w:val="center"/>
            <w:hideMark/>
          </w:tcPr>
          <w:p w14:paraId="759B0BDD" w14:textId="7777777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MAOI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D74" w14:textId="6293C5B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1D5" w14:textId="0C05CC5A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84A" w14:textId="4410B7F3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D58A" w14:textId="21BB31D4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3FC" w14:textId="5233AADD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1.54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(1.07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19)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F71F" w14:textId="673B5D6E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0.62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(0.43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1B4F" w14:textId="22168F4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0.50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(0.35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73)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5E45" w14:textId="5E78ADC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0.45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(0.31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65)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5B73E7" w:rsidRPr="004E53B2" w14:paraId="3B1D5D3E" w14:textId="77777777" w:rsidTr="00A01C2C">
        <w:trPr>
          <w:trHeight w:val="360"/>
        </w:trPr>
        <w:tc>
          <w:tcPr>
            <w:tcW w:w="1546" w:type="dxa"/>
            <w:shd w:val="clear" w:color="auto" w:fill="auto"/>
            <w:vAlign w:val="center"/>
            <w:hideMark/>
          </w:tcPr>
          <w:p w14:paraId="6684EAC5" w14:textId="506DAFD5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thers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6F45" w14:textId="4F5E5FB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90,009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C86" w14:textId="6C66C8EA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54E" w14:textId="4FE2D29C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749,392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584B" w14:textId="036EB7AD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0F9D" w14:textId="2A5C4F07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0.99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FC3" w14:textId="6B7C3B7F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0.86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 xml:space="preserve">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F4583D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F4583D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862" w14:textId="56836E29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0.83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(0.80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86)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E873" w14:textId="56AF9311" w:rsidR="005B73E7" w:rsidRPr="004E53B2" w:rsidRDefault="005B73E7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0.67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 xml:space="preserve"> (0.64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016F46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016F46">
              <w:rPr>
                <w:rFonts w:ascii="Times New Roman" w:eastAsia="Malgun Gothic" w:hAnsi="Times New Roman" w:cs="Times New Roman"/>
                <w:color w:val="000000"/>
              </w:rPr>
              <w:t>71)</w:t>
            </w:r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A01C2C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708EE8B7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b/>
          <w:bCs/>
          <w:szCs w:val="20"/>
          <w:vertAlign w:val="superscript"/>
        </w:rPr>
      </w:pPr>
      <w:r w:rsidRPr="004E53B2">
        <w:rPr>
          <w:rFonts w:ascii="Times New Roman" w:eastAsia="Malgun Gothic" w:hAnsi="Times New Roman" w:cs="Times New Roman"/>
          <w:szCs w:val="20"/>
        </w:rPr>
        <w:t>SSRI, selective serotonin reuptake inhibitors; SNRI, serotonin-norepinephrine reuptake inhibitor; TCA, tricyclic antidepressant; MAOI, monoamine oxidase inhibitor</w:t>
      </w:r>
    </w:p>
    <w:p w14:paraId="3582A27A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6F9FEEAB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659419D8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6BCA3174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03A1A882" w14:textId="77777777" w:rsidR="00A01C2C" w:rsidRPr="004E53B2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7DB059E4" w14:textId="77777777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br w:type="page"/>
      </w:r>
    </w:p>
    <w:p w14:paraId="71758BA4" w14:textId="204638FE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2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1107CB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of antidepressant classes on </w:t>
      </w:r>
      <w:r w:rsidR="00EF598F"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compared to DEP without antidepressants group.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5"/>
        <w:gridCol w:w="921"/>
        <w:gridCol w:w="895"/>
        <w:gridCol w:w="1378"/>
        <w:gridCol w:w="1275"/>
        <w:gridCol w:w="1840"/>
        <w:gridCol w:w="1845"/>
        <w:gridCol w:w="1871"/>
        <w:gridCol w:w="1807"/>
      </w:tblGrid>
      <w:tr w:rsidR="004E53B2" w:rsidRPr="004E53B2" w14:paraId="27EFE72C" w14:textId="77777777" w:rsidTr="003C4E6E">
        <w:trPr>
          <w:trHeight w:val="3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7B10AF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3BD807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45067DB8" w14:textId="3B31D0E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511DDDA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14:paraId="3978BE2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8239C5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58B8DECA" w14:textId="01281014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  <w:hideMark/>
          </w:tcPr>
          <w:p w14:paraId="4747C8D1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4E53B2" w:rsidRPr="004E53B2" w14:paraId="65573ED1" w14:textId="77777777" w:rsidTr="003C4E6E">
        <w:trPr>
          <w:trHeight w:val="6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845661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F2A773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0EA2F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  <w:hideMark/>
          </w:tcPr>
          <w:p w14:paraId="288DF249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894A239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205E64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D1FB91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ACD05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BC0FA82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4F6DBE" w:rsidRPr="004E53B2" w14:paraId="0B24AAC3" w14:textId="77777777" w:rsidTr="003C4E6E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F11BFDA" w14:textId="77777777" w:rsidR="004F6DBE" w:rsidRPr="004E53B2" w:rsidRDefault="004F6DBE" w:rsidP="004F6DB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DEP without antidepressants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E590" w14:textId="76D8EB98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79,119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9735" w14:textId="0F146A67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2,898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BA8D" w14:textId="206C3A7D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603,168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7516" w14:textId="26612636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19A99DF" w14:textId="77777777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30DC16D" w14:textId="77777777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1C23C08" w14:textId="77777777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85B2AF" w14:textId="77777777" w:rsidR="004F6DBE" w:rsidRPr="004E53B2" w:rsidRDefault="004F6DB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752139" w:rsidRPr="004E53B2" w14:paraId="6B153CBC" w14:textId="77777777" w:rsidTr="003C4E6E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18B7B463" w14:textId="77777777" w:rsidR="00752139" w:rsidRPr="004E53B2" w:rsidRDefault="00752139" w:rsidP="0075213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009F" w14:textId="41B39665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188,456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89D" w14:textId="329D77A1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7,557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4B9B" w14:textId="3B137558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1,542,828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5AB7" w14:textId="31A5B40C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FD6B" w14:textId="07EB4D35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1.02 (0.97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1.06)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AAAA" w14:textId="65B853AC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(0.93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2FD2" w14:textId="154BBC88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72FE" w14:textId="3D4225D4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0.94 (0.90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98)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752139" w:rsidRPr="004E53B2" w14:paraId="20E3FF14" w14:textId="77777777" w:rsidTr="003C4E6E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28C7D68F" w14:textId="77777777" w:rsidR="00752139" w:rsidRPr="004E53B2" w:rsidRDefault="00752139" w:rsidP="0075213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SNRI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2E9" w14:textId="5C1D732E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46,991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88A5" w14:textId="3F0F324E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2,039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E08" w14:textId="22855AAC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422,692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572" w14:textId="1BCA3E34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4DA0" w14:textId="5D0A5F0E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CCAB" w14:textId="396C9005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0.82 (0.78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71EB" w14:textId="6B16F99F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0.81 (0.76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86)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2E40" w14:textId="2DB203DE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 (0.74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83)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752139" w:rsidRPr="004E53B2" w14:paraId="4CDE7EFD" w14:textId="77777777" w:rsidTr="003C4E6E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65BD7416" w14:textId="77777777" w:rsidR="00752139" w:rsidRPr="004E53B2" w:rsidRDefault="00752139" w:rsidP="0075213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5752" w14:textId="67A55038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151,588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AAC6" w14:textId="398A0854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10,907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3A6F" w14:textId="45D63D07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1,483,952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7942" w14:textId="62AC6948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7.3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B703" w14:textId="2E9DFEF0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1.48 (1.42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55)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C65C" w14:textId="14DDE011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1.23 (1.18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28)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9DA" w14:textId="6B733196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1.11 (1.06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16)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D0A" w14:textId="214B2AED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1.09 (1.05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14)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752139" w:rsidRPr="004E53B2" w14:paraId="4FA7D3DE" w14:textId="77777777" w:rsidTr="003C4E6E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0EBA9F42" w14:textId="77777777" w:rsidR="00752139" w:rsidRPr="004E53B2" w:rsidRDefault="00752139" w:rsidP="0075213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MAOI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74F" w14:textId="7FCD93D3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2B3F" w14:textId="65EBA71D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D68C" w14:textId="1850CF74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75A" w14:textId="49771048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8.9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7DE8" w14:textId="7E4A14A0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1.76 (1.23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53)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E853" w14:textId="601E5E0F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0.79 (0.55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1.13)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9716" w14:textId="37B21011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 (0.54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1.12)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0628" w14:textId="56F56551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0.80 (0.56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1.16)</w:t>
            </w:r>
          </w:p>
        </w:tc>
      </w:tr>
      <w:tr w:rsidR="00752139" w:rsidRPr="004E53B2" w14:paraId="3C27D57A" w14:textId="77777777" w:rsidTr="003C4E6E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7477D359" w14:textId="77777777" w:rsidR="00752139" w:rsidRPr="004E53B2" w:rsidRDefault="00752139" w:rsidP="0075213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thers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628" w14:textId="1F10B494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6ADE" w14:textId="2CC6C38E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4,170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946D" w14:textId="66F9E71A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749,392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1E7" w14:textId="2EF1F7FD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3F9E" w14:textId="7B063D5A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1.14 (1.08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19)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9566" w14:textId="5A8EED2D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0.99 (0.94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D6B" w14:textId="50180063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0.96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1.01)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20AA" w14:textId="5BBA8051" w:rsidR="00752139" w:rsidRPr="004E53B2" w:rsidRDefault="00752139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0.90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94)</w:t>
            </w:r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018AD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5F357A3E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b/>
          <w:bCs/>
          <w:szCs w:val="20"/>
          <w:vertAlign w:val="superscript"/>
        </w:rPr>
      </w:pPr>
      <w:r w:rsidRPr="004E53B2">
        <w:rPr>
          <w:rFonts w:ascii="Times New Roman" w:eastAsia="Malgun Gothic" w:hAnsi="Times New Roman" w:cs="Times New Roman"/>
          <w:szCs w:val="20"/>
        </w:rPr>
        <w:t>DEP, depression; SSRI, selective serotonin reuptake inhibitors; SNRI, serotonin-norepinephrine reuptake inhibitor; TCA, tricyclic antidepressant; MAOI, monoamine oxidase inhibitor</w:t>
      </w:r>
    </w:p>
    <w:p w14:paraId="219F7CF5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7E899413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7F028B45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68166900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766A539B" w14:textId="77777777" w:rsidR="00A01C2C" w:rsidRPr="00A01C2C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1FA5C556" w14:textId="77777777" w:rsidR="004E53B2" w:rsidRPr="004E53B2" w:rsidRDefault="004E53B2" w:rsidP="004E53B2">
      <w:pPr>
        <w:rPr>
          <w:rFonts w:ascii="Times New Roman" w:eastAsia="Malgun Gothic" w:hAnsi="Times New Roman" w:cs="Times New Roman"/>
          <w:sz w:val="24"/>
          <w:szCs w:val="24"/>
        </w:rPr>
      </w:pPr>
      <w:r w:rsidRPr="004E53B2">
        <w:rPr>
          <w:rFonts w:ascii="Times New Roman" w:eastAsia="Malgun Gothic" w:hAnsi="Times New Roman" w:cs="Times New Roman"/>
          <w:sz w:val="24"/>
          <w:szCs w:val="24"/>
        </w:rPr>
        <w:br w:type="page"/>
      </w:r>
    </w:p>
    <w:p w14:paraId="3590440B" w14:textId="10FEDE52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3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B107B7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of use of antidepressants on </w:t>
      </w:r>
      <w:r w:rsidR="00647125"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compared to healthy controls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1134"/>
        <w:gridCol w:w="993"/>
        <w:gridCol w:w="1134"/>
        <w:gridCol w:w="1134"/>
        <w:gridCol w:w="1842"/>
        <w:gridCol w:w="1985"/>
        <w:gridCol w:w="1984"/>
        <w:gridCol w:w="1785"/>
      </w:tblGrid>
      <w:tr w:rsidR="004E53B2" w:rsidRPr="004E53B2" w14:paraId="34199B73" w14:textId="77777777" w:rsidTr="005854F6">
        <w:trPr>
          <w:trHeight w:val="330"/>
        </w:trPr>
        <w:tc>
          <w:tcPr>
            <w:tcW w:w="0" w:type="auto"/>
          </w:tcPr>
          <w:p w14:paraId="7A8F1EA1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14:paraId="5F96EF03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C5C2EEA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5D510EDF" w14:textId="78FD80CA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9B473CE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CB63C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7C091A2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749E164A" w14:textId="3042C80F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  <w:hideMark/>
          </w:tcPr>
          <w:p w14:paraId="6FCA047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4E53B2" w:rsidRPr="004E53B2" w14:paraId="3D3B469C" w14:textId="77777777" w:rsidTr="005854F6">
        <w:trPr>
          <w:trHeight w:val="680"/>
        </w:trPr>
        <w:tc>
          <w:tcPr>
            <w:tcW w:w="0" w:type="auto"/>
          </w:tcPr>
          <w:p w14:paraId="556D655D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0D691C6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2A355D6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20C4B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276F61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EE8C06B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2A9D17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D95B7E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97A5FA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CC719F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290AFE" w:rsidRPr="004E53B2" w14:paraId="5F701207" w14:textId="77777777" w:rsidTr="005854F6">
        <w:trPr>
          <w:trHeight w:val="340"/>
        </w:trPr>
        <w:tc>
          <w:tcPr>
            <w:tcW w:w="1696" w:type="dxa"/>
            <w:gridSpan w:val="2"/>
            <w:vAlign w:val="center"/>
          </w:tcPr>
          <w:p w14:paraId="2610A58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Healthy controls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06F" w14:textId="17D9C02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276,048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71B" w14:textId="48BAFA9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24,577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60D" w14:textId="3D01389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3,954,318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EFE2" w14:textId="66194F8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7B606" w14:textId="5D10DA1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2EE703" w14:textId="6A8BB25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127F9" w14:textId="0C45BBD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D4732AD" w14:textId="6A43700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290AFE" w:rsidRPr="004E53B2" w14:paraId="1FC5CAC2" w14:textId="77777777" w:rsidTr="005854F6">
        <w:trPr>
          <w:trHeight w:val="360"/>
        </w:trPr>
        <w:tc>
          <w:tcPr>
            <w:tcW w:w="1696" w:type="dxa"/>
            <w:gridSpan w:val="2"/>
            <w:vAlign w:val="center"/>
          </w:tcPr>
          <w:p w14:paraId="6970880F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08869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DD94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4FD98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15550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D28E2B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4D2A0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31172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F51CA2C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90AFE" w:rsidRPr="004E53B2" w14:paraId="5D6E39E0" w14:textId="77777777" w:rsidTr="005854F6">
        <w:trPr>
          <w:trHeight w:val="360"/>
        </w:trPr>
        <w:tc>
          <w:tcPr>
            <w:tcW w:w="0" w:type="auto"/>
            <w:vAlign w:val="center"/>
          </w:tcPr>
          <w:p w14:paraId="020046F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97C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Escitalopram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E30" w14:textId="454D3D3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113,437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E51" w14:textId="3480F18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DC09" w14:textId="0A6618C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870,521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177" w14:textId="5B82F74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8729" w14:textId="4D171CF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 (0.75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D11" w14:textId="52C6DD5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78D4" w14:textId="79B1BA2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160A" w14:textId="74ACEBB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(0.59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66)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5CEE6F32" w14:textId="77777777" w:rsidTr="005854F6">
        <w:trPr>
          <w:trHeight w:val="360"/>
        </w:trPr>
        <w:tc>
          <w:tcPr>
            <w:tcW w:w="0" w:type="auto"/>
            <w:vAlign w:val="center"/>
          </w:tcPr>
          <w:p w14:paraId="68AF2D3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6941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Fluoxetine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706" w14:textId="402C475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36,605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64CE" w14:textId="500E31A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DB3A" w14:textId="0E17CF3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318,606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FE0" w14:textId="02D66E5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9DE" w14:textId="0AC0421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(0.66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74)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DD27" w14:textId="3226EC4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366" w14:textId="323FA20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93)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3EEA" w14:textId="28DCD96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84)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31B990E2" w14:textId="77777777" w:rsidTr="005854F6">
        <w:trPr>
          <w:trHeight w:val="360"/>
        </w:trPr>
        <w:tc>
          <w:tcPr>
            <w:tcW w:w="0" w:type="auto"/>
            <w:vAlign w:val="center"/>
          </w:tcPr>
          <w:p w14:paraId="422CC959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2A8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Fluvoxamine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1360" w14:textId="2C9B3FB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3CBE" w14:textId="2FF4E70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09F6" w14:textId="6C3DD36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109,441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A09" w14:textId="44F787E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9E6" w14:textId="0CB47C4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 (0.78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157E" w14:textId="1A42980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93)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73EA" w14:textId="4E38503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0.77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BCA2" w14:textId="3B8DF8C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(0.61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6AA51439" w14:textId="77777777" w:rsidTr="005854F6">
        <w:trPr>
          <w:trHeight w:val="360"/>
        </w:trPr>
        <w:tc>
          <w:tcPr>
            <w:tcW w:w="0" w:type="auto"/>
            <w:vAlign w:val="center"/>
          </w:tcPr>
          <w:p w14:paraId="36F7F5A9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9C7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Sertraline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8C7" w14:textId="5197226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47,174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39D5" w14:textId="324021B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B6C" w14:textId="42F4139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434,648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5F1" w14:textId="4878B84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917" w14:textId="031120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0.86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6203" w14:textId="07CE847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88)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443" w14:textId="616B48F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88)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32F" w14:textId="508CA28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(0.69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6DA247BC" w14:textId="77777777" w:rsidTr="005854F6">
        <w:trPr>
          <w:trHeight w:val="360"/>
        </w:trPr>
        <w:tc>
          <w:tcPr>
            <w:tcW w:w="0" w:type="auto"/>
            <w:vAlign w:val="center"/>
          </w:tcPr>
          <w:p w14:paraId="5A05BC2D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F2A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Paroxetine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9E27" w14:textId="18F0B4B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50,753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B75" w14:textId="233D8F3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A7AC" w14:textId="7313C91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491,563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81B" w14:textId="139F2A5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E663" w14:textId="4317393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0.89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2EBD" w14:textId="18BD30E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0.89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1380" w14:textId="6BDB21E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0.86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05AC" w14:textId="3E4431D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0.76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(0.71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81)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36521595" w14:textId="77777777" w:rsidTr="005854F6">
        <w:trPr>
          <w:trHeight w:val="360"/>
        </w:trPr>
        <w:tc>
          <w:tcPr>
            <w:tcW w:w="1696" w:type="dxa"/>
            <w:gridSpan w:val="2"/>
            <w:vAlign w:val="center"/>
          </w:tcPr>
          <w:p w14:paraId="05A6F69B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SNRI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F3CCC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DC498F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EB8B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0D5B7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139EC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BF153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9D4EB9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FE1D917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90AFE" w:rsidRPr="004E53B2" w14:paraId="5EC07C4E" w14:textId="77777777" w:rsidTr="005854F6">
        <w:trPr>
          <w:trHeight w:val="360"/>
        </w:trPr>
        <w:tc>
          <w:tcPr>
            <w:tcW w:w="0" w:type="auto"/>
            <w:vAlign w:val="center"/>
          </w:tcPr>
          <w:p w14:paraId="0612C0E3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6A1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Duloxetine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6226" w14:textId="264FA34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21,341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2052" w14:textId="624C0D6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E5CB" w14:textId="4EAAD1C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190,708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E43" w14:textId="15D8D72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14C" w14:textId="6CF9DCF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0.77 (0.72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C19" w14:textId="2D0A266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0.56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(0.53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60)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C9B" w14:textId="50B012D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0.52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(0.48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56)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1C3" w14:textId="5939F22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0.45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(0.41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50)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3AD5C639" w14:textId="77777777" w:rsidTr="005854F6">
        <w:trPr>
          <w:trHeight w:val="360"/>
        </w:trPr>
        <w:tc>
          <w:tcPr>
            <w:tcW w:w="0" w:type="auto"/>
            <w:vAlign w:val="center"/>
          </w:tcPr>
          <w:p w14:paraId="196DADB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A56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Venlafaxine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0DF" w14:textId="74F6FDA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19,774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B225" w14:textId="11CB4AD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D" w14:textId="5A7B6CB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181,724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194A" w14:textId="44854EF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325" w14:textId="489F3AF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0.82 (0.76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7BF4" w14:textId="796FE30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0B3E" w14:textId="0DCF112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84)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2DED" w14:textId="1F0BC09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0.68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(0.62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74)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54F2E0C3" w14:textId="77777777" w:rsidTr="005854F6">
        <w:trPr>
          <w:trHeight w:val="360"/>
        </w:trPr>
        <w:tc>
          <w:tcPr>
            <w:tcW w:w="0" w:type="auto"/>
            <w:vAlign w:val="center"/>
          </w:tcPr>
          <w:p w14:paraId="36224C7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101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Desvenlafaxine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37A8" w14:textId="5BB546C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7E9" w14:textId="70EE2EC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21B" w14:textId="2CC0800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16,584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0531" w14:textId="7C0E2D2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0B68" w14:textId="1FA4D40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0.32 (0.22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45)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701E" w14:textId="54658AC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(0.24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49)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18D8" w14:textId="5BD2D41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(0.20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41)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087" w14:textId="20E78B4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0.24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(0.16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35)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5CCE611A" w14:textId="77777777" w:rsidTr="005854F6">
        <w:trPr>
          <w:trHeight w:val="360"/>
        </w:trPr>
        <w:tc>
          <w:tcPr>
            <w:tcW w:w="0" w:type="auto"/>
            <w:vAlign w:val="center"/>
          </w:tcPr>
          <w:p w14:paraId="04A56AE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C5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Milnacipran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08DD" w14:textId="68E9C2D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9,514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3EA" w14:textId="0E1EDD1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7260" w14:textId="328380C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99,676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B9D2" w14:textId="39BE35C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8B2D" w14:textId="0BC0914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1.00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1.09)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07AE" w14:textId="568A3BF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0.82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58E0" w14:textId="421F9A6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(0.66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232" w14:textId="6DD75F1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0.64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(0.57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71)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3730C877" w14:textId="77777777" w:rsidTr="005854F6">
        <w:trPr>
          <w:trHeight w:val="360"/>
        </w:trPr>
        <w:tc>
          <w:tcPr>
            <w:tcW w:w="1696" w:type="dxa"/>
            <w:gridSpan w:val="2"/>
            <w:vAlign w:val="center"/>
          </w:tcPr>
          <w:p w14:paraId="7470139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45F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052B4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97FF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8EB2F2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73B8C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8422A6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322647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8F341D1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90AFE" w:rsidRPr="004E53B2" w14:paraId="48B99E27" w14:textId="77777777" w:rsidTr="005854F6">
        <w:trPr>
          <w:trHeight w:val="360"/>
        </w:trPr>
        <w:tc>
          <w:tcPr>
            <w:tcW w:w="0" w:type="auto"/>
            <w:vAlign w:val="center"/>
          </w:tcPr>
          <w:p w14:paraId="6587596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B3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Nortriptyline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69F" w14:textId="399EADE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49,428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53E" w14:textId="0A5BDEA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B6D5" w14:textId="275089C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495,514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E2C5" w14:textId="4FF4DCF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6DCC" w14:textId="11676F1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1.07 (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1.03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11)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D07F" w14:textId="102BC26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88)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8A7A" w14:textId="51721FC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78)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4B5B" w14:textId="7A67BA9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0.68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(0.64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72)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766E8896" w14:textId="77777777" w:rsidTr="005854F6">
        <w:trPr>
          <w:trHeight w:val="360"/>
        </w:trPr>
        <w:tc>
          <w:tcPr>
            <w:tcW w:w="0" w:type="auto"/>
            <w:vAlign w:val="center"/>
          </w:tcPr>
          <w:p w14:paraId="13F50B93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2DF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Clomipramine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AEE4" w14:textId="67F15BF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3E6A" w14:textId="038C94B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D53" w14:textId="68DB440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8AAC" w14:textId="2951E51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314" w14:textId="17F658B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1.05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(0.94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1.16)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11C0" w14:textId="671DD7F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1.09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(0.98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1.21)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AA3" w14:textId="2390C7D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0.99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1.10)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3AAA" w14:textId="786E066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0.86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(0.76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98)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</w:tr>
      <w:tr w:rsidR="00290AFE" w:rsidRPr="004E53B2" w14:paraId="0F0E311B" w14:textId="77777777" w:rsidTr="005854F6">
        <w:trPr>
          <w:trHeight w:val="360"/>
        </w:trPr>
        <w:tc>
          <w:tcPr>
            <w:tcW w:w="0" w:type="auto"/>
            <w:vAlign w:val="center"/>
          </w:tcPr>
          <w:p w14:paraId="097AD3DD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720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Amitriptyline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E26" w14:textId="60690E6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109,334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AD3" w14:textId="633A7A1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D2A" w14:textId="15ABAC1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1,108,600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3B0" w14:textId="7A37148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6FF4" w14:textId="481D3E3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1.33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(1.30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37)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563" w14:textId="79CEE34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(1.01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06)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7752" w14:textId="223AEDE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0.88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7543" w14:textId="2FF8654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0.79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(0.76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83)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6835797F" w14:textId="77777777" w:rsidTr="005854F6">
        <w:trPr>
          <w:trHeight w:val="360"/>
        </w:trPr>
        <w:tc>
          <w:tcPr>
            <w:tcW w:w="0" w:type="auto"/>
            <w:vAlign w:val="center"/>
          </w:tcPr>
          <w:p w14:paraId="2E7EA14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79FB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Imipramine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6893" w14:textId="10D7A9B8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36,367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9CD" w14:textId="7A85027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49D" w14:textId="7B1137B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377,730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E63" w14:textId="15E88654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36A0" w14:textId="24E97A30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(1.09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19)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8DD" w14:textId="6D7164A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1.00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1.04)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EDBA" w14:textId="49C5055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D170" w14:textId="67520FC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0.82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(0.77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1EA40581" w14:textId="77777777" w:rsidTr="005854F6">
        <w:trPr>
          <w:trHeight w:val="360"/>
        </w:trPr>
        <w:tc>
          <w:tcPr>
            <w:tcW w:w="1696" w:type="dxa"/>
            <w:gridSpan w:val="2"/>
            <w:vAlign w:val="center"/>
          </w:tcPr>
          <w:p w14:paraId="6682E5BC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lastRenderedPageBreak/>
              <w:t>MAOI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44D0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FB65A0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6766F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A227D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FA0F06" w14:textId="25F25A6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1F108E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CAD3F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6330717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90AFE" w:rsidRPr="004E53B2" w14:paraId="3B86AAA8" w14:textId="77777777" w:rsidTr="005854F6">
        <w:trPr>
          <w:trHeight w:val="360"/>
        </w:trPr>
        <w:tc>
          <w:tcPr>
            <w:tcW w:w="0" w:type="auto"/>
            <w:vAlign w:val="center"/>
          </w:tcPr>
          <w:p w14:paraId="1573DAFE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8A4ED6F" w14:textId="77777777" w:rsidR="00290AFE" w:rsidRPr="004E53B2" w:rsidRDefault="00290AFE" w:rsidP="003C4E6E">
            <w:pPr>
              <w:widowControl/>
              <w:wordWrap/>
              <w:autoSpaceDE/>
              <w:autoSpaceDN/>
              <w:rPr>
                <w:rFonts w:ascii="Times New Roman" w:eastAsia="Malgun Gothic" w:hAnsi="Times New Roman" w:cs="Times New Roman"/>
                <w:color w:val="00000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Selegiline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86C8" w14:textId="43E6FDC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6C3" w14:textId="518C530D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41D8" w14:textId="2E89952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E7D" w14:textId="71BAD76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8.9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B57524" w14:textId="2C01369D" w:rsidR="00290AFE" w:rsidRPr="001741C2" w:rsidRDefault="00290AFE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1.54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(1.07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19)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6A5BB6D9" w14:textId="10F21B86" w:rsidR="00290AFE" w:rsidRPr="004E53B2" w:rsidRDefault="00290AFE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0.62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(0.43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29BB1" w14:textId="2669C4D3" w:rsidR="00290AFE" w:rsidRPr="004E53B2" w:rsidRDefault="00290AFE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0.50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(0.35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73)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C9BAE9E" w14:textId="523383CE" w:rsidR="00290AFE" w:rsidRPr="004E53B2" w:rsidRDefault="00290AFE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0.45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(0.31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65)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1E8B8453" w14:textId="77777777" w:rsidTr="005854F6">
        <w:trPr>
          <w:trHeight w:val="360"/>
        </w:trPr>
        <w:tc>
          <w:tcPr>
            <w:tcW w:w="1696" w:type="dxa"/>
            <w:gridSpan w:val="2"/>
            <w:vAlign w:val="center"/>
          </w:tcPr>
          <w:p w14:paraId="384DBEE8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thers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195E3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FFE381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C7B4FE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7721AE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53ECE7" w14:textId="185BE1E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B4187B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1C1A3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526DA24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90AFE" w:rsidRPr="004E53B2" w14:paraId="5C319849" w14:textId="77777777" w:rsidTr="005854F6">
        <w:trPr>
          <w:trHeight w:val="360"/>
        </w:trPr>
        <w:tc>
          <w:tcPr>
            <w:tcW w:w="0" w:type="auto"/>
            <w:vAlign w:val="center"/>
          </w:tcPr>
          <w:p w14:paraId="6960378C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612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Mirtazapine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2CB5" w14:textId="6124C0A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18,590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F01F" w14:textId="2A259A1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C355" w14:textId="10005A45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173,939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746" w14:textId="505E3E3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8A3" w14:textId="315F961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1.02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7C0" w14:textId="3316998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0.80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ED6" w14:textId="42B0A8A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0.77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83)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700D" w14:textId="1D54591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0.63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(0.58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69)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1F33B858" w14:textId="77777777" w:rsidTr="005854F6">
        <w:trPr>
          <w:trHeight w:val="360"/>
        </w:trPr>
        <w:tc>
          <w:tcPr>
            <w:tcW w:w="0" w:type="auto"/>
            <w:vAlign w:val="center"/>
          </w:tcPr>
          <w:p w14:paraId="75AC0235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55A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Bupropion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F53" w14:textId="56A972AF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14,203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86FE" w14:textId="79C2013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111" w14:textId="53112A8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110,474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2E5E" w14:textId="1D4C783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2EB" w14:textId="4599013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(0.67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691B" w14:textId="050DA71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0.77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14D6" w14:textId="0E43960B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0.73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(0.66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263" w14:textId="47EBA13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0.62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(0.55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70)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1D28A7D5" w14:textId="77777777" w:rsidTr="005854F6">
        <w:trPr>
          <w:trHeight w:val="360"/>
        </w:trPr>
        <w:tc>
          <w:tcPr>
            <w:tcW w:w="0" w:type="auto"/>
            <w:vAlign w:val="center"/>
          </w:tcPr>
          <w:p w14:paraId="1E33BC6C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3468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Trazodone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43F5" w14:textId="3091C5D2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67,548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0776" w14:textId="48BDEBD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24A4" w14:textId="7206C84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580,751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7B32" w14:textId="6A8AA5A3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2248" w14:textId="1311ABA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1.00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(0.96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3F7" w14:textId="77CEFFC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(0.84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59DC" w14:textId="51DFE96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0.81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(0.78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06D" w14:textId="3594F2E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0.67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(0.63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71)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290AFE" w:rsidRPr="004E53B2" w14:paraId="4D07C212" w14:textId="77777777" w:rsidTr="005854F6">
        <w:trPr>
          <w:trHeight w:val="360"/>
        </w:trPr>
        <w:tc>
          <w:tcPr>
            <w:tcW w:w="0" w:type="auto"/>
            <w:vAlign w:val="center"/>
          </w:tcPr>
          <w:p w14:paraId="3BBB4EE0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F91" w14:textId="7777777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Vortioxetine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EF7F" w14:textId="2F4DB426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7,697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276" w14:textId="7FB7FB1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537" w14:textId="6A8A474C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AB7B" w14:textId="7A6DC991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78FB" w14:textId="19CFC50A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(0.18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31)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1338" w14:textId="5B3775DE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0.24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(0.18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31)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239D" w14:textId="16090FB9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0.20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 xml:space="preserve"> (0.16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EE3D8B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EE3D8B">
              <w:rPr>
                <w:rFonts w:ascii="Times New Roman" w:eastAsia="Malgun Gothic" w:hAnsi="Times New Roman" w:cs="Times New Roman"/>
                <w:color w:val="000000"/>
              </w:rPr>
              <w:t>27)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076" w14:textId="2E386B87" w:rsidR="00290AFE" w:rsidRPr="004E53B2" w:rsidRDefault="00290AFE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0.17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 xml:space="preserve"> (0.13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 w:rsidR="008C44BC"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 w:rsidR="008C44BC">
              <w:rPr>
                <w:rFonts w:ascii="Times New Roman" w:eastAsia="Malgun Gothic" w:hAnsi="Times New Roman" w:cs="Times New Roman"/>
                <w:color w:val="000000"/>
              </w:rPr>
              <w:t>22)</w:t>
            </w:r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5854F6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3DAD1943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b/>
          <w:bCs/>
          <w:szCs w:val="20"/>
          <w:vertAlign w:val="superscript"/>
        </w:rPr>
      </w:pPr>
      <w:r w:rsidRPr="004E53B2">
        <w:rPr>
          <w:rFonts w:ascii="Times New Roman" w:eastAsia="Malgun Gothic" w:hAnsi="Times New Roman" w:cs="Times New Roman"/>
          <w:szCs w:val="20"/>
        </w:rPr>
        <w:t>SSRI, selective serotonin reuptake inhibitors; SNRI, serotonin-norepinephrine reuptake inhibitor; TCA, tricyclic antidepressant; MAOI, monoamine oxidase inhibitor</w:t>
      </w:r>
    </w:p>
    <w:p w14:paraId="34AEE852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3513687B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449C1698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365888B6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5AE5A0D9" w14:textId="77777777" w:rsidR="00A01C2C" w:rsidRPr="004E53B2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331B8BE1" w14:textId="77777777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br w:type="page"/>
      </w:r>
    </w:p>
    <w:p w14:paraId="42D1F53B" w14:textId="1B54282E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4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B107B7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of use of antidepressants on </w:t>
      </w:r>
      <w:r w:rsidR="00647125"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compared to DEP without antidepressants group.</w:t>
      </w:r>
    </w:p>
    <w:tbl>
      <w:tblPr>
        <w:tblW w:w="13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42"/>
        <w:gridCol w:w="1184"/>
        <w:gridCol w:w="993"/>
        <w:gridCol w:w="1134"/>
        <w:gridCol w:w="1134"/>
        <w:gridCol w:w="1842"/>
        <w:gridCol w:w="1985"/>
        <w:gridCol w:w="1984"/>
        <w:gridCol w:w="1785"/>
      </w:tblGrid>
      <w:tr w:rsidR="004E53B2" w:rsidRPr="004E53B2" w14:paraId="3AD8169A" w14:textId="77777777" w:rsidTr="002C6248">
        <w:trPr>
          <w:trHeight w:val="330"/>
        </w:trPr>
        <w:tc>
          <w:tcPr>
            <w:tcW w:w="0" w:type="auto"/>
          </w:tcPr>
          <w:p w14:paraId="0BB99EA5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14:paraId="6B07DAFC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14:paraId="2768D47C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1CCF790B" w14:textId="55DE0E5E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E63585C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41B88F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521873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72891B30" w14:textId="42DA0B3C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  <w:hideMark/>
          </w:tcPr>
          <w:p w14:paraId="10E4F6A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4E53B2" w:rsidRPr="004E53B2" w14:paraId="78D538E1" w14:textId="77777777" w:rsidTr="002C6248">
        <w:trPr>
          <w:trHeight w:val="680"/>
        </w:trPr>
        <w:tc>
          <w:tcPr>
            <w:tcW w:w="0" w:type="auto"/>
          </w:tcPr>
          <w:p w14:paraId="0EE7DDED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7039879D" w14:textId="77777777" w:rsidR="004E53B2" w:rsidRPr="004E53B2" w:rsidRDefault="004E53B2" w:rsidP="004E5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14:paraId="6A148CEA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16EE904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EE0989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F08064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7A824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E5951E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96953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8E80A04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8C44BC" w:rsidRPr="004E53B2" w14:paraId="034B5C94" w14:textId="77777777" w:rsidTr="002C6248">
        <w:trPr>
          <w:trHeight w:val="340"/>
        </w:trPr>
        <w:tc>
          <w:tcPr>
            <w:tcW w:w="1646" w:type="dxa"/>
            <w:gridSpan w:val="2"/>
            <w:vAlign w:val="center"/>
          </w:tcPr>
          <w:p w14:paraId="26F412A4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DEP without antidepressants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DDA3" w14:textId="5972FDDD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79,119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C208" w14:textId="32D6E114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84A6" w14:textId="3818B8C4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603,168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A2AF" w14:textId="4E080968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60C6E6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BB4FA7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EB9B4E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DB1A672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8C44BC" w:rsidRPr="004E53B2" w14:paraId="77F4919C" w14:textId="77777777" w:rsidTr="002C6248">
        <w:trPr>
          <w:trHeight w:val="360"/>
        </w:trPr>
        <w:tc>
          <w:tcPr>
            <w:tcW w:w="1646" w:type="dxa"/>
            <w:gridSpan w:val="2"/>
            <w:vAlign w:val="center"/>
          </w:tcPr>
          <w:p w14:paraId="7D2B4239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988834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AE41A2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89860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A8161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622C4D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4A3314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966D71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0F16675" w14:textId="77777777" w:rsidR="008C44BC" w:rsidRPr="004E53B2" w:rsidRDefault="008C44B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81C3C" w:rsidRPr="004E53B2" w14:paraId="54042C37" w14:textId="77777777" w:rsidTr="002C6248">
        <w:trPr>
          <w:trHeight w:val="360"/>
        </w:trPr>
        <w:tc>
          <w:tcPr>
            <w:tcW w:w="0" w:type="auto"/>
            <w:vAlign w:val="center"/>
          </w:tcPr>
          <w:p w14:paraId="7C82F84B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15E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Escitalopram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9130" w14:textId="4F94B64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113,437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057" w14:textId="604D8D3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3266" w14:textId="476744E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870,521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2FE5" w14:textId="19F5E22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0E9" w14:textId="1AE0AC5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E9FD" w14:textId="0CD8BF0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59B" w14:textId="24DD508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0.84 (0.80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A4DB" w14:textId="51D6D43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0.81 (0.77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23960418" w14:textId="77777777" w:rsidTr="002C6248">
        <w:trPr>
          <w:trHeight w:val="360"/>
        </w:trPr>
        <w:tc>
          <w:tcPr>
            <w:tcW w:w="0" w:type="auto"/>
            <w:vAlign w:val="center"/>
          </w:tcPr>
          <w:p w14:paraId="3F211ED6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BDF2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Fluoxetine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F4B0" w14:textId="1EF91AC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36,605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C81" w14:textId="5E5A8E6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662" w14:textId="788A37C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318,606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1D0" w14:textId="33250B3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E34" w14:textId="3841764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0.81 (0.76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BB43" w14:textId="631AAFC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BFEC" w14:textId="5A4AF43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(0.91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1.05)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E9F" w14:textId="69D3057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0.96 (0.90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</w:tr>
      <w:tr w:rsidR="00F81C3C" w:rsidRPr="004E53B2" w14:paraId="4F9E4623" w14:textId="77777777" w:rsidTr="002C6248">
        <w:trPr>
          <w:trHeight w:val="360"/>
        </w:trPr>
        <w:tc>
          <w:tcPr>
            <w:tcW w:w="0" w:type="auto"/>
            <w:vAlign w:val="center"/>
          </w:tcPr>
          <w:p w14:paraId="4D27C76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36D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Fluvoxamine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13A2" w14:textId="1CD51C4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200A" w14:textId="494C3F4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8F1" w14:textId="47C156D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109,441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24F" w14:textId="529E3BE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7BF4" w14:textId="1368D02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(0.89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1.07)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3834" w14:textId="7621D08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0.94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056" w14:textId="7405F4F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F49E" w14:textId="7B6EC7F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1.01)</w:t>
            </w:r>
          </w:p>
        </w:tc>
      </w:tr>
      <w:tr w:rsidR="00F81C3C" w:rsidRPr="004E53B2" w14:paraId="5DBE8529" w14:textId="77777777" w:rsidTr="002C6248">
        <w:trPr>
          <w:trHeight w:val="360"/>
        </w:trPr>
        <w:tc>
          <w:tcPr>
            <w:tcW w:w="0" w:type="auto"/>
            <w:vAlign w:val="center"/>
          </w:tcPr>
          <w:p w14:paraId="05F591D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3BB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Sertraline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7DDA" w14:textId="6BC7C16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47,174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1AFE" w14:textId="3C4DC8C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36C" w14:textId="3A89E0B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434,648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35" w14:textId="1577C42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D53" w14:textId="1E412A9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1.00 (0.94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58A5" w14:textId="722510C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0.94 (0.89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00)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692" w14:textId="4CB2A46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0.95 (0.89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1.00)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6B5" w14:textId="39978A3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F81C3C" w:rsidRPr="004E53B2" w14:paraId="59808949" w14:textId="77777777" w:rsidTr="002C6248">
        <w:trPr>
          <w:trHeight w:val="360"/>
        </w:trPr>
        <w:tc>
          <w:tcPr>
            <w:tcW w:w="0" w:type="auto"/>
            <w:vAlign w:val="center"/>
          </w:tcPr>
          <w:p w14:paraId="710753B4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0A1D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Paroxetine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FC3" w14:textId="36E115F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50,753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24E3" w14:textId="46C311E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0BC8" w14:textId="357D165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491,563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01D" w14:textId="54E9FD1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E4D0" w14:textId="511F2B6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1.02 (0.96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1.07)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D5F5" w14:textId="04001C1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C0A" w14:textId="0CFDB68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2C7" w14:textId="059EF43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0.94 (0.89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00)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</w:tr>
      <w:tr w:rsidR="00F81C3C" w:rsidRPr="004E53B2" w14:paraId="229507AB" w14:textId="4091604C" w:rsidTr="002C6248">
        <w:trPr>
          <w:trHeight w:val="360"/>
        </w:trPr>
        <w:tc>
          <w:tcPr>
            <w:tcW w:w="1646" w:type="dxa"/>
            <w:gridSpan w:val="2"/>
            <w:vAlign w:val="center"/>
          </w:tcPr>
          <w:p w14:paraId="331F89D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SNRI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F6D7AA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BC6C3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FB965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81B80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D3E61A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2F53C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CFF2" w14:textId="56A0694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CAD" w14:textId="64E23F3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81C3C" w:rsidRPr="004E53B2" w14:paraId="2E90E7A0" w14:textId="77777777" w:rsidTr="002C6248">
        <w:trPr>
          <w:trHeight w:val="360"/>
        </w:trPr>
        <w:tc>
          <w:tcPr>
            <w:tcW w:w="0" w:type="auto"/>
            <w:vAlign w:val="center"/>
          </w:tcPr>
          <w:p w14:paraId="4A53F766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A7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Duloxetine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31D0" w14:textId="7F85C70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21,341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CFB4" w14:textId="69B3F36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0FC0" w14:textId="60E37F5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190,708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E6AF" w14:textId="6355DBF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8850" w14:textId="426268D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0.89 (0.82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C81" w14:textId="1302C7E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0.67 (0.62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72)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F9BA" w14:textId="5966284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0.65 (0.60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71)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EBF" w14:textId="3E0CBD3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0.64 (0.59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3B1F95CB" w14:textId="77777777" w:rsidTr="002C6248">
        <w:trPr>
          <w:trHeight w:val="360"/>
        </w:trPr>
        <w:tc>
          <w:tcPr>
            <w:tcW w:w="0" w:type="auto"/>
            <w:vAlign w:val="center"/>
          </w:tcPr>
          <w:p w14:paraId="0812AE7C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77DA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Venlafaxine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7DD" w14:textId="74F4960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19,774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1D1" w14:textId="3FA6727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22D" w14:textId="7F1F68D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181,724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441" w14:textId="499C19F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C62" w14:textId="3D22F8A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0.95 (0.88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595" w14:textId="0BF4914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99)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A3E" w14:textId="3F24D7B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 (0.84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99)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82B1" w14:textId="09C31CB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0.89 (0.82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F81C3C" w:rsidRPr="004E53B2" w14:paraId="4CC4E36C" w14:textId="77777777" w:rsidTr="002C6248">
        <w:trPr>
          <w:trHeight w:val="360"/>
        </w:trPr>
        <w:tc>
          <w:tcPr>
            <w:tcW w:w="0" w:type="auto"/>
            <w:vAlign w:val="center"/>
          </w:tcPr>
          <w:p w14:paraId="45C27040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97B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Desvenlafaxine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328B" w14:textId="6A635F8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D6B0" w14:textId="4C8F06E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EFC2" w14:textId="3E5172F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16,584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CCCF" w14:textId="5C852F7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0D2" w14:textId="545DCA8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0.38 (0.26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54)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04CB" w14:textId="6CBC397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0.39 (0.27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024" w14:textId="0374FEE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0.38 (0.27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5175" w14:textId="1D31E53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0.38 (0.26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00B24D1C" w14:textId="77777777" w:rsidTr="002C6248">
        <w:trPr>
          <w:trHeight w:val="360"/>
        </w:trPr>
        <w:tc>
          <w:tcPr>
            <w:tcW w:w="0" w:type="auto"/>
            <w:vAlign w:val="center"/>
          </w:tcPr>
          <w:p w14:paraId="3855920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0B89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Milnacipran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688C" w14:textId="619CFD9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9,514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C4A3" w14:textId="21D239B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BC6" w14:textId="4A204AB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99,676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425" w14:textId="47CC061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F2C" w14:textId="2D2FEB5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1.15 (1.05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A982" w14:textId="3ED020A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0.94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C7DB" w14:textId="7986412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1.00)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80D" w14:textId="1E321F3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 (0.83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00)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</w:tr>
      <w:tr w:rsidR="00F81C3C" w:rsidRPr="004E53B2" w14:paraId="539215D5" w14:textId="55399FBC" w:rsidTr="002C6248">
        <w:trPr>
          <w:trHeight w:val="360"/>
        </w:trPr>
        <w:tc>
          <w:tcPr>
            <w:tcW w:w="1646" w:type="dxa"/>
            <w:gridSpan w:val="2"/>
            <w:vAlign w:val="center"/>
          </w:tcPr>
          <w:p w14:paraId="5344CB3E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35D97A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E4D4FE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BEC8A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E42EC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9A3AF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D3F5E9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B4A0" w14:textId="4A8F0D8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4D1" w14:textId="2359E41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81C3C" w:rsidRPr="004E53B2" w14:paraId="028FA44A" w14:textId="77777777" w:rsidTr="002C6248">
        <w:trPr>
          <w:trHeight w:val="360"/>
        </w:trPr>
        <w:tc>
          <w:tcPr>
            <w:tcW w:w="0" w:type="auto"/>
            <w:vAlign w:val="center"/>
          </w:tcPr>
          <w:p w14:paraId="265C7967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2E9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Nortriptyline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0ADA" w14:textId="5D331E9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49,428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E99" w14:textId="31319D6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A8E1" w14:textId="5FDE512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495,514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EF9" w14:textId="61AD0CC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8B20" w14:textId="226384C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1.22 (1.16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28)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2E35" w14:textId="5E7B31C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0.98 (0.93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6A17" w14:textId="3A63687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F18" w14:textId="03E3F3A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0.90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37EE32EE" w14:textId="77777777" w:rsidTr="002C6248">
        <w:trPr>
          <w:trHeight w:val="360"/>
        </w:trPr>
        <w:tc>
          <w:tcPr>
            <w:tcW w:w="0" w:type="auto"/>
            <w:vAlign w:val="center"/>
          </w:tcPr>
          <w:p w14:paraId="5B9E52D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50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Clomipramine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F2F4" w14:textId="325B982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2C77" w14:textId="265D886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C969" w14:textId="32AAA6E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ED5" w14:textId="0D6CBEE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ADCE" w14:textId="5EEA886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1.21 (1.09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64F1" w14:textId="4076E42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1.19 (1.07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33)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58B9" w14:textId="12AC605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1.17 (1.05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31)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B5FB" w14:textId="5B06CE0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1.13 (1.01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</w:tr>
      <w:tr w:rsidR="00F81C3C" w:rsidRPr="004E53B2" w14:paraId="00DC959C" w14:textId="77777777" w:rsidTr="002C6248">
        <w:trPr>
          <w:trHeight w:val="360"/>
        </w:trPr>
        <w:tc>
          <w:tcPr>
            <w:tcW w:w="0" w:type="auto"/>
            <w:vAlign w:val="center"/>
          </w:tcPr>
          <w:p w14:paraId="482498A5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D705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Amitriptyline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B5EE" w14:textId="46C1F76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109,334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4080" w14:textId="0EA87EF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74EB" w14:textId="3EDA056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1,108,600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567A" w14:textId="00FBB0B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70F1" w14:textId="667FF91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1.53 (1.47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60)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B999" w14:textId="2C1B9A5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1.21 (1.16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9BA" w14:textId="79F80C9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1.09 (1.04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14)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1190" w14:textId="2F1B525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1.08 (1.03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12)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F81C3C" w:rsidRPr="004E53B2" w14:paraId="1C939DB6" w14:textId="77777777" w:rsidTr="002C6248">
        <w:trPr>
          <w:trHeight w:val="360"/>
        </w:trPr>
        <w:tc>
          <w:tcPr>
            <w:tcW w:w="0" w:type="auto"/>
            <w:vAlign w:val="center"/>
          </w:tcPr>
          <w:p w14:paraId="29644269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8D97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Imipramine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7DB" w14:textId="49F4091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36,367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A561" w14:textId="24F3903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635D" w14:textId="5EC1E4C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377,730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BA8E" w14:textId="06AB1A6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646" w14:textId="5684A6A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1.30 (1.23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695A" w14:textId="39FBC95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1.13 (1.07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19)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E4D" w14:textId="3C08F9A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1.08 (1.02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14)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CC6E" w14:textId="31A296A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1.06 (1.00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1.12)</w:t>
            </w:r>
          </w:p>
        </w:tc>
      </w:tr>
      <w:tr w:rsidR="00F81C3C" w:rsidRPr="004E53B2" w14:paraId="49BB1C0E" w14:textId="29CA3386" w:rsidTr="002C6248">
        <w:trPr>
          <w:trHeight w:val="360"/>
        </w:trPr>
        <w:tc>
          <w:tcPr>
            <w:tcW w:w="1646" w:type="dxa"/>
            <w:gridSpan w:val="2"/>
            <w:vAlign w:val="center"/>
          </w:tcPr>
          <w:p w14:paraId="66160B6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lastRenderedPageBreak/>
              <w:t>MAOI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C183A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E39D50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70092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7DBA47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601C72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301569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285F" w14:textId="1F171D2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C71" w14:textId="5D0189F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81C3C" w:rsidRPr="004E53B2" w14:paraId="2C9C191E" w14:textId="77777777" w:rsidTr="002C6248">
        <w:trPr>
          <w:trHeight w:val="360"/>
        </w:trPr>
        <w:tc>
          <w:tcPr>
            <w:tcW w:w="0" w:type="auto"/>
            <w:vAlign w:val="center"/>
          </w:tcPr>
          <w:p w14:paraId="2A3016FC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1EE897B" w14:textId="77777777" w:rsidR="00F81C3C" w:rsidRPr="004E53B2" w:rsidRDefault="00F81C3C" w:rsidP="003C4E6E">
            <w:pPr>
              <w:widowControl/>
              <w:wordWrap/>
              <w:autoSpaceDE/>
              <w:autoSpaceDN/>
              <w:rPr>
                <w:rFonts w:ascii="Times New Roman" w:eastAsia="Malgun Gothic" w:hAnsi="Times New Roman" w:cs="Times New Roman"/>
                <w:color w:val="00000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Selegiline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F58D" w14:textId="78E3906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C8BB" w14:textId="1890547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BC13" w14:textId="26EFB5D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E67" w14:textId="44D7723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8.9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2ECE3" w14:textId="39F920D7" w:rsidR="00F81C3C" w:rsidRPr="004E53B2" w:rsidRDefault="00F81C3C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1.76</w:t>
            </w: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(1.23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53)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9E3" w14:textId="40625B05" w:rsidR="00F81C3C" w:rsidRPr="004E53B2" w:rsidRDefault="00F81C3C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0.79 (0.55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91B" w14:textId="019FB8F1" w:rsidR="00F81C3C" w:rsidRPr="004E53B2" w:rsidRDefault="00F81C3C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0.78 (0.54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1.12)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5386" w14:textId="34D59A4B" w:rsidR="00F81C3C" w:rsidRPr="004E53B2" w:rsidRDefault="00F81C3C" w:rsidP="003C4E6E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0.80 (0.56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1.16)</w:t>
            </w:r>
          </w:p>
        </w:tc>
      </w:tr>
      <w:tr w:rsidR="00F81C3C" w:rsidRPr="004E53B2" w14:paraId="3F56A902" w14:textId="50F27840" w:rsidTr="002C6248">
        <w:trPr>
          <w:trHeight w:val="360"/>
        </w:trPr>
        <w:tc>
          <w:tcPr>
            <w:tcW w:w="1646" w:type="dxa"/>
            <w:gridSpan w:val="2"/>
            <w:vAlign w:val="center"/>
          </w:tcPr>
          <w:p w14:paraId="7B7C5AC7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thers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B37E0D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F79902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5A4F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56268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1CF3B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BFA73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2DF0" w14:textId="02115CE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4EF" w14:textId="611F1FBC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81C3C" w:rsidRPr="004E53B2" w14:paraId="2353533C" w14:textId="77777777" w:rsidTr="002C6248">
        <w:trPr>
          <w:trHeight w:val="360"/>
        </w:trPr>
        <w:tc>
          <w:tcPr>
            <w:tcW w:w="0" w:type="auto"/>
            <w:vAlign w:val="center"/>
          </w:tcPr>
          <w:p w14:paraId="7A9E96CD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37F3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Mirtazapine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A52" w14:textId="4BA2A43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18,590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BD9" w14:textId="5C724BC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86D" w14:textId="2A4D4BCA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173,939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DA35" w14:textId="2EB057E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094" w14:textId="256DB45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1.18 (1.10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1C4" w14:textId="0B6856D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0.93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00)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884B" w14:textId="2833DAA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0.93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1.00)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61CA" w14:textId="4631AA7E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94)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5E49F3D1" w14:textId="77777777" w:rsidTr="002C6248">
        <w:trPr>
          <w:trHeight w:val="360"/>
        </w:trPr>
        <w:tc>
          <w:tcPr>
            <w:tcW w:w="0" w:type="auto"/>
            <w:vAlign w:val="center"/>
          </w:tcPr>
          <w:p w14:paraId="4EACD7E6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7BF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Bupropion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862" w14:textId="1B0F91E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14,203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93F4" w14:textId="6CEBC21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501" w14:textId="5D194F7B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110,474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4746" w14:textId="142FC8E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4650" w14:textId="7CAC5E7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 (0.79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013" w14:textId="3CD7509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 (0.79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078A" w14:textId="3F5DE65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0.87 (0.79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3A3" w14:textId="7A667F08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 (0.77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F81C3C" w:rsidRPr="004E53B2" w14:paraId="1DC4E336" w14:textId="77777777" w:rsidTr="002C6248">
        <w:trPr>
          <w:trHeight w:val="360"/>
        </w:trPr>
        <w:tc>
          <w:tcPr>
            <w:tcW w:w="0" w:type="auto"/>
            <w:vAlign w:val="center"/>
          </w:tcPr>
          <w:p w14:paraId="561B7FA7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04A1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Trazodone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1F5" w14:textId="553A6003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67,548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C60" w14:textId="0D8686AD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700E" w14:textId="203A57A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580,751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8242" w14:textId="2BC96AD9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827" w14:textId="7BB02A6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1.15 (1.09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21)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9A1" w14:textId="3BEA598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1.00 (0.95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F9D4" w14:textId="40704026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0.96 (0.91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1.01)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E04E" w14:textId="49245F40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0.90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F81C3C" w:rsidRPr="004E53B2" w14:paraId="207B685A" w14:textId="77777777" w:rsidTr="002C6248">
        <w:trPr>
          <w:trHeight w:val="360"/>
        </w:trPr>
        <w:tc>
          <w:tcPr>
            <w:tcW w:w="0" w:type="auto"/>
            <w:vAlign w:val="center"/>
          </w:tcPr>
          <w:p w14:paraId="254D3E0C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2B60" w14:textId="77777777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</w:rPr>
              <w:t>Vortioxetine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D3A0" w14:textId="33927D9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7,697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B1E" w14:textId="15118F7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E5D" w14:textId="5DFD4C61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A846" w14:textId="49EC746F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7440" w14:textId="3056CBE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0.29 (0.22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37)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8787" w14:textId="2B3B8154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0.27 (0.21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1C6F" w14:textId="10596DD2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0.27 (0.21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B8B8" w14:textId="1366F225" w:rsidR="00F81C3C" w:rsidRPr="004E53B2" w:rsidRDefault="00F81C3C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0.27 (0.21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35)</w:t>
            </w:r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2C6248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395F01C3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b/>
          <w:bCs/>
          <w:szCs w:val="20"/>
          <w:vertAlign w:val="superscript"/>
        </w:rPr>
      </w:pPr>
      <w:r w:rsidRPr="004E53B2">
        <w:rPr>
          <w:rFonts w:ascii="Times New Roman" w:eastAsia="Malgun Gothic" w:hAnsi="Times New Roman" w:cs="Times New Roman"/>
          <w:szCs w:val="20"/>
        </w:rPr>
        <w:t>DEP, depression; SSRI, selective serotonin reuptake inhibitors; SNRI, serotonin-norepinephrine reuptake inhibitor; TCA, tricyclic antidepressant; MAOI, monoamine oxidase inhibitor</w:t>
      </w:r>
    </w:p>
    <w:p w14:paraId="0CD3711B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26A6D56D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69568E69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1AE91C39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0C89BB75" w14:textId="77777777" w:rsidR="00A01C2C" w:rsidRPr="004E53B2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38A24DDA" w14:textId="77777777" w:rsidR="004E53B2" w:rsidRPr="004E53B2" w:rsidRDefault="004E53B2" w:rsidP="004E53B2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459179C3" w14:textId="77777777" w:rsidR="004E53B2" w:rsidRPr="004E53B2" w:rsidRDefault="004E53B2" w:rsidP="004E53B2">
      <w:pPr>
        <w:rPr>
          <w:rFonts w:ascii="Times New Roman" w:eastAsia="Malgun Gothic" w:hAnsi="Times New Roman" w:cs="Times New Roman"/>
          <w:sz w:val="24"/>
          <w:szCs w:val="24"/>
        </w:rPr>
      </w:pPr>
      <w:r w:rsidRPr="004E53B2">
        <w:rPr>
          <w:rFonts w:ascii="Times New Roman" w:eastAsia="Malgun Gothic" w:hAnsi="Times New Roman" w:cs="Times New Roman"/>
          <w:sz w:val="24"/>
          <w:szCs w:val="24"/>
        </w:rPr>
        <w:br w:type="page"/>
      </w:r>
    </w:p>
    <w:p w14:paraId="78F9184F" w14:textId="4BDE7AC2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5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B107B7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of antidepressant combinations on </w:t>
      </w:r>
      <w:r w:rsidR="00647125">
        <w:rPr>
          <w:rFonts w:ascii="Times New Roman" w:hAnsi="Times New Roman" w:cs="Times New Roman"/>
          <w:b/>
          <w:bCs/>
          <w:sz w:val="24"/>
          <w:szCs w:val="24"/>
        </w:rPr>
        <w:t xml:space="preserve">type 2 diabetes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compared to healthy controls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065"/>
        <w:gridCol w:w="931"/>
        <w:gridCol w:w="1199"/>
        <w:gridCol w:w="1333"/>
        <w:gridCol w:w="1733"/>
        <w:gridCol w:w="1733"/>
        <w:gridCol w:w="1867"/>
        <w:gridCol w:w="1831"/>
      </w:tblGrid>
      <w:tr w:rsidR="004E53B2" w:rsidRPr="004E53B2" w14:paraId="23C988BF" w14:textId="77777777" w:rsidTr="003C4E6E">
        <w:trPr>
          <w:trHeight w:val="330"/>
        </w:trPr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14:paraId="0726932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6DE8DE37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71F559D1" w14:textId="7B949953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6C839E0F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14:paraId="10539E7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14:paraId="72F2D5D4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0F874671" w14:textId="0ECAF34D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2617" w:type="pct"/>
            <w:gridSpan w:val="4"/>
            <w:shd w:val="clear" w:color="auto" w:fill="auto"/>
            <w:vAlign w:val="center"/>
            <w:hideMark/>
          </w:tcPr>
          <w:p w14:paraId="53A6098F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4E53B2" w:rsidRPr="004E53B2" w14:paraId="7407E40D" w14:textId="77777777" w:rsidTr="003C4E6E">
        <w:trPr>
          <w:trHeight w:val="680"/>
        </w:trPr>
        <w:tc>
          <w:tcPr>
            <w:tcW w:w="729" w:type="pct"/>
            <w:vMerge/>
            <w:vAlign w:val="center"/>
            <w:hideMark/>
          </w:tcPr>
          <w:p w14:paraId="058FBA0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14:paraId="75E0E360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F7FE098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77D817D5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  <w:hideMark/>
          </w:tcPr>
          <w:p w14:paraId="381746CF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004338F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C3AF64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2D06C90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85BC7A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D923F2" w:rsidRPr="004E53B2" w14:paraId="573A0AF4" w14:textId="77777777" w:rsidTr="003C4E6E">
        <w:trPr>
          <w:trHeight w:val="340"/>
        </w:trPr>
        <w:tc>
          <w:tcPr>
            <w:tcW w:w="729" w:type="pct"/>
            <w:shd w:val="clear" w:color="auto" w:fill="auto"/>
            <w:vAlign w:val="center"/>
            <w:hideMark/>
          </w:tcPr>
          <w:p w14:paraId="6DC4CD84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Healthy controls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3877" w14:textId="0601F052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276,048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FC48" w14:textId="5E519CAB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24,577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1D5" w14:textId="60BD1BE6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3,954,318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D3C1" w14:textId="0E38EED4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6.2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DC851C1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8F52D43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10D61625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001C42C4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D923F2" w:rsidRPr="004E53B2" w14:paraId="6A4D7A8A" w14:textId="77777777" w:rsidTr="003C4E6E">
        <w:trPr>
          <w:trHeight w:val="360"/>
        </w:trPr>
        <w:tc>
          <w:tcPr>
            <w:tcW w:w="729" w:type="pct"/>
            <w:shd w:val="clear" w:color="auto" w:fill="auto"/>
            <w:vAlign w:val="center"/>
            <w:hideMark/>
          </w:tcPr>
          <w:p w14:paraId="68C323DB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 only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8265" w14:textId="3AEBEFA3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70,108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1D81" w14:textId="40D8BF29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BC47" w14:textId="307057F0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455,491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E2D" w14:textId="482E0DA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E889" w14:textId="256E9884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89)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8E7C" w14:textId="3B44A89B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1.07 (1.02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12)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629" w14:textId="454D8035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1.02 (0.97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1.07)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EF2" w14:textId="73E0A78A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0.86 (0.81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90)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D923F2" w:rsidRPr="004E53B2" w14:paraId="6A9E7144" w14:textId="77777777" w:rsidTr="003C4E6E">
        <w:trPr>
          <w:trHeight w:val="360"/>
        </w:trPr>
        <w:tc>
          <w:tcPr>
            <w:tcW w:w="729" w:type="pct"/>
            <w:shd w:val="clear" w:color="auto" w:fill="auto"/>
            <w:vAlign w:val="center"/>
            <w:hideMark/>
          </w:tcPr>
          <w:p w14:paraId="3962FBEA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 only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1C8C" w14:textId="1C89D6DB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48,754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E6D8" w14:textId="12ABF503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5,098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151" w14:textId="4BE1A6CB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439,207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C37" w14:textId="02F8F179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11.6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E104" w14:textId="1EDDBA66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2.04 (1.98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11)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116B" w14:textId="54051C12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1.61 (1.56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66)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3433" w14:textId="704A2823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1.41 (1.37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46)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6BF4" w14:textId="0C885D62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1.25 (1.20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30)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D923F2" w:rsidRPr="004E53B2" w14:paraId="7C90667F" w14:textId="77777777" w:rsidTr="003C4E6E">
        <w:trPr>
          <w:trHeight w:val="360"/>
        </w:trPr>
        <w:tc>
          <w:tcPr>
            <w:tcW w:w="729" w:type="pct"/>
            <w:shd w:val="clear" w:color="auto" w:fill="auto"/>
            <w:vAlign w:val="center"/>
            <w:hideMark/>
          </w:tcPr>
          <w:p w14:paraId="5B6C20D5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SRI+TCA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7121" w14:textId="6D316362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41,358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275" w14:textId="1E658658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2276" w14:textId="1A650B5A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413,002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C5EF" w14:textId="3F4377DA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D16" w14:textId="474F970A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1.01)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57FA" w14:textId="6312CF9B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0.89 (0.85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93)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C347" w14:textId="67F2BC5A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0.77 (0.74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81)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9C5" w14:textId="66734301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0.66 (0.63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70)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D923F2" w:rsidRPr="004E53B2" w14:paraId="2F3C04F2" w14:textId="77777777" w:rsidTr="003C4E6E">
        <w:trPr>
          <w:trHeight w:val="360"/>
        </w:trPr>
        <w:tc>
          <w:tcPr>
            <w:tcW w:w="729" w:type="pct"/>
            <w:shd w:val="clear" w:color="auto" w:fill="auto"/>
            <w:vAlign w:val="center"/>
            <w:hideMark/>
          </w:tcPr>
          <w:p w14:paraId="4AB900C2" w14:textId="77777777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ther combinations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E99" w14:textId="5F08D2B2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115,828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18A" w14:textId="2975A713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5,370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D2CC" w14:textId="4475F068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975,963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92BB" w14:textId="0D5CE170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F9BB" w14:textId="31B9D9C0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1.00)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670F" w14:textId="63B34AD1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0.85 (0.82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20C" w14:textId="6630A96D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0.73 (0.71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75)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37A8" w14:textId="6EDE655C" w:rsidR="00D923F2" w:rsidRPr="004E53B2" w:rsidRDefault="00D923F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0.60 (0.58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63)</w:t>
            </w:r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82205A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2C967462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r w:rsidRPr="004E53B2">
        <w:rPr>
          <w:rFonts w:ascii="Times New Roman" w:eastAsia="Malgun Gothic" w:hAnsi="Times New Roman" w:cs="Times New Roman"/>
          <w:szCs w:val="20"/>
        </w:rPr>
        <w:t>SSRI, selective serotonin reuptake inhibitors; TCA, tricyclic antidepressant</w:t>
      </w:r>
    </w:p>
    <w:p w14:paraId="22FB9D7C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29D55545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78350CE2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5E6EFEB9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06B810F3" w14:textId="77777777" w:rsidR="00A01C2C" w:rsidRPr="004E53B2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263C2B9F" w14:textId="77777777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br w:type="page"/>
      </w:r>
    </w:p>
    <w:p w14:paraId="6D622D6E" w14:textId="31185073" w:rsidR="004E53B2" w:rsidRPr="004E53B2" w:rsidRDefault="004E53B2" w:rsidP="004E53B2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6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 Hazard ratios and 95% confidence interval</w:t>
      </w:r>
      <w:r w:rsidR="00B107B7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of antidepressant combinations on </w:t>
      </w:r>
      <w:r w:rsidR="00647125">
        <w:rPr>
          <w:rFonts w:ascii="Times New Roman" w:hAnsi="Times New Roman" w:cs="Times New Roman"/>
          <w:b/>
          <w:bCs/>
          <w:sz w:val="24"/>
          <w:szCs w:val="24"/>
        </w:rPr>
        <w:t>type 2 diabetes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compared to DEP without antidepressants group.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04"/>
        <w:gridCol w:w="1273"/>
        <w:gridCol w:w="1128"/>
        <w:gridCol w:w="1021"/>
        <w:gridCol w:w="1831"/>
        <w:gridCol w:w="1840"/>
        <w:gridCol w:w="1985"/>
        <w:gridCol w:w="1785"/>
      </w:tblGrid>
      <w:tr w:rsidR="00303D77" w:rsidRPr="004E53B2" w14:paraId="74552893" w14:textId="77777777" w:rsidTr="00303D77">
        <w:trPr>
          <w:trHeight w:val="330"/>
        </w:trPr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6A75B76A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410A516C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Subjects</w:t>
            </w:r>
          </w:p>
          <w:p w14:paraId="61D5A8B4" w14:textId="1AE4850D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(n)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5CB5DEE6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Events (n)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483511C5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Follow-up duration (person-year)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14:paraId="36F781D7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Incidence rate</w:t>
            </w:r>
          </w:p>
          <w:p w14:paraId="4DAA3FF2" w14:textId="4BD1006A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(per 1000 person-years)</w:t>
            </w:r>
          </w:p>
        </w:tc>
        <w:tc>
          <w:tcPr>
            <w:tcW w:w="2718" w:type="pct"/>
            <w:gridSpan w:val="4"/>
            <w:shd w:val="clear" w:color="auto" w:fill="auto"/>
            <w:vAlign w:val="center"/>
            <w:hideMark/>
          </w:tcPr>
          <w:p w14:paraId="17640D0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Hazard ratio (95% Confidence interval)</w:t>
            </w:r>
          </w:p>
        </w:tc>
      </w:tr>
      <w:tr w:rsidR="00303D77" w:rsidRPr="004E53B2" w14:paraId="29595F50" w14:textId="77777777" w:rsidTr="00303D77">
        <w:trPr>
          <w:trHeight w:val="680"/>
        </w:trPr>
        <w:tc>
          <w:tcPr>
            <w:tcW w:w="519" w:type="pct"/>
            <w:vMerge/>
            <w:vAlign w:val="center"/>
            <w:hideMark/>
          </w:tcPr>
          <w:p w14:paraId="0202777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33AE68B3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44F36BA7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14:paraId="4975C13B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14:paraId="4582CCED" w14:textId="77777777" w:rsidR="004E53B2" w:rsidRPr="004E53B2" w:rsidRDefault="004E53B2" w:rsidP="003C4E6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45FC676E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Crude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7F18BDCD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1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73364F51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2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b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58DBB5C" w14:textId="77777777" w:rsidR="004E53B2" w:rsidRPr="004E53B2" w:rsidRDefault="004E53B2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Model 3</w:t>
            </w:r>
            <w:r w:rsidRPr="004E53B2">
              <w:rPr>
                <w:rFonts w:ascii="Times New Roman" w:eastAsia="Malgun Gothic" w:hAnsi="Times New Roman" w:cs="Times New Roman"/>
                <w:b/>
                <w:bCs/>
                <w:szCs w:val="20"/>
                <w:vertAlign w:val="superscript"/>
              </w:rPr>
              <w:t>c</w:t>
            </w:r>
          </w:p>
        </w:tc>
      </w:tr>
      <w:tr w:rsidR="00303D77" w:rsidRPr="004E53B2" w14:paraId="5DA01B8B" w14:textId="77777777" w:rsidTr="00303D77">
        <w:trPr>
          <w:trHeight w:val="340"/>
        </w:trPr>
        <w:tc>
          <w:tcPr>
            <w:tcW w:w="519" w:type="pct"/>
            <w:shd w:val="clear" w:color="auto" w:fill="auto"/>
            <w:vAlign w:val="center"/>
            <w:hideMark/>
          </w:tcPr>
          <w:p w14:paraId="64AA3DF4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szCs w:val="20"/>
              </w:rPr>
              <w:t>DEP without antidepressants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4D3" w14:textId="0D492B79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79,119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6508" w14:textId="108B1EB9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2,898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997C" w14:textId="108BEF3A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603,168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8A8" w14:textId="200BC2DF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4.8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6E1957C2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5D489D2F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45C2FE66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4A65F3A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szCs w:val="20"/>
              </w:rPr>
              <w:t>1 (Ref.)</w:t>
            </w:r>
          </w:p>
        </w:tc>
      </w:tr>
      <w:tr w:rsidR="00303D77" w:rsidRPr="004E53B2" w14:paraId="28C2742C" w14:textId="77777777" w:rsidTr="00303D77">
        <w:trPr>
          <w:trHeight w:val="360"/>
        </w:trPr>
        <w:tc>
          <w:tcPr>
            <w:tcW w:w="519" w:type="pct"/>
            <w:shd w:val="clear" w:color="auto" w:fill="auto"/>
            <w:vAlign w:val="center"/>
          </w:tcPr>
          <w:p w14:paraId="624D9DC7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SSRI only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C5EA" w14:textId="3F66ACA2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70,108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8E0D" w14:textId="60F1DB82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2,117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8614" w14:textId="57198E2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455,491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2C3" w14:textId="7E3F9616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4.6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2FFB" w14:textId="2BEFBBB5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1.01 (0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.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95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1.06)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9269" w14:textId="0AF44EF1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1.19 (1.12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26)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CB5E" w14:textId="65FD34C8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1.17 (1.11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24)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D7D" w14:textId="032985B5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1.14 (1.07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20)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303D77" w:rsidRPr="004E53B2" w14:paraId="355CBDA2" w14:textId="77777777" w:rsidTr="00303D77">
        <w:trPr>
          <w:trHeight w:val="360"/>
        </w:trPr>
        <w:tc>
          <w:tcPr>
            <w:tcW w:w="519" w:type="pct"/>
            <w:shd w:val="clear" w:color="auto" w:fill="auto"/>
            <w:vAlign w:val="center"/>
          </w:tcPr>
          <w:p w14:paraId="46EF74B4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TCA only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0A7C" w14:textId="6C1E6FE5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48,754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22DE" w14:textId="2A1FB6FF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5,098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72D" w14:textId="5666FA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439,207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8BCF" w14:textId="686DC938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11.6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275" w14:textId="34F8A4FA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2.37 (2.26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2.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48)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0FAD" w14:textId="598532DD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1.88 (1.80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2C46" w14:textId="3DDEB718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1.74 (1.66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82)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DC3" w14:textId="6AFB2055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1.75 (1.67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84)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303D77" w:rsidRPr="004E53B2" w14:paraId="5EEDA98D" w14:textId="77777777" w:rsidTr="00303D77">
        <w:trPr>
          <w:trHeight w:val="360"/>
        </w:trPr>
        <w:tc>
          <w:tcPr>
            <w:tcW w:w="519" w:type="pct"/>
            <w:shd w:val="clear" w:color="auto" w:fill="auto"/>
            <w:vAlign w:val="center"/>
          </w:tcPr>
          <w:p w14:paraId="41E3C7BE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S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SRI+TCA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055" w14:textId="6A92138E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41,358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D4B0" w14:textId="3F45688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2,275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4EC9" w14:textId="63C1F81B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413,002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FC3" w14:textId="56CD53AA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9E0A" w14:textId="41DDE1AA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1.12 (1.06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18)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DA4B" w14:textId="62D0C16C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1.01 (0.96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1.07)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855" w14:textId="2422F6C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0.92 (0.87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97)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CBD" w14:textId="3F1443D5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0.91 (0.86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96)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303D77" w:rsidRPr="004E53B2" w14:paraId="4FA56FCD" w14:textId="77777777" w:rsidTr="00303D77">
        <w:trPr>
          <w:trHeight w:val="360"/>
        </w:trPr>
        <w:tc>
          <w:tcPr>
            <w:tcW w:w="519" w:type="pct"/>
            <w:shd w:val="clear" w:color="auto" w:fill="auto"/>
            <w:vAlign w:val="center"/>
          </w:tcPr>
          <w:p w14:paraId="5E8E7D95" w14:textId="7777777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E53B2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 w:rsidRPr="004E53B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ther combinations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A488" w14:textId="02E10D03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115,828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25B" w14:textId="0112B5BF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5,370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BCD" w14:textId="4F8261E1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975,963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A325" w14:textId="1E0F974C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5.5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CF5" w14:textId="7826FE3C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1.13 (1.08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18)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6AA" w14:textId="2EF04881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0.97 (0.93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1.02)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26C" w14:textId="6C61E8B6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0.88 (0.84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92)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5AD4" w14:textId="077B22F7" w:rsidR="00492B81" w:rsidRPr="004E53B2" w:rsidRDefault="00492B81" w:rsidP="003C4E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0.83 (0.79</w:t>
            </w:r>
            <w:r w:rsidR="00B3274D">
              <w:rPr>
                <w:rFonts w:ascii="Times New Roman" w:eastAsia="Malgun Gothic" w:hAnsi="Times New Roman" w:cs="Times New Roman"/>
                <w:color w:val="000000"/>
              </w:rPr>
              <w:t>–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0.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</w:rPr>
              <w:t>87)</w:t>
            </w:r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</w:t>
            </w:r>
            <w:proofErr w:type="gramEnd"/>
            <w:r w:rsidR="00303D77" w:rsidRPr="00A05194">
              <w:rPr>
                <w:rFonts w:ascii="Times New Roman" w:eastAsia="Malgun Gothic" w:hAnsi="Times New Roman" w:cs="Times New Roman"/>
                <w:color w:val="000000"/>
                <w:vertAlign w:val="superscript"/>
              </w:rPr>
              <w:t>**</w:t>
            </w:r>
          </w:p>
        </w:tc>
      </w:tr>
    </w:tbl>
    <w:p w14:paraId="18BEDDD2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r w:rsidRPr="004E53B2">
        <w:rPr>
          <w:rFonts w:ascii="Times New Roman" w:eastAsia="Malgun Gothic" w:hAnsi="Times New Roman" w:cs="Times New Roman" w:hint="eastAsia"/>
          <w:szCs w:val="20"/>
        </w:rPr>
        <w:t>D</w:t>
      </w:r>
      <w:r w:rsidRPr="004E53B2">
        <w:rPr>
          <w:rFonts w:ascii="Times New Roman" w:eastAsia="Malgun Gothic" w:hAnsi="Times New Roman" w:cs="Times New Roman"/>
          <w:szCs w:val="20"/>
        </w:rPr>
        <w:t>EP, depression; SSRI, selective serotonin reuptake inhibitors; TCA, tricyclic antidepressant</w:t>
      </w:r>
    </w:p>
    <w:p w14:paraId="6D508CAA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a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 and sex</w:t>
      </w:r>
    </w:p>
    <w:p w14:paraId="46314B9F" w14:textId="77777777" w:rsidR="004E53B2" w:rsidRP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b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and Charlson comorbidity Index</w:t>
      </w:r>
    </w:p>
    <w:p w14:paraId="6C2EE1F5" w14:textId="77777777" w:rsidR="004E53B2" w:rsidRDefault="004E53B2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  <w:proofErr w:type="spellStart"/>
      <w:r w:rsidRPr="004E53B2">
        <w:rPr>
          <w:rFonts w:ascii="Times New Roman" w:eastAsia="Malgun Gothic" w:hAnsi="Times New Roman" w:cs="Times New Roman"/>
          <w:b/>
          <w:bCs/>
          <w:szCs w:val="20"/>
          <w:vertAlign w:val="superscript"/>
        </w:rPr>
        <w:t>c</w:t>
      </w:r>
      <w:r w:rsidRPr="004E53B2">
        <w:rPr>
          <w:rFonts w:ascii="Times New Roman" w:eastAsia="Malgun Gothic" w:hAnsi="Times New Roman" w:cs="Times New Roman"/>
          <w:szCs w:val="20"/>
        </w:rPr>
        <w:t>Adjusted</w:t>
      </w:r>
      <w:proofErr w:type="spellEnd"/>
      <w:r w:rsidRPr="004E53B2">
        <w:rPr>
          <w:rFonts w:ascii="Times New Roman" w:eastAsia="Malgun Gothic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</w:t>
      </w:r>
    </w:p>
    <w:p w14:paraId="25C05C94" w14:textId="77777777" w:rsidR="00A01C2C" w:rsidRPr="00214D47" w:rsidRDefault="00A01C2C" w:rsidP="00A01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p w14:paraId="41F9C326" w14:textId="77777777" w:rsidR="00A01C2C" w:rsidRPr="004E53B2" w:rsidRDefault="00A01C2C" w:rsidP="004E53B2">
      <w:pPr>
        <w:spacing w:line="240" w:lineRule="auto"/>
        <w:rPr>
          <w:rFonts w:ascii="Times New Roman" w:eastAsia="Malgun Gothic" w:hAnsi="Times New Roman" w:cs="Times New Roman"/>
          <w:szCs w:val="20"/>
        </w:rPr>
      </w:pPr>
    </w:p>
    <w:p w14:paraId="5D9F73FB" w14:textId="77777777" w:rsidR="004E53B2" w:rsidRPr="004E53B2" w:rsidRDefault="004E53B2" w:rsidP="004E53B2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49314750" w14:textId="77777777" w:rsidR="004E53B2" w:rsidRPr="004E53B2" w:rsidRDefault="004E53B2" w:rsidP="004E53B2">
      <w:pPr>
        <w:wordWrap/>
        <w:spacing w:after="0" w:line="360" w:lineRule="auto"/>
        <w:ind w:left="720" w:hanging="720"/>
        <w:jc w:val="left"/>
        <w:rPr>
          <w:rFonts w:ascii="Times New Roman" w:eastAsia="Malgun Gothic" w:hAnsi="Times New Roman" w:cs="Times New Roman"/>
          <w:noProof/>
          <w:sz w:val="24"/>
          <w:szCs w:val="24"/>
        </w:rPr>
      </w:pPr>
    </w:p>
    <w:p w14:paraId="109BCAE6" w14:textId="2C22EE19" w:rsidR="007A0AC8" w:rsidRDefault="007A0AC8" w:rsidP="00361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3AC1C8" w14:textId="671C8992" w:rsidR="007A0AC8" w:rsidRPr="00E72C63" w:rsidRDefault="007A0AC8" w:rsidP="007A0AC8">
      <w:pPr>
        <w:wordWrap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3B2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lastRenderedPageBreak/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upplementary Table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7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.</w:t>
      </w:r>
      <w:r w:rsidRPr="007A0AC8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>Hazard ratios and 95% confidence interval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4E53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type 2 diabetes among the depression patients with diagnostic codes including symptom severity  </w:t>
      </w:r>
    </w:p>
    <w:tbl>
      <w:tblPr>
        <w:tblStyle w:val="12"/>
        <w:tblW w:w="13711" w:type="dxa"/>
        <w:tblLayout w:type="fixed"/>
        <w:tblLook w:val="04A0" w:firstRow="1" w:lastRow="0" w:firstColumn="1" w:lastColumn="0" w:noHBand="0" w:noVBand="1"/>
      </w:tblPr>
      <w:tblGrid>
        <w:gridCol w:w="236"/>
        <w:gridCol w:w="1460"/>
        <w:gridCol w:w="993"/>
        <w:gridCol w:w="850"/>
        <w:gridCol w:w="992"/>
        <w:gridCol w:w="993"/>
        <w:gridCol w:w="1701"/>
        <w:gridCol w:w="1701"/>
        <w:gridCol w:w="1701"/>
        <w:gridCol w:w="1564"/>
        <w:gridCol w:w="1520"/>
      </w:tblGrid>
      <w:tr w:rsidR="007A0AC8" w:rsidRPr="0067055E" w14:paraId="06DB9C03" w14:textId="77777777" w:rsidTr="0067055E">
        <w:trPr>
          <w:trHeight w:val="284"/>
        </w:trPr>
        <w:tc>
          <w:tcPr>
            <w:tcW w:w="236" w:type="dxa"/>
            <w:vMerge w:val="restart"/>
            <w:shd w:val="clear" w:color="auto" w:fill="auto"/>
          </w:tcPr>
          <w:p w14:paraId="6B29151B" w14:textId="77777777" w:rsidR="007A0AC8" w:rsidRPr="0067055E" w:rsidRDefault="007A0AC8" w:rsidP="005B3CBF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</w:tcPr>
          <w:p w14:paraId="221BABE4" w14:textId="77777777" w:rsidR="007A0AC8" w:rsidRPr="0067055E" w:rsidRDefault="007A0AC8" w:rsidP="005B3CBF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A9DFFB4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Subjects</w:t>
            </w:r>
          </w:p>
          <w:p w14:paraId="3A6766DF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(N)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E2419E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Events (N)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FC249D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Follow-up duration (person-year)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115692F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Incidence rate</w:t>
            </w:r>
          </w:p>
          <w:p w14:paraId="0D711B3A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(Per 1000 person-years)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14:paraId="472E29CE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Hazard ratio</w:t>
            </w:r>
          </w:p>
          <w:p w14:paraId="5106A458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(95% Confidence interval)</w:t>
            </w:r>
          </w:p>
        </w:tc>
      </w:tr>
      <w:tr w:rsidR="007A0AC8" w:rsidRPr="0067055E" w14:paraId="6EE8E515" w14:textId="77777777" w:rsidTr="0067055E">
        <w:trPr>
          <w:trHeight w:val="284"/>
        </w:trPr>
        <w:tc>
          <w:tcPr>
            <w:tcW w:w="236" w:type="dxa"/>
            <w:vMerge/>
            <w:shd w:val="clear" w:color="auto" w:fill="auto"/>
          </w:tcPr>
          <w:p w14:paraId="31FCE2FA" w14:textId="77777777" w:rsidR="007A0AC8" w:rsidRPr="0067055E" w:rsidRDefault="007A0AC8" w:rsidP="005B3CBF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4D9C5A06" w14:textId="77777777" w:rsidR="007A0AC8" w:rsidRPr="0067055E" w:rsidRDefault="007A0AC8" w:rsidP="005B3CBF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23683C8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6A3CD8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ACCBE5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16B4C1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1090A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Crude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4A823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1</w:t>
            </w: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328F2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2</w:t>
            </w: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96AAC6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3</w:t>
            </w: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522461E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4</w:t>
            </w:r>
            <w:r w:rsidRPr="006705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d</w:t>
            </w:r>
          </w:p>
        </w:tc>
      </w:tr>
      <w:tr w:rsidR="007A0AC8" w:rsidRPr="0067055E" w14:paraId="422A2F37" w14:textId="77777777" w:rsidTr="0067055E">
        <w:trPr>
          <w:trHeight w:val="284"/>
        </w:trPr>
        <w:tc>
          <w:tcPr>
            <w:tcW w:w="1696" w:type="dxa"/>
            <w:gridSpan w:val="2"/>
            <w:shd w:val="clear" w:color="auto" w:fill="auto"/>
          </w:tcPr>
          <w:p w14:paraId="77A93DF4" w14:textId="77777777" w:rsidR="007A0AC8" w:rsidRPr="0067055E" w:rsidRDefault="007A0AC8" w:rsidP="005B3CBF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AA610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81875C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329C34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9F512F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A26D4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B07A0A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6C878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98580BB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1A8574E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AC8" w:rsidRPr="0067055E" w14:paraId="2AB30E10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67622FB0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</w:tcPr>
          <w:p w14:paraId="3CCC638E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Healthy controls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18A7" w14:textId="4665014D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276,048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EE3" w14:textId="25B0F529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24,577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7121" w14:textId="49C88A2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3,954,318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E56" w14:textId="45D7AA50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2A0CB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66C9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6FB18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5BABE6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7DE6AC5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</w:tr>
      <w:tr w:rsidR="007A0AC8" w:rsidRPr="0067055E" w14:paraId="32A42649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322F5773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14:paraId="5D3AB63C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 xml:space="preserve">DEP with </w:t>
            </w:r>
            <w:proofErr w:type="spellStart"/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antidepressants</w:t>
            </w:r>
            <w:r w:rsidRPr="0067055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055F" w14:textId="2763DBE1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144,538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E4BB" w14:textId="6AC737B1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9DE4" w14:textId="47C43670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1,150,379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A5C" w14:textId="1726EE8E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196A" w14:textId="2F164BF0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1.03 (1.00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B314" w14:textId="1D53B25B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1.02 (0.99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C941" w14:textId="2EB95627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0.92 (0.89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95)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84ED" w14:textId="65EFF245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0.83 (0.79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86)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486B" w14:textId="20FA75C9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0.81 (0.77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85)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7A0AC8" w:rsidRPr="0067055E" w14:paraId="20BB7778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5E5D8A32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B8B89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 xml:space="preserve">DEP without </w:t>
            </w:r>
            <w:proofErr w:type="spellStart"/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antidepressants</w:t>
            </w:r>
            <w:r w:rsidRPr="0067055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EBC7" w14:textId="5975D15F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38,777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F13" w14:textId="202EAEF1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511" w14:textId="47906D5A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293,745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2CDB" w14:textId="6F0BE664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CC0B" w14:textId="1713F15A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0.79 (0.75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84)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667C" w14:textId="013A2565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0.85 (0.81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90)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8E7E" w14:textId="172AF46F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0.82 (0.78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87)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3E6" w14:textId="412E1C24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0.75 (0.71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80)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2627" w14:textId="4385584A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0.74 (0.69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79)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7A0AC8" w:rsidRPr="0067055E" w14:paraId="666643F3" w14:textId="77777777" w:rsidTr="0067055E">
        <w:trPr>
          <w:trHeight w:val="284"/>
        </w:trPr>
        <w:tc>
          <w:tcPr>
            <w:tcW w:w="1696" w:type="dxa"/>
            <w:gridSpan w:val="2"/>
            <w:shd w:val="clear" w:color="auto" w:fill="auto"/>
          </w:tcPr>
          <w:p w14:paraId="52E2ED24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 xml:space="preserve">Symptom severity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060E8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29487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88B645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C52386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096D4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74A56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4BA0E2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967B732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AEBE2BE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AC8" w:rsidRPr="0067055E" w14:paraId="49FF349C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7C49B291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</w:tcPr>
          <w:p w14:paraId="32545718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Mild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547" w14:textId="02C7D041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86,093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287" w14:textId="27F73D7C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3,804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095" w14:textId="079AC4BE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682,709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5B3" w14:textId="7D2AD24F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155E5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8E435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79552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2F80E46" w14:textId="77777777" w:rsidR="007A0AC8" w:rsidRPr="0067055E" w:rsidRDefault="007A0AC8" w:rsidP="007A0AC8">
            <w:pPr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14833FD" w14:textId="77777777" w:rsidR="007A0AC8" w:rsidRPr="0067055E" w:rsidRDefault="007A0AC8" w:rsidP="007A0AC8">
            <w:pPr>
              <w:wordWrap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 (Ref.)</w:t>
            </w:r>
          </w:p>
        </w:tc>
      </w:tr>
      <w:tr w:rsidR="007A0AC8" w:rsidRPr="0067055E" w14:paraId="2E03A937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5E9226A2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</w:tcPr>
          <w:p w14:paraId="27E101B9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ED1F" w14:textId="0BF78A22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72,925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B314" w14:textId="3280FE7D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0A3" w14:textId="08C32BB6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573,398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F3CD" w14:textId="5EB61DA3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B6FE" w14:textId="731ED765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0.95 (0.90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99)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02921EF8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BACAC3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B017D4D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B103" w14:textId="6D98F887" w:rsidR="007A0AC8" w:rsidRPr="0067055E" w:rsidRDefault="007A0AC8" w:rsidP="007A0AC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1.05 (1.00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</w:t>
            </w:r>
            <w:proofErr w:type="gramStart"/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10)</w:t>
            </w:r>
            <w:r w:rsidR="0067055E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A0AC8" w:rsidRPr="0067055E" w14:paraId="6D4C6842" w14:textId="77777777" w:rsidTr="0067055E">
        <w:trPr>
          <w:trHeight w:val="284"/>
        </w:trPr>
        <w:tc>
          <w:tcPr>
            <w:tcW w:w="236" w:type="dxa"/>
            <w:shd w:val="clear" w:color="auto" w:fill="auto"/>
          </w:tcPr>
          <w:p w14:paraId="5D7F76D3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</w:tcPr>
          <w:p w14:paraId="7DFE604E" w14:textId="77777777" w:rsidR="007A0AC8" w:rsidRPr="0067055E" w:rsidRDefault="007A0AC8" w:rsidP="007A0AC8">
            <w:pPr>
              <w:wordWrap/>
              <w:rPr>
                <w:rFonts w:ascii="Times New Roman" w:hAnsi="Times New Roman" w:cs="Times New Roman"/>
                <w:sz w:val="16"/>
                <w:szCs w:val="16"/>
              </w:rPr>
            </w:pPr>
            <w:r w:rsidRPr="0067055E">
              <w:rPr>
                <w:rFonts w:ascii="Times New Roman" w:hAnsi="Times New Roman" w:cs="Times New Roman"/>
                <w:sz w:val="16"/>
                <w:szCs w:val="16"/>
              </w:rPr>
              <w:t>Severe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081" w14:textId="770A94D3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24,297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AB8D" w14:textId="4A8EF2B8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467E" w14:textId="1A374413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188,017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CCC" w14:textId="1FF2DEE3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1C9A" w14:textId="454B3CE1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1.03 (0.96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50627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E9FE94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DD849B6" w14:textId="77777777" w:rsidR="007A0AC8" w:rsidRPr="0067055E" w:rsidRDefault="007A0AC8" w:rsidP="007A0AC8">
            <w:pPr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BB5" w14:textId="1BACCB8B" w:rsidR="007A0AC8" w:rsidRPr="0067055E" w:rsidRDefault="007A0AC8" w:rsidP="007A0AC8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1.03 (0.96</w:t>
            </w:r>
            <w:r w:rsidR="00BF2D82"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–</w:t>
            </w:r>
            <w:r w:rsidRPr="0067055E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1.11)</w:t>
            </w:r>
          </w:p>
        </w:tc>
      </w:tr>
    </w:tbl>
    <w:p w14:paraId="27488D16" w14:textId="77777777" w:rsidR="007A0AC8" w:rsidRPr="003E1F6A" w:rsidRDefault="007A0AC8" w:rsidP="007A0AC8">
      <w:pPr>
        <w:wordWrap/>
        <w:spacing w:before="100" w:after="0" w:line="360" w:lineRule="auto"/>
        <w:rPr>
          <w:rFonts w:ascii="Times New Roman" w:hAnsi="Times New Roman" w:cs="Times New Roman"/>
          <w:szCs w:val="20"/>
          <w:vertAlign w:val="superscript"/>
        </w:rPr>
      </w:pPr>
      <w:r w:rsidRPr="003E1F6A">
        <w:rPr>
          <w:rFonts w:ascii="Times New Roman" w:hAnsi="Times New Roman" w:cs="Times New Roman" w:hint="eastAsia"/>
          <w:szCs w:val="20"/>
        </w:rPr>
        <w:t>D</w:t>
      </w:r>
      <w:r w:rsidRPr="003E1F6A">
        <w:rPr>
          <w:rFonts w:ascii="Times New Roman" w:hAnsi="Times New Roman" w:cs="Times New Roman"/>
          <w:szCs w:val="20"/>
        </w:rPr>
        <w:t>EP = depression.</w:t>
      </w:r>
    </w:p>
    <w:p w14:paraId="2559480E" w14:textId="77777777" w:rsidR="007A0AC8" w:rsidRPr="003E1F6A" w:rsidRDefault="007A0AC8" w:rsidP="007A0AC8">
      <w:pPr>
        <w:wordWrap/>
        <w:spacing w:after="0" w:line="360" w:lineRule="auto"/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b/>
          <w:bCs/>
          <w:szCs w:val="20"/>
          <w:vertAlign w:val="superscript"/>
        </w:rPr>
        <w:t>a</w:t>
      </w:r>
      <w:r w:rsidRPr="003E1F6A">
        <w:rPr>
          <w:rFonts w:ascii="Times New Roman" w:hAnsi="Times New Roman" w:cs="Times New Roman"/>
          <w:szCs w:val="20"/>
        </w:rPr>
        <w:t>Adjusted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for age (years) and sex.</w:t>
      </w:r>
    </w:p>
    <w:p w14:paraId="6D2E0A5D" w14:textId="77777777" w:rsidR="007A0AC8" w:rsidRPr="003E1F6A" w:rsidRDefault="007A0AC8" w:rsidP="007A0AC8">
      <w:pPr>
        <w:wordWrap/>
        <w:spacing w:after="0" w:line="360" w:lineRule="auto"/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b/>
          <w:bCs/>
          <w:szCs w:val="20"/>
          <w:vertAlign w:val="superscript"/>
        </w:rPr>
        <w:t>b</w:t>
      </w:r>
      <w:r w:rsidRPr="003E1F6A">
        <w:rPr>
          <w:rFonts w:ascii="Times New Roman" w:hAnsi="Times New Roman" w:cs="Times New Roman"/>
          <w:szCs w:val="20"/>
        </w:rPr>
        <w:t>Adjusted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for age (years), sex, and Charlson comorbidity Index.</w:t>
      </w:r>
    </w:p>
    <w:p w14:paraId="1A50845A" w14:textId="77777777" w:rsidR="007A0AC8" w:rsidRPr="003E1F6A" w:rsidRDefault="007A0AC8" w:rsidP="007A0AC8">
      <w:pPr>
        <w:wordWrap/>
        <w:spacing w:after="0" w:line="360" w:lineRule="auto"/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b/>
          <w:bCs/>
          <w:szCs w:val="20"/>
          <w:vertAlign w:val="superscript"/>
        </w:rPr>
        <w:t>c</w:t>
      </w:r>
      <w:r w:rsidRPr="003E1F6A">
        <w:rPr>
          <w:rFonts w:ascii="Times New Roman" w:hAnsi="Times New Roman" w:cs="Times New Roman"/>
          <w:szCs w:val="20"/>
        </w:rPr>
        <w:t>Adjusted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and zolpidem use.</w:t>
      </w:r>
    </w:p>
    <w:p w14:paraId="1DF24032" w14:textId="77777777" w:rsidR="007A0AC8" w:rsidRPr="003E1F6A" w:rsidRDefault="007A0AC8" w:rsidP="007A0AC8">
      <w:pPr>
        <w:wordWrap/>
        <w:spacing w:after="0" w:line="360" w:lineRule="auto"/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b/>
          <w:bCs/>
          <w:szCs w:val="20"/>
          <w:vertAlign w:val="superscript"/>
        </w:rPr>
        <w:t>d</w:t>
      </w:r>
      <w:r w:rsidRPr="003E1F6A">
        <w:rPr>
          <w:rFonts w:ascii="Times New Roman" w:hAnsi="Times New Roman" w:cs="Times New Roman"/>
          <w:szCs w:val="20"/>
        </w:rPr>
        <w:t>Adjusted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for age (years), sex, Charlson comorbidity index, income, disability, personality disorders, antipsychotic use, benzodiazepine use, stimulant use, mood stabilizer use, zolpidem use, and symptom severity</w:t>
      </w:r>
    </w:p>
    <w:p w14:paraId="71958D49" w14:textId="77777777" w:rsidR="007A0AC8" w:rsidRPr="003E1F6A" w:rsidRDefault="007A0AC8" w:rsidP="007A0AC8">
      <w:pPr>
        <w:wordWrap/>
        <w:spacing w:after="0" w:line="360" w:lineRule="auto"/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szCs w:val="20"/>
          <w:vertAlign w:val="superscript"/>
        </w:rPr>
        <w:t>e</w:t>
      </w:r>
      <w:r w:rsidRPr="003E1F6A">
        <w:rPr>
          <w:rFonts w:ascii="Times New Roman" w:hAnsi="Times New Roman" w:cs="Times New Roman"/>
          <w:szCs w:val="20"/>
        </w:rPr>
        <w:t>Subjects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who </w:t>
      </w:r>
      <w:r w:rsidRPr="003E1F6A">
        <w:rPr>
          <w:rFonts w:ascii="Times New Roman" w:hAnsi="Times New Roman" w:cs="Times New Roman" w:hint="eastAsia"/>
          <w:szCs w:val="20"/>
        </w:rPr>
        <w:t xml:space="preserve">had </w:t>
      </w:r>
      <w:r w:rsidRPr="003E1F6A">
        <w:rPr>
          <w:rFonts w:ascii="Times New Roman" w:hAnsi="Times New Roman" w:cs="Times New Roman"/>
          <w:szCs w:val="20"/>
        </w:rPr>
        <w:t>been diagnosed with depression and prescribed antidepressants.</w:t>
      </w:r>
    </w:p>
    <w:p w14:paraId="115A2288" w14:textId="77777777" w:rsidR="007A0AC8" w:rsidRDefault="007A0AC8" w:rsidP="007A0AC8">
      <w:pPr>
        <w:rPr>
          <w:rFonts w:ascii="Times New Roman" w:hAnsi="Times New Roman" w:cs="Times New Roman"/>
          <w:szCs w:val="20"/>
        </w:rPr>
      </w:pPr>
      <w:proofErr w:type="spellStart"/>
      <w:r w:rsidRPr="003E1F6A">
        <w:rPr>
          <w:rFonts w:ascii="Times New Roman" w:hAnsi="Times New Roman" w:cs="Times New Roman"/>
          <w:szCs w:val="20"/>
          <w:vertAlign w:val="superscript"/>
        </w:rPr>
        <w:t>f</w:t>
      </w:r>
      <w:r w:rsidRPr="003E1F6A">
        <w:rPr>
          <w:rFonts w:ascii="Times New Roman" w:hAnsi="Times New Roman" w:cs="Times New Roman"/>
          <w:szCs w:val="20"/>
        </w:rPr>
        <w:t>Subjects</w:t>
      </w:r>
      <w:proofErr w:type="spellEnd"/>
      <w:r w:rsidRPr="003E1F6A">
        <w:rPr>
          <w:rFonts w:ascii="Times New Roman" w:hAnsi="Times New Roman" w:cs="Times New Roman"/>
          <w:szCs w:val="20"/>
        </w:rPr>
        <w:t xml:space="preserve"> who had been diagnosed with depression but not prescribed antidepressants.</w:t>
      </w:r>
    </w:p>
    <w:p w14:paraId="53151105" w14:textId="66AF5B7B" w:rsidR="00821708" w:rsidRPr="007A0AC8" w:rsidRDefault="00A01C2C" w:rsidP="00822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&lt;0.05,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 xml:space="preserve">&lt;0.01, </w:t>
      </w:r>
      <w:r w:rsidRPr="00A05194">
        <w:rPr>
          <w:rFonts w:ascii="Times New Roman" w:eastAsia="Malgun Gothic" w:hAnsi="Times New Roman" w:cs="Times New Roman"/>
          <w:color w:val="000000"/>
          <w:vertAlign w:val="superscript"/>
        </w:rPr>
        <w:t>***</w:t>
      </w:r>
      <w:r w:rsidRPr="00A05194">
        <w:rPr>
          <w:rFonts w:ascii="Times New Roman" w:eastAsia="Malgun Gothic" w:hAnsi="Times New Roman" w:cs="Times New Roman"/>
          <w:i/>
          <w:iCs/>
          <w:color w:val="000000"/>
        </w:rPr>
        <w:t>P</w:t>
      </w:r>
      <w:r>
        <w:rPr>
          <w:rFonts w:ascii="Times New Roman" w:eastAsia="Malgun Gothic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Malgun Gothic" w:hAnsi="Times New Roman" w:cs="Times New Roman"/>
          <w:color w:val="000000"/>
        </w:rPr>
        <w:t>&lt;0.001</w:t>
      </w:r>
    </w:p>
    <w:sectPr w:rsidR="00821708" w:rsidRPr="007A0AC8" w:rsidSect="00374DB7">
      <w:footerReference w:type="default" r:id="rId10"/>
      <w:pgSz w:w="16838" w:h="11906" w:orient="landscape"/>
      <w:pgMar w:top="1440" w:right="1440" w:bottom="1440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2480" w14:textId="77777777" w:rsidR="007E098D" w:rsidRDefault="007E098D" w:rsidP="000055B9">
      <w:pPr>
        <w:spacing w:after="0" w:line="240" w:lineRule="auto"/>
      </w:pPr>
      <w:r>
        <w:separator/>
      </w:r>
    </w:p>
  </w:endnote>
  <w:endnote w:type="continuationSeparator" w:id="0">
    <w:p w14:paraId="33E72A85" w14:textId="77777777" w:rsidR="007E098D" w:rsidRDefault="007E098D" w:rsidP="000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0289ADD2" w14:textId="77777777" w:rsidR="00EF26EC" w:rsidRDefault="00B278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2B2D">
          <w:rPr>
            <w:noProof/>
            <w:lang w:val="ko-KR"/>
          </w:rPr>
          <w:t>30</w:t>
        </w:r>
        <w:r>
          <w:rPr>
            <w:noProof/>
            <w:lang w:val="ko-KR"/>
          </w:rPr>
          <w:fldChar w:fldCharType="end"/>
        </w:r>
      </w:p>
    </w:sdtContent>
  </w:sdt>
  <w:p w14:paraId="76DDF806" w14:textId="77777777" w:rsidR="00EF26EC" w:rsidRDefault="00EF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313B" w14:textId="77777777" w:rsidR="007E098D" w:rsidRDefault="007E098D" w:rsidP="000055B9">
      <w:pPr>
        <w:spacing w:after="0" w:line="240" w:lineRule="auto"/>
      </w:pPr>
      <w:r>
        <w:separator/>
      </w:r>
    </w:p>
  </w:footnote>
  <w:footnote w:type="continuationSeparator" w:id="0">
    <w:p w14:paraId="2B9EA727" w14:textId="77777777" w:rsidR="007E098D" w:rsidRDefault="007E098D" w:rsidP="0000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2B0"/>
    <w:multiLevelType w:val="hybridMultilevel"/>
    <w:tmpl w:val="31B42E52"/>
    <w:lvl w:ilvl="0" w:tplc="FFFFFFFF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C76EA5"/>
    <w:multiLevelType w:val="hybridMultilevel"/>
    <w:tmpl w:val="3920F8D0"/>
    <w:lvl w:ilvl="0" w:tplc="A9A219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32353B"/>
    <w:multiLevelType w:val="hybridMultilevel"/>
    <w:tmpl w:val="31B42E52"/>
    <w:lvl w:ilvl="0" w:tplc="361ACC6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1521AF"/>
    <w:multiLevelType w:val="hybridMultilevel"/>
    <w:tmpl w:val="9F760DFC"/>
    <w:lvl w:ilvl="0" w:tplc="E666530E">
      <w:start w:val="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1A03AD"/>
    <w:multiLevelType w:val="hybridMultilevel"/>
    <w:tmpl w:val="39946AE2"/>
    <w:lvl w:ilvl="0" w:tplc="4BC8882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C33BF6"/>
    <w:multiLevelType w:val="hybridMultilevel"/>
    <w:tmpl w:val="21B45A26"/>
    <w:lvl w:ilvl="0" w:tplc="955E9C5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64AD5"/>
    <w:multiLevelType w:val="hybridMultilevel"/>
    <w:tmpl w:val="730E6B7A"/>
    <w:lvl w:ilvl="0" w:tplc="A3521D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80"/>
    <w:rsid w:val="000055B9"/>
    <w:rsid w:val="00012AD5"/>
    <w:rsid w:val="00016F46"/>
    <w:rsid w:val="00021A21"/>
    <w:rsid w:val="000234A7"/>
    <w:rsid w:val="00024361"/>
    <w:rsid w:val="000327B1"/>
    <w:rsid w:val="00033F1B"/>
    <w:rsid w:val="00041FEA"/>
    <w:rsid w:val="00045EEF"/>
    <w:rsid w:val="00076A91"/>
    <w:rsid w:val="00080E06"/>
    <w:rsid w:val="00085237"/>
    <w:rsid w:val="000A7623"/>
    <w:rsid w:val="000B17A6"/>
    <w:rsid w:val="000B6954"/>
    <w:rsid w:val="000D0FAA"/>
    <w:rsid w:val="000D6261"/>
    <w:rsid w:val="000E184E"/>
    <w:rsid w:val="000E3335"/>
    <w:rsid w:val="000F2F5A"/>
    <w:rsid w:val="001107CB"/>
    <w:rsid w:val="00110E0A"/>
    <w:rsid w:val="00122F11"/>
    <w:rsid w:val="0013208E"/>
    <w:rsid w:val="00141879"/>
    <w:rsid w:val="00146029"/>
    <w:rsid w:val="0015231C"/>
    <w:rsid w:val="0015704D"/>
    <w:rsid w:val="001741C2"/>
    <w:rsid w:val="0018575A"/>
    <w:rsid w:val="00195D37"/>
    <w:rsid w:val="001B0E24"/>
    <w:rsid w:val="001B6EB8"/>
    <w:rsid w:val="001B7BB5"/>
    <w:rsid w:val="001C19EE"/>
    <w:rsid w:val="001E7352"/>
    <w:rsid w:val="001F62AA"/>
    <w:rsid w:val="0020081D"/>
    <w:rsid w:val="002018AD"/>
    <w:rsid w:val="00222A4C"/>
    <w:rsid w:val="00235BCC"/>
    <w:rsid w:val="00235C8A"/>
    <w:rsid w:val="00235F94"/>
    <w:rsid w:val="00252CE7"/>
    <w:rsid w:val="00260878"/>
    <w:rsid w:val="00261E61"/>
    <w:rsid w:val="00275970"/>
    <w:rsid w:val="00290AFE"/>
    <w:rsid w:val="00291B3E"/>
    <w:rsid w:val="00294542"/>
    <w:rsid w:val="002B56A0"/>
    <w:rsid w:val="002B76FF"/>
    <w:rsid w:val="002C6248"/>
    <w:rsid w:val="002C79DE"/>
    <w:rsid w:val="00303D77"/>
    <w:rsid w:val="00342A8C"/>
    <w:rsid w:val="00347B3B"/>
    <w:rsid w:val="0036138A"/>
    <w:rsid w:val="00372435"/>
    <w:rsid w:val="003801A7"/>
    <w:rsid w:val="003902E0"/>
    <w:rsid w:val="0039117B"/>
    <w:rsid w:val="00391949"/>
    <w:rsid w:val="00395FB7"/>
    <w:rsid w:val="003B38EE"/>
    <w:rsid w:val="003C4E6E"/>
    <w:rsid w:val="003D0B04"/>
    <w:rsid w:val="003F1E78"/>
    <w:rsid w:val="004068E1"/>
    <w:rsid w:val="00420B81"/>
    <w:rsid w:val="00422752"/>
    <w:rsid w:val="00442C10"/>
    <w:rsid w:val="004656AC"/>
    <w:rsid w:val="00466580"/>
    <w:rsid w:val="00472E0F"/>
    <w:rsid w:val="00487579"/>
    <w:rsid w:val="00492B81"/>
    <w:rsid w:val="004B1185"/>
    <w:rsid w:val="004C6DF3"/>
    <w:rsid w:val="004D16D3"/>
    <w:rsid w:val="004E3A9B"/>
    <w:rsid w:val="004E53B2"/>
    <w:rsid w:val="004F5BF4"/>
    <w:rsid w:val="004F6DBE"/>
    <w:rsid w:val="005067D9"/>
    <w:rsid w:val="0051248B"/>
    <w:rsid w:val="00514BFE"/>
    <w:rsid w:val="005213EB"/>
    <w:rsid w:val="00544852"/>
    <w:rsid w:val="0055238F"/>
    <w:rsid w:val="00557FF4"/>
    <w:rsid w:val="005700F7"/>
    <w:rsid w:val="00572420"/>
    <w:rsid w:val="005816A6"/>
    <w:rsid w:val="005854F6"/>
    <w:rsid w:val="0058604E"/>
    <w:rsid w:val="00587D6B"/>
    <w:rsid w:val="00597BD6"/>
    <w:rsid w:val="005A6C2A"/>
    <w:rsid w:val="005B73E7"/>
    <w:rsid w:val="005D3693"/>
    <w:rsid w:val="005D7273"/>
    <w:rsid w:val="00616FB1"/>
    <w:rsid w:val="00627441"/>
    <w:rsid w:val="00630812"/>
    <w:rsid w:val="006364CB"/>
    <w:rsid w:val="00646B1D"/>
    <w:rsid w:val="00647125"/>
    <w:rsid w:val="006645CE"/>
    <w:rsid w:val="0067055E"/>
    <w:rsid w:val="00677A33"/>
    <w:rsid w:val="00683498"/>
    <w:rsid w:val="0069115D"/>
    <w:rsid w:val="0069548D"/>
    <w:rsid w:val="00696780"/>
    <w:rsid w:val="006A4578"/>
    <w:rsid w:val="006C601E"/>
    <w:rsid w:val="006C7641"/>
    <w:rsid w:val="006D6CCA"/>
    <w:rsid w:val="006F5F9C"/>
    <w:rsid w:val="006F7331"/>
    <w:rsid w:val="007018CD"/>
    <w:rsid w:val="00711935"/>
    <w:rsid w:val="00732142"/>
    <w:rsid w:val="00732437"/>
    <w:rsid w:val="00733913"/>
    <w:rsid w:val="007353CE"/>
    <w:rsid w:val="00750EBF"/>
    <w:rsid w:val="00752139"/>
    <w:rsid w:val="00761D41"/>
    <w:rsid w:val="0076331D"/>
    <w:rsid w:val="007645F3"/>
    <w:rsid w:val="007859E8"/>
    <w:rsid w:val="00794B55"/>
    <w:rsid w:val="00795098"/>
    <w:rsid w:val="007A0AC8"/>
    <w:rsid w:val="007A51F5"/>
    <w:rsid w:val="007A5AE2"/>
    <w:rsid w:val="007B0D90"/>
    <w:rsid w:val="007B2AF0"/>
    <w:rsid w:val="007B2D5F"/>
    <w:rsid w:val="007B3B7C"/>
    <w:rsid w:val="007E098D"/>
    <w:rsid w:val="00803324"/>
    <w:rsid w:val="008065DB"/>
    <w:rsid w:val="00810B74"/>
    <w:rsid w:val="00821708"/>
    <w:rsid w:val="0082205A"/>
    <w:rsid w:val="0082633F"/>
    <w:rsid w:val="008744C6"/>
    <w:rsid w:val="00874DA0"/>
    <w:rsid w:val="00887DF9"/>
    <w:rsid w:val="008A4BA6"/>
    <w:rsid w:val="008B05E5"/>
    <w:rsid w:val="008B469C"/>
    <w:rsid w:val="008B7F76"/>
    <w:rsid w:val="008C44BC"/>
    <w:rsid w:val="008E5A98"/>
    <w:rsid w:val="00917E55"/>
    <w:rsid w:val="00931BEA"/>
    <w:rsid w:val="0096294E"/>
    <w:rsid w:val="00981EC4"/>
    <w:rsid w:val="009D6B6D"/>
    <w:rsid w:val="009E5BBB"/>
    <w:rsid w:val="009E5C49"/>
    <w:rsid w:val="00A01C2C"/>
    <w:rsid w:val="00A03EE4"/>
    <w:rsid w:val="00A0451E"/>
    <w:rsid w:val="00A14266"/>
    <w:rsid w:val="00A144FE"/>
    <w:rsid w:val="00A21149"/>
    <w:rsid w:val="00A30D70"/>
    <w:rsid w:val="00A36BBE"/>
    <w:rsid w:val="00A43BB9"/>
    <w:rsid w:val="00A52C55"/>
    <w:rsid w:val="00A63F4F"/>
    <w:rsid w:val="00AA18F7"/>
    <w:rsid w:val="00AA6825"/>
    <w:rsid w:val="00AB625D"/>
    <w:rsid w:val="00AC0A2B"/>
    <w:rsid w:val="00AD26B2"/>
    <w:rsid w:val="00AD7050"/>
    <w:rsid w:val="00AE09FB"/>
    <w:rsid w:val="00AE625B"/>
    <w:rsid w:val="00AF2C0E"/>
    <w:rsid w:val="00B029D0"/>
    <w:rsid w:val="00B107B7"/>
    <w:rsid w:val="00B12F6F"/>
    <w:rsid w:val="00B16952"/>
    <w:rsid w:val="00B27883"/>
    <w:rsid w:val="00B3274D"/>
    <w:rsid w:val="00B45D36"/>
    <w:rsid w:val="00B57BAE"/>
    <w:rsid w:val="00B76F70"/>
    <w:rsid w:val="00B94651"/>
    <w:rsid w:val="00B95784"/>
    <w:rsid w:val="00BA44D0"/>
    <w:rsid w:val="00BC036D"/>
    <w:rsid w:val="00BD1D62"/>
    <w:rsid w:val="00BF2631"/>
    <w:rsid w:val="00BF2D82"/>
    <w:rsid w:val="00C062DB"/>
    <w:rsid w:val="00C121C9"/>
    <w:rsid w:val="00C21072"/>
    <w:rsid w:val="00C23387"/>
    <w:rsid w:val="00C45BFB"/>
    <w:rsid w:val="00C4616A"/>
    <w:rsid w:val="00C87F3C"/>
    <w:rsid w:val="00C96DCE"/>
    <w:rsid w:val="00CD08C3"/>
    <w:rsid w:val="00CD24B0"/>
    <w:rsid w:val="00CD7470"/>
    <w:rsid w:val="00CE03C8"/>
    <w:rsid w:val="00CE472C"/>
    <w:rsid w:val="00CF614F"/>
    <w:rsid w:val="00CF756A"/>
    <w:rsid w:val="00D0114E"/>
    <w:rsid w:val="00D15741"/>
    <w:rsid w:val="00D24247"/>
    <w:rsid w:val="00D306A5"/>
    <w:rsid w:val="00D3109B"/>
    <w:rsid w:val="00D3121A"/>
    <w:rsid w:val="00D36F21"/>
    <w:rsid w:val="00D43CF0"/>
    <w:rsid w:val="00D57E82"/>
    <w:rsid w:val="00D60563"/>
    <w:rsid w:val="00D6296D"/>
    <w:rsid w:val="00D674A0"/>
    <w:rsid w:val="00D676CF"/>
    <w:rsid w:val="00D77AE7"/>
    <w:rsid w:val="00D923F2"/>
    <w:rsid w:val="00DA33C2"/>
    <w:rsid w:val="00DB4F65"/>
    <w:rsid w:val="00DC0135"/>
    <w:rsid w:val="00DC2429"/>
    <w:rsid w:val="00DD256C"/>
    <w:rsid w:val="00DE4FA7"/>
    <w:rsid w:val="00DF37E8"/>
    <w:rsid w:val="00E27761"/>
    <w:rsid w:val="00E43CFF"/>
    <w:rsid w:val="00E462E8"/>
    <w:rsid w:val="00E47DDB"/>
    <w:rsid w:val="00E51D6A"/>
    <w:rsid w:val="00E5413F"/>
    <w:rsid w:val="00E65F3F"/>
    <w:rsid w:val="00E7174D"/>
    <w:rsid w:val="00E81BBE"/>
    <w:rsid w:val="00E83602"/>
    <w:rsid w:val="00E856E1"/>
    <w:rsid w:val="00EA0DCD"/>
    <w:rsid w:val="00EA3638"/>
    <w:rsid w:val="00EB0C8F"/>
    <w:rsid w:val="00EC2996"/>
    <w:rsid w:val="00EC4893"/>
    <w:rsid w:val="00EE2656"/>
    <w:rsid w:val="00EE3D8B"/>
    <w:rsid w:val="00EF26EC"/>
    <w:rsid w:val="00EF4CA4"/>
    <w:rsid w:val="00EF598F"/>
    <w:rsid w:val="00EF5C2E"/>
    <w:rsid w:val="00F2775F"/>
    <w:rsid w:val="00F4565B"/>
    <w:rsid w:val="00F4583D"/>
    <w:rsid w:val="00F46500"/>
    <w:rsid w:val="00F671C8"/>
    <w:rsid w:val="00F70FF2"/>
    <w:rsid w:val="00F76824"/>
    <w:rsid w:val="00F81C3C"/>
    <w:rsid w:val="00F9568A"/>
    <w:rsid w:val="00FA6023"/>
    <w:rsid w:val="00FB0018"/>
    <w:rsid w:val="00FB1F96"/>
    <w:rsid w:val="00FC3504"/>
    <w:rsid w:val="00FC5FD2"/>
    <w:rsid w:val="00FD7C4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BAA15"/>
  <w15:chartTrackingRefBased/>
  <w15:docId w15:val="{2A5ACB8B-77FE-4CB2-BB3A-3F931E9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B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055B9"/>
  </w:style>
  <w:style w:type="paragraph" w:styleId="Footer">
    <w:name w:val="footer"/>
    <w:basedOn w:val="Normal"/>
    <w:link w:val="FooterChar"/>
    <w:uiPriority w:val="99"/>
    <w:unhideWhenUsed/>
    <w:rsid w:val="000055B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055B9"/>
  </w:style>
  <w:style w:type="paragraph" w:styleId="ListParagraph">
    <w:name w:val="List Paragraph"/>
    <w:basedOn w:val="Normal"/>
    <w:uiPriority w:val="34"/>
    <w:qFormat/>
    <w:rsid w:val="006D6CCA"/>
    <w:pPr>
      <w:ind w:leftChars="400" w:left="800"/>
    </w:pPr>
  </w:style>
  <w:style w:type="numbering" w:customStyle="1" w:styleId="1">
    <w:name w:val="목록 없음1"/>
    <w:next w:val="NoList"/>
    <w:uiPriority w:val="99"/>
    <w:semiHidden/>
    <w:unhideWhenUsed/>
    <w:rsid w:val="004E53B2"/>
  </w:style>
  <w:style w:type="paragraph" w:customStyle="1" w:styleId="EndNoteBibliographyTitle">
    <w:name w:val="EndNote Bibliography Title"/>
    <w:basedOn w:val="Normal"/>
    <w:link w:val="EndNoteBibliographyTitleChar"/>
    <w:rsid w:val="004E53B2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53B2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4E53B2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E53B2"/>
    <w:rPr>
      <w:rFonts w:ascii="Malgun Gothic" w:eastAsia="Malgun Gothic" w:hAnsi="Malgun Gothic"/>
      <w:noProof/>
    </w:rPr>
  </w:style>
  <w:style w:type="paragraph" w:styleId="BodyTextIndent">
    <w:name w:val="Body Text Indent"/>
    <w:basedOn w:val="Normal"/>
    <w:link w:val="BodyTextIndentChar"/>
    <w:uiPriority w:val="99"/>
    <w:rsid w:val="004E53B2"/>
    <w:pPr>
      <w:spacing w:after="0" w:line="240" w:lineRule="auto"/>
    </w:pPr>
    <w:rPr>
      <w:rFonts w:ascii="Batang" w:eastAsia="Batang" w:hAnsi="Times New Roman" w:cs="Times New Roman"/>
      <w:kern w:val="0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53B2"/>
    <w:rPr>
      <w:rFonts w:ascii="Batang" w:eastAsia="Batang" w:hAnsi="Times New Roman" w:cs="Times New Roman"/>
      <w:kern w:val="0"/>
      <w:sz w:val="40"/>
      <w:szCs w:val="20"/>
    </w:rPr>
  </w:style>
  <w:style w:type="paragraph" w:customStyle="1" w:styleId="10">
    <w:name w:val="풍선 도움말 텍스트1"/>
    <w:basedOn w:val="Normal"/>
    <w:next w:val="BalloonText"/>
    <w:link w:val="Char"/>
    <w:uiPriority w:val="99"/>
    <w:semiHidden/>
    <w:unhideWhenUsed/>
    <w:rsid w:val="004E53B2"/>
    <w:pPr>
      <w:spacing w:after="0" w:line="240" w:lineRule="auto"/>
    </w:pPr>
    <w:rPr>
      <w:rFonts w:ascii="Malgun Gothic" w:eastAsia="Malgun Gothic" w:hAnsi="Malgun Gothic" w:cs="Times New Roman"/>
      <w:sz w:val="18"/>
      <w:szCs w:val="18"/>
    </w:rPr>
  </w:style>
  <w:style w:type="character" w:customStyle="1" w:styleId="Char">
    <w:name w:val="풍선 도움말 텍스트 Char"/>
    <w:basedOn w:val="DefaultParagraphFont"/>
    <w:link w:val="10"/>
    <w:uiPriority w:val="99"/>
    <w:semiHidden/>
    <w:rsid w:val="004E53B2"/>
    <w:rPr>
      <w:rFonts w:ascii="Malgun Gothic" w:eastAsia="Malgun Gothic" w:hAnsi="Malgun Gothic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5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B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B2"/>
    <w:rPr>
      <w:b/>
      <w:bCs/>
      <w:szCs w:val="20"/>
    </w:rPr>
  </w:style>
  <w:style w:type="paragraph" w:customStyle="1" w:styleId="11">
    <w:name w:val="수정1"/>
    <w:hidden/>
    <w:uiPriority w:val="99"/>
    <w:semiHidden/>
    <w:rsid w:val="004E53B2"/>
    <w:pPr>
      <w:spacing w:after="0" w:line="240" w:lineRule="auto"/>
      <w:jc w:val="left"/>
    </w:pPr>
  </w:style>
  <w:style w:type="table" w:customStyle="1" w:styleId="12">
    <w:name w:val="표 구분선1"/>
    <w:basedOn w:val="TableNormal"/>
    <w:next w:val="TableGrid"/>
    <w:uiPriority w:val="39"/>
    <w:rsid w:val="004E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53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B2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F5BF4"/>
    <w:pPr>
      <w:spacing w:after="0"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4F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72B-A319-433B-B310-CB7E20D5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혜원</dc:creator>
  <cp:keywords/>
  <dc:description/>
  <cp:lastModifiedBy>Lorn Fraser</cp:lastModifiedBy>
  <cp:revision>2</cp:revision>
  <cp:lastPrinted>2022-11-18T06:02:00Z</cp:lastPrinted>
  <dcterms:created xsi:type="dcterms:W3CDTF">2023-11-08T08:05:00Z</dcterms:created>
  <dcterms:modified xsi:type="dcterms:W3CDTF">2023-11-08T08:05:00Z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3136520412121147aa0b77f610ac482cf981ebad137a7110d771821098510be3</vt:lpwstr>
  </property>
</Properties>
</file>