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03E62C44" w14:textId="77777777" w:rsidR="006B0C17" w:rsidRDefault="006B0C17" w:rsidP="006B0C17">
      <w:pPr>
        <w:pStyle w:val="Ttulo1"/>
      </w:pPr>
      <w:r w:rsidRPr="006B0C17">
        <w:t>In-house electromyography acquisition system validation</w:t>
      </w:r>
    </w:p>
    <w:p w14:paraId="370F8333" w14:textId="77777777" w:rsidR="006B0C17" w:rsidRDefault="006B0C17" w:rsidP="006B0C17">
      <w:pPr>
        <w:jc w:val="both"/>
      </w:pPr>
      <w:r w:rsidRPr="006B0C17">
        <w:t>The following protocol was designed to assess the agreement between our in-house electromyography (EMG) acquisition system and a commonly used commercial EMG system. Hence, we recruited an independent cohort of 10 participants (50% female, 28 ± 9 years old) and followed similar technical and acquisition procedures as described in the main manuscript (please see Methods section for further details). In this protocol we have asked the participants to perform five maximum voluntary isometric contractions (MVICs) by pushing their index finger laterally, against the researchers hand, while their forearm was supported, to minimize signal contamination from other muscle sources. Each MVIC had a duration of approximately 3 s with 1 min of rest between them. Then, 40 transcranial magnetic stimulation single pulses were applied over participants’ left motor cortex.</w:t>
      </w:r>
    </w:p>
    <w:p w14:paraId="65094CA4" w14:textId="16121749" w:rsidR="006B0C17" w:rsidRDefault="006B0C17" w:rsidP="006B0C17">
      <w:pPr>
        <w:jc w:val="both"/>
      </w:pPr>
      <w:r w:rsidRPr="006B0C17">
        <w:t>The in-house EMG acquisition system was developed by the Scientific Hardware Development Platform at Champalimaud Foundation, which provides electronic and mechanical support to internal research (</w:t>
      </w:r>
      <w:hyperlink r:id="rId12" w:history="1">
        <w:r w:rsidRPr="006B0C17">
          <w:rPr>
            <w:rStyle w:val="Hiperligao"/>
            <w:rFonts w:cs="Times New Roman"/>
            <w:szCs w:val="24"/>
          </w:rPr>
          <w:t>https://www.cf-hw.org/</w:t>
        </w:r>
      </w:hyperlink>
      <w:r w:rsidRPr="006B0C17">
        <w:t>). This system incorporates five independent EMG channels in addition to one channel which receives direct input from the TMS machine to signal pulse delivery. The EMG acquisition parameters were based on international guidelines for collection of TMS-EMG data</w:t>
      </w:r>
      <w:r w:rsidR="004414B3">
        <w:t xml:space="preserve"> </w:t>
      </w:r>
      <w:r w:rsidR="004414B3">
        <w:fldChar w:fldCharType="begin"/>
      </w:r>
      <w:r w:rsidR="004414B3">
        <w:instrText xml:space="preserve"> ADDIN ZOTERO_ITEM CSL_CITATION {"citationID":"bgNenK7f","properties":{"formattedCitation":"(Groppa et al. 2012)","plainCitation":"(Groppa et al. 2012)","noteIndex":0},"citationItems":[{"id":166,"uris":["http://zotero.org/users/8763446/items/YMPVTCCU"],"itemData":{"id":166,"type":"article-journal","abstract":"Transcranial magnetic stimulation (TMS) is an established neurophysiological tool to examine the integrity of the fast-conducting corticomotor pathways in a wide range of diseases associated with motor dysfunction. This includes but is not limited to patients with multiple sclerosis, amyotrophic lateral sclerosis, stroke, movement disorders, disorders affecting the spinal cord, facial and other cranial nerves. These guidelines cover practical aspects of TMS in a clinical setting. We first discuss the technical and physiological aspects of TMS that are relevant for the diagnostic use of TMS. We then lay out the general principles that apply to a standardized clinical examination of the fast-conducting corticomotor pathways with single-pulse TMS. This is followed by a detailed description of how to examine corticomotor conduction to the hand, leg, trunk and facial muscles in patients. Additional sections cover safety issues, the triple stimulation technique, and neuropediatric aspects of TMS.","container-title":"Clinical Neurophysiology","DOI":"10.1016/j.clinph.2012.01.010","ISSN":"13882457","issue":"5","journalAbbreviation":"Clinical Neurophysiology","language":"en","page":"858-882","source":"DOI.org (Crossref)","title":"A practical guide to diagnostic transcranial magnetic stimulation: Report of an IFCN committee","title-short":"A practical guide to diagnostic transcranial magnetic stimulation","volume":"123","author":[{"family":"Groppa","given":"S."},{"family":"Oliviero","given":"A."},{"family":"Eisen","given":"A."},{"family":"Quartarone","given":"A."},{"family":"Cohen","given":"L.G."},{"family":"Mall","given":"V."},{"family":"Kaelin-Lang","given":"A."},{"family":"Mima","given":"T."},{"family":"Rossi","given":"S."},{"family":"Thickbroom","given":"G.W."},{"family":"Rossini","given":"P.M."},{"family":"Ziemann","given":"U."},{"family":"Valls-Solé","given":"J."},{"family":"Siebner","given":"H.R."}],"issued":{"date-parts":[["2012",5]]}}}],"schema":"https://github.com/citation-style-language/schema/raw/master/csl-citation.json"} </w:instrText>
      </w:r>
      <w:r w:rsidR="004414B3">
        <w:fldChar w:fldCharType="separate"/>
      </w:r>
      <w:r w:rsidR="004414B3" w:rsidRPr="004414B3">
        <w:rPr>
          <w:rFonts w:cs="Times New Roman"/>
        </w:rPr>
        <w:t>(Groppa et al. 2012)</w:t>
      </w:r>
      <w:r w:rsidR="004414B3">
        <w:fldChar w:fldCharType="end"/>
      </w:r>
      <w:r w:rsidRPr="006B0C17">
        <w:t xml:space="preserve">. Data streaming was done through Bluetooth, integrated using a custom made BONSAI script </w:t>
      </w:r>
      <w:r w:rsidR="004414B3">
        <w:fldChar w:fldCharType="begin"/>
      </w:r>
      <w:r w:rsidR="004414B3">
        <w:instrText xml:space="preserve"> ADDIN ZOTERO_ITEM CSL_CITATION {"citationID":"T6V8XmcA","properties":{"formattedCitation":"(Lopes et al. 2015)","plainCitation":"(Lopes et al. 2015)","noteIndex":0},"citationItems":[{"id":871,"uris":["http://zotero.org/users/8763446/items/URDQQC2B"],"itemData":{"id":871,"type":"article-journal","abstract":"The design of modern scientiﬁc experiments requires the control and monitoring of many different data streams. However, the serial execution of programming instructions in a computer makes it a challenge to develop software that can deal with the asynchronous, parallel nature of scientiﬁc data. Here we present Bonsai, a modular, high-performance, open-source visual programming framework for the acquisition and online processing of data streams. We describe Bonsai’s core principles and architecture and demonstrate how it allows for the rapid and ﬂexible prototyping of integrated experimental designs in neuroscience. We speciﬁcally highlight some applications that require the combination of many different hardware and software components, including video tracking of behavior, electrophysiology and closed-loop control of stimulation.","container-title":"Frontiers in Neuroinformatics","DOI":"10.3389/fninf.2015.00007","ISSN":"1662-5196","journalAbbreviation":"Front. Neuroinform.","language":"en","source":"DOI.org (Crossref)","title":"Bonsai: an event-based framework for processing and controlling data streams","title-short":"Bonsai","URL":"http://journal.frontiersin.org/article/10.3389/fninf.2015.00007/abstract","volume":"9","author":[{"family":"Lopes","given":"GonÃ§alo"},{"family":"Bonacchi","given":"NiccolÃ²"},{"family":"FrazÃ£o","given":"JoÃ£o"},{"family":"Neto","given":"Joana P."},{"family":"Atallah","given":"Bassam V."},{"family":"Soares","given":"Sofia"},{"family":"Moreira","given":"LuÃ­s"},{"family":"Matias","given":"Sara"},{"family":"Itskov","given":"Pavel M."},{"family":"Correia","given":"PatrÃ­cia A."},{"family":"Medina","given":"Roberto E."},{"family":"Calcaterra","given":"Lorenza"},{"family":"Dreosti","given":"Elena"},{"family":"Paton","given":"Joseph J."},{"family":"Kampff","given":"Adam R."}],"accessed":{"date-parts":[["2023",2,14]]},"issued":{"date-parts":[["2015",4,8]]}}}],"schema":"https://github.com/citation-style-language/schema/raw/master/csl-citation.json"} </w:instrText>
      </w:r>
      <w:r w:rsidR="004414B3">
        <w:fldChar w:fldCharType="separate"/>
      </w:r>
      <w:r w:rsidR="004414B3" w:rsidRPr="004414B3">
        <w:rPr>
          <w:rFonts w:cs="Times New Roman"/>
        </w:rPr>
        <w:t>(Lopes et al. 2015)</w:t>
      </w:r>
      <w:r w:rsidR="004414B3">
        <w:fldChar w:fldCharType="end"/>
      </w:r>
      <w:r w:rsidRPr="006B0C17">
        <w:t xml:space="preserve"> and saved onto binary (.bin) files. Signal collected using the in-house EMG acquisition system were tested against the BIOPAC MP36 acquisition system (BIOPAC</w:t>
      </w:r>
      <w:bookmarkStart w:id="0" w:name="_Hlk142914839"/>
      <w:r w:rsidRPr="006B0C17">
        <w:rPr>
          <w:vertAlign w:val="superscript"/>
        </w:rPr>
        <w:t>®</w:t>
      </w:r>
      <w:r w:rsidRPr="006B0C17">
        <w:t xml:space="preserve"> </w:t>
      </w:r>
      <w:bookmarkEnd w:id="0"/>
      <w:r w:rsidRPr="006B0C17">
        <w:t>Systems, Inc.), a commercial solution which features built-in universal amplifiers capable of recording a wide range of physiological signals such as electrocardiogram, electroencephalogram and EMG. A suitable profile for TMS-EMG data acquisition was selected in BIPOAC. Please see a summary of the acquisition parameters for both systems in Table S1. Resulting data from BIOPAC was sent to BIOPAC Student Lab software and saved into MATLAB files (.mat). For simultaneous EMG acquisition, both systems were connected to each electrode sensor using a splitter cable (Figure S1).</w:t>
      </w:r>
    </w:p>
    <w:p w14:paraId="25889DDF" w14:textId="6BAE8C2F" w:rsidR="006B0C17" w:rsidRDefault="006B0C17" w:rsidP="006B0C17">
      <w:pPr>
        <w:jc w:val="both"/>
      </w:pPr>
      <w:r w:rsidRPr="006B0C17">
        <w:t>Data was imported into Python3 and time-series were aligned using cross-correlation to estimate the relative time-shift between both systems. Then, data was segmented into epochs containing single MVICs and motor evoked potentials (MEPs), excluding epochs where MEP amplitude was smaller than 50μV. Finally, each epoch was linearly detrended. This procedure was performed to account for potential differences in DC amplifier offset and for potential differences in the TMS pulse artifact profile in both systems. Since the goal of this experiment was to compare the agreement between the in-house acquisition system and the commercial EMG system, no further data processing was performed.</w:t>
      </w:r>
    </w:p>
    <w:p w14:paraId="0F0DC6DC" w14:textId="4213C8DE" w:rsidR="006B0C17" w:rsidRPr="006B0C17" w:rsidRDefault="006B0C17" w:rsidP="006B0C17">
      <w:pPr>
        <w:jc w:val="both"/>
        <w:rPr>
          <w:szCs w:val="24"/>
        </w:rPr>
      </w:pPr>
      <w:r w:rsidRPr="006B0C17">
        <w:rPr>
          <w:szCs w:val="24"/>
        </w:rPr>
        <w:t xml:space="preserve">The agreement between both systems was assessed using two strategies of wave-similarity analysis: the </w:t>
      </w:r>
      <w:r w:rsidRPr="006B0C17">
        <w:rPr>
          <w:b/>
          <w:bCs/>
          <w:szCs w:val="24"/>
        </w:rPr>
        <w:t xml:space="preserve">linear fit method </w:t>
      </w:r>
      <w:r w:rsidRPr="006B0C17">
        <w:rPr>
          <w:szCs w:val="24"/>
        </w:rPr>
        <w:t xml:space="preserve">(LFM) and the </w:t>
      </w:r>
      <w:r w:rsidRPr="006B0C17">
        <w:rPr>
          <w:b/>
          <w:bCs/>
          <w:szCs w:val="24"/>
        </w:rPr>
        <w:t xml:space="preserve">integrated pointwise indices </w:t>
      </w:r>
      <w:r w:rsidRPr="006B0C17">
        <w:rPr>
          <w:szCs w:val="24"/>
        </w:rPr>
        <w:t xml:space="preserve">(IPI) </w:t>
      </w:r>
      <w:r w:rsidR="004414B3">
        <w:rPr>
          <w:szCs w:val="24"/>
        </w:rPr>
        <w:fldChar w:fldCharType="begin"/>
      </w:r>
      <w:r w:rsidR="004414B3">
        <w:rPr>
          <w:szCs w:val="24"/>
        </w:rPr>
        <w:instrText xml:space="preserve"> ADDIN ZOTERO_ITEM CSL_CITATION {"citationID":"pa6lIztZ","properties":{"formattedCitation":"(Iosa et al. 2014; Pini, Markstr\\uc0\\u246{}m, and Schelin 2022)","plainCitation":"(Iosa et al. 2014; Pini, Markström, and Schelin 2022)","noteIndex":0},"citationItems":[{"id":876,"uris":["http://zotero.org/users/8763446/items/U9T9FVVA"],"itemData":{"id":876,"type":"article-journal","abstract":"The assessment of waveform similarity is a crucial issue in gait analysis for the comparison of kinematic or kinetic patterns with reference data. A typical scenario is in fact the comparison of a patient’s gait pattern with a relevant physiological pattern. This study aims to propose and validate a simple method for the assessment of waveform similarity in terms of shape, amplitude, and offset. The method relies on the interpretation of these three parameters, obtained through a linear fit applied to the two data sets under comparison plotted one against the other after time normalization. The validity of this linear fit method was tested in terms of appropriateness (comparing real gait data of 34 patients with cerebrovascular accident with those of 15 healthy subjects), reliability, sensitivity, and specificity (applying a cluster analysis on the real data). Results showed for this method good appropriateness, 94.1% of sensitivity, 93.3% of specificity, and good reliability. The LFM resulted in a simple method suitable for analysing the waveform similarity in clinical gait analysis.","container-title":"BioMed Research International","DOI":"10.1155/2014/214156","ISSN":"2314-6133, 2314-6141","journalAbbreviation":"BioMed Research International","language":"en","page":"1-7","source":"DOI.org (Crossref)","title":"Assessment of Waveform Similarity in Clinical Gait Data: The Linear Fit Method","title-short":"Assessment of Waveform Similarity in Clinical Gait Data","volume":"2014","author":[{"family":"Iosa","given":"M."},{"family":"Cereatti","given":"A."},{"family":"Merlo","given":"A."},{"family":"Campanini","given":"I."},{"family":"Paolucci","given":"S."},{"family":"Cappozzo","given":"A."}],"issued":{"date-parts":[["2014"]]}}},{"id":874,"uris":["http://zotero.org/users/8763446/items/YLKJ97QU"],"itemData":{"id":874,"type":"article-journal","abstract":"The purpose of this paper is to provide an overview of available methods for reliability investigations when the outcome of interest is a curve. Curve data, or functional data, is commonly collected in biomechanical research in order to better understand diﬀerent aspects of human movement. Using recent statistical developments, curve data can be analysed in its most detailed form, as functions. However, an overview of appropriate statistical methods for assessing reliability of curve data is lacking. A review of contemporary literature of reliability measures for curve data within the ﬁelds of biomechanics and statistics identiﬁed the following methods: coeﬃcient of multiple correlation, functional limits of agreement, measures of distance and similarity, and integrated pointwise indices (an extension of univariate reliability measures to curve data, inclusive of Pearson correlation, intraclass correlation, and standard error of measurement). These methods are brieﬂy presented, implemented (R-code available as supplementary material) and evaluated on simulated data to highlight advantages and disadvantages of the methods. Among the identiﬁed methods, the integrated intraclass correlation and standard error of measurement are recommended. These methods are straightforward to implement, enable results over the domain, and consider variation between individuals, which the other methods partly neglect.","container-title":"Sports Biomechanics","DOI":"10.1080/14763141.2019.1655089","ISSN":"1476-3141, 1752-6116","issue":"2","journalAbbreviation":"Sports Biomechanics","language":"en","page":"179-200","source":"DOI.org (Crossref)","title":"Test–retest reliability measures for curve data: an overview with recommendations and supplementary code","title-short":"Test–retest reliability measures for curve data","volume":"21","author":[{"family":"Pini","given":"Alessia"},{"family":"Markström","given":"Jonas L"},{"family":"Schelin","given":"Lina"}],"issued":{"date-parts":[["2022",2,7]]}}}],"schema":"https://github.com/citation-style-language/schema/raw/master/csl-citation.json"} </w:instrText>
      </w:r>
      <w:r w:rsidR="004414B3">
        <w:rPr>
          <w:szCs w:val="24"/>
        </w:rPr>
        <w:fldChar w:fldCharType="separate"/>
      </w:r>
      <w:r w:rsidR="004414B3" w:rsidRPr="004414B3">
        <w:rPr>
          <w:rFonts w:cs="Times New Roman"/>
          <w:szCs w:val="24"/>
        </w:rPr>
        <w:t>(Iosa et al. 2014; Pini, Markström, and Schelin 2022)</w:t>
      </w:r>
      <w:r w:rsidR="004414B3">
        <w:rPr>
          <w:szCs w:val="24"/>
        </w:rPr>
        <w:fldChar w:fldCharType="end"/>
      </w:r>
      <w:r w:rsidRPr="006B0C17">
        <w:rPr>
          <w:szCs w:val="24"/>
        </w:rPr>
        <w:t xml:space="preserve">. Instead of relying on the extraction of discrete measures, such as amplitude and activation time, these methods allow to determine the agreement of the whole signal, providing a more complete comparison of the systems. Linear fit method is performed by plotting a test signal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test</m:t>
            </m:r>
          </m:sub>
        </m:sSub>
      </m:oMath>
      <w:r w:rsidRPr="006B0C17">
        <w:rPr>
          <w:szCs w:val="24"/>
        </w:rPr>
        <w:t xml:space="preserve"> against a reference signal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oMath>
      <w:r w:rsidRPr="006B0C17">
        <w:rPr>
          <w:szCs w:val="24"/>
        </w:rPr>
        <w:t xml:space="preserve">, characterizing a group of points in a cartesian </w:t>
      </w:r>
      <w:r w:rsidRPr="006B0C17">
        <w:rPr>
          <w:szCs w:val="24"/>
        </w:rPr>
        <w:lastRenderedPageBreak/>
        <w:t>coordinate system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test</m:t>
            </m:r>
          </m:sub>
        </m:sSub>
        <m:r>
          <w:rPr>
            <w:rFonts w:ascii="Cambria Math" w:hAnsi="Cambria Math"/>
            <w:szCs w:val="24"/>
          </w:rPr>
          <m:t>(i)</m:t>
        </m:r>
      </m:oMath>
      <w:r w:rsidRPr="006B0C17">
        <w:rPr>
          <w:rFonts w:eastAsiaTheme="minorEastAsia"/>
          <w:szCs w:val="24"/>
        </w:rPr>
        <w:t>)</w:t>
      </w:r>
      <w:r w:rsidRPr="006B0C17">
        <w:rPr>
          <w:szCs w:val="24"/>
        </w:rPr>
        <w:t xml:space="preserve"> for </w:t>
      </w:r>
      <m:oMath>
        <m:r>
          <w:rPr>
            <w:rFonts w:ascii="Cambria Math" w:hAnsi="Cambria Math"/>
            <w:szCs w:val="24"/>
          </w:rPr>
          <m:t>i = 1, ... ,  N</m:t>
        </m:r>
      </m:oMath>
      <w:r w:rsidRPr="006B0C17">
        <w:rPr>
          <w:szCs w:val="24"/>
        </w:rPr>
        <w:t xml:space="preserve"> where </w:t>
      </w:r>
      <m:oMath>
        <m:r>
          <w:rPr>
            <w:rFonts w:ascii="Cambria Math" w:hAnsi="Cambria Math"/>
            <w:szCs w:val="24"/>
          </w:rPr>
          <m:t>N</m:t>
        </m:r>
      </m:oMath>
      <w:r w:rsidRPr="006B0C17">
        <w:rPr>
          <w:szCs w:val="24"/>
        </w:rPr>
        <w:t xml:space="preserve"> represents the number of samples). Then, a linear regression is applied to this group of points defining:</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0"/>
      </w:tblGrid>
      <w:tr w:rsidR="006B0C17" w:rsidRPr="006B0C17" w14:paraId="154E21BA" w14:textId="77777777" w:rsidTr="00347B64">
        <w:tc>
          <w:tcPr>
            <w:tcW w:w="9067" w:type="dxa"/>
            <w:vAlign w:val="center"/>
          </w:tcPr>
          <w:p w14:paraId="3F8E3551" w14:textId="17B0604F" w:rsidR="006B0C17" w:rsidRPr="006B0C17" w:rsidRDefault="006B0C17" w:rsidP="00347B64">
            <w:pPr>
              <w:jc w:val="center"/>
              <w:rPr>
                <w:szCs w:val="24"/>
              </w:rPr>
            </w:pPr>
            <m:oMathPara>
              <m:oMath>
                <m:acc>
                  <m:accPr>
                    <m:ctrlPr>
                      <w:rPr>
                        <w:rFonts w:ascii="Cambria Math" w:hAnsi="Cambria Math" w:cs="Arial"/>
                        <w:i/>
                        <w:color w:val="000000"/>
                        <w:szCs w:val="24"/>
                        <w:shd w:val="clear" w:color="auto" w:fill="FFFFFF"/>
                      </w:rPr>
                    </m:ctrlPr>
                  </m:accPr>
                  <m:e>
                    <m:r>
                      <w:rPr>
                        <w:rFonts w:ascii="Cambria Math" w:hAnsi="Cambria Math" w:cs="Arial"/>
                        <w:color w:val="000000"/>
                        <w:szCs w:val="24"/>
                        <w:shd w:val="clear" w:color="auto" w:fill="FFFFFF"/>
                      </w:rPr>
                      <m:t>Y</m:t>
                    </m:r>
                  </m:e>
                </m:acc>
                <m:r>
                  <w:rPr>
                    <w:rFonts w:ascii="Cambria Math" w:hAnsi="Cambria Math" w:cs="Arial"/>
                    <w:color w:val="000000"/>
                    <w:szCs w:val="24"/>
                    <w:shd w:val="clear" w:color="auto" w:fill="FFFFFF"/>
                  </w:rPr>
                  <m:t xml:space="preserve">=a .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r>
                  <w:rPr>
                    <w:rFonts w:ascii="Cambria Math" w:hAnsi="Cambria Math" w:cs="Arial"/>
                    <w:color w:val="000000"/>
                    <w:szCs w:val="24"/>
                    <w:shd w:val="clear" w:color="auto" w:fill="FFFFFF"/>
                  </w:rPr>
                  <m:t>+b</m:t>
                </m:r>
              </m:oMath>
            </m:oMathPara>
          </w:p>
        </w:tc>
        <w:tc>
          <w:tcPr>
            <w:tcW w:w="700" w:type="dxa"/>
            <w:vAlign w:val="center"/>
          </w:tcPr>
          <w:p w14:paraId="4DA02F94" w14:textId="4651AA8A" w:rsidR="006B0C17" w:rsidRPr="006B0C17" w:rsidRDefault="006B0C17" w:rsidP="00347B64">
            <w:pPr>
              <w:jc w:val="right"/>
              <w:rPr>
                <w:szCs w:val="24"/>
              </w:rPr>
            </w:pPr>
            <w:r w:rsidRPr="006B0C17">
              <w:rPr>
                <w:szCs w:val="24"/>
              </w:rPr>
              <w:t>(S1)</w:t>
            </w:r>
          </w:p>
        </w:tc>
      </w:tr>
    </w:tbl>
    <w:p w14:paraId="308A8D7B" w14:textId="07FA73D5" w:rsidR="006B0C17" w:rsidRPr="006B0C17" w:rsidRDefault="006B0C17" w:rsidP="006B0C17">
      <w:pPr>
        <w:jc w:val="both"/>
        <w:rPr>
          <w:szCs w:val="24"/>
        </w:rPr>
      </w:pPr>
      <w:r w:rsidRPr="006B0C17">
        <w:rPr>
          <w:szCs w:val="24"/>
        </w:rPr>
        <w:t xml:space="preserve">where </w:t>
      </w:r>
      <m:oMath>
        <m:acc>
          <m:accPr>
            <m:ctrlPr>
              <w:rPr>
                <w:rFonts w:ascii="Cambria Math" w:hAnsi="Cambria Math" w:cs="Arial"/>
                <w:i/>
                <w:color w:val="000000"/>
                <w:szCs w:val="24"/>
                <w:shd w:val="clear" w:color="auto" w:fill="FFFFFF"/>
              </w:rPr>
            </m:ctrlPr>
          </m:accPr>
          <m:e>
            <m:r>
              <w:rPr>
                <w:rFonts w:ascii="Cambria Math" w:hAnsi="Cambria Math" w:cs="Arial"/>
                <w:color w:val="000000"/>
                <w:szCs w:val="24"/>
                <w:shd w:val="clear" w:color="auto" w:fill="FFFFFF"/>
              </w:rPr>
              <m:t>Y</m:t>
            </m:r>
          </m:e>
        </m:acc>
      </m:oMath>
      <w:r w:rsidRPr="006B0C17">
        <w:rPr>
          <w:szCs w:val="24"/>
        </w:rPr>
        <w:t xml:space="preserve"> represents the best approximation of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test</m:t>
            </m:r>
          </m:sub>
        </m:sSub>
      </m:oMath>
      <w:r w:rsidRPr="006B0C17">
        <w:rPr>
          <w:szCs w:val="24"/>
        </w:rPr>
        <w:t xml:space="preserve"> values resulting from linear transformation of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oMath>
      <w:r w:rsidRPr="006B0C17">
        <w:rPr>
          <w:szCs w:val="24"/>
        </w:rPr>
        <w:t xml:space="preserve"> values; </w:t>
      </w:r>
      <m:oMath>
        <m:r>
          <w:rPr>
            <w:rFonts w:ascii="Cambria Math" w:hAnsi="Cambria Math"/>
            <w:szCs w:val="24"/>
          </w:rPr>
          <m:t>a</m:t>
        </m:r>
      </m:oMath>
      <w:r w:rsidRPr="006B0C17">
        <w:rPr>
          <w:szCs w:val="24"/>
        </w:rPr>
        <w:t xml:space="preserve"> represents a scaling factor, i.e. a factor by which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oMath>
      <w:r w:rsidRPr="006B0C17">
        <w:rPr>
          <w:szCs w:val="24"/>
        </w:rPr>
        <w:t xml:space="preserve"> should be multiplied to match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test</m:t>
            </m:r>
          </m:sub>
        </m:sSub>
      </m:oMath>
      <w:r w:rsidRPr="006B0C17">
        <w:rPr>
          <w:szCs w:val="24"/>
        </w:rPr>
        <w:t xml:space="preserve">; and </w:t>
      </w:r>
      <m:oMath>
        <m:r>
          <w:rPr>
            <w:rFonts w:ascii="Cambria Math" w:hAnsi="Cambria Math"/>
            <w:szCs w:val="24"/>
          </w:rPr>
          <m:t>b</m:t>
        </m:r>
      </m:oMath>
      <w:r w:rsidRPr="006B0C17">
        <w:rPr>
          <w:szCs w:val="24"/>
        </w:rPr>
        <w:t xml:space="preserve"> which represents the scalar offset.</w:t>
      </w:r>
    </w:p>
    <w:p w14:paraId="39FA9A16" w14:textId="47F0B327" w:rsidR="006B0C17" w:rsidRDefault="006B0C17" w:rsidP="006B0C17">
      <w:pPr>
        <w:jc w:val="both"/>
        <w:rPr>
          <w:lang w:val="en-GB"/>
        </w:rPr>
      </w:pPr>
      <w:r w:rsidRPr="006B0C17">
        <w:rPr>
          <w:lang w:val="en-GB"/>
        </w:rPr>
        <w:t>The LFM relies on the interpretation of the coefficient of determination (</w:t>
      </w:r>
      <m:oMath>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oMath>
      <w:r w:rsidRPr="006B0C17">
        <w:rPr>
          <w:lang w:val="en-GB"/>
        </w:rPr>
        <w:t>) and the linear regression coefficients (</w:t>
      </w:r>
      <m:oMath>
        <m:r>
          <w:rPr>
            <w:rFonts w:ascii="Cambria Math" w:hAnsi="Cambria Math"/>
            <w:lang w:val="en-GB"/>
          </w:rPr>
          <m:t>a</m:t>
        </m:r>
      </m:oMath>
      <w:r w:rsidRPr="006B0C17">
        <w:rPr>
          <w:lang w:val="en-GB"/>
        </w:rPr>
        <w:t xml:space="preserve"> and </w:t>
      </w:r>
      <m:oMath>
        <m:r>
          <w:rPr>
            <w:rFonts w:ascii="Cambria Math" w:hAnsi="Cambria Math"/>
            <w:lang w:val="en-GB"/>
          </w:rPr>
          <m:t>b</m:t>
        </m:r>
      </m:oMath>
      <w:r w:rsidRPr="006B0C17">
        <w:rPr>
          <w:lang w:val="en-GB"/>
        </w:rPr>
        <w:t>), calculated by the following formulas:</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0"/>
      </w:tblGrid>
      <w:tr w:rsidR="00347B64" w:rsidRPr="006B0C17" w14:paraId="5673ED4F" w14:textId="77777777" w:rsidTr="00347B64">
        <w:tc>
          <w:tcPr>
            <w:tcW w:w="9067" w:type="dxa"/>
          </w:tcPr>
          <w:p w14:paraId="6F9B28BD" w14:textId="7B99E38D" w:rsidR="00347B64" w:rsidRPr="00347B64" w:rsidRDefault="00347B64" w:rsidP="00EA465C">
            <w:pPr>
              <w:jc w:val="center"/>
              <w:rPr>
                <w:rFonts w:eastAsiaTheme="minorEastAsia"/>
                <w:color w:val="000000"/>
                <w:szCs w:val="24"/>
                <w:shd w:val="clear" w:color="auto" w:fill="FFFFFF"/>
              </w:rPr>
            </w:pPr>
            <m:oMathPara>
              <m:oMath>
                <m:r>
                  <w:rPr>
                    <w:rFonts w:ascii="Cambria Math" w:hAnsi="Cambria Math" w:cs="Arial"/>
                    <w:color w:val="000000"/>
                    <w:szCs w:val="24"/>
                    <w:shd w:val="clear" w:color="auto" w:fill="FFFFFF"/>
                  </w:rPr>
                  <m:t>a</m:t>
                </m:r>
                <m: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 xml:space="preserve"> </m:t>
                </m:r>
                <m:f>
                  <m:fPr>
                    <m:ctrlPr>
                      <w:rPr>
                        <w:rFonts w:ascii="Cambria Math" w:hAnsi="Cambria Math" w:cs="Arial"/>
                        <w:i/>
                        <w:color w:val="000000"/>
                        <w:szCs w:val="24"/>
                        <w:shd w:val="clear" w:color="auto" w:fill="FFFFFF"/>
                      </w:rPr>
                    </m:ctrlPr>
                  </m:fPr>
                  <m:num>
                    <m:nary>
                      <m:naryPr>
                        <m:chr m:val="∑"/>
                        <m:limLoc m:val="undOvr"/>
                        <m:ctrlPr>
                          <w:rPr>
                            <w:rFonts w:ascii="Cambria Math" w:hAnsi="Cambria Math" w:cs="Arial"/>
                            <w:i/>
                            <w:color w:val="000000"/>
                            <w:szCs w:val="24"/>
                            <w:shd w:val="clear" w:color="auto" w:fill="FFFFFF"/>
                          </w:rPr>
                        </m:ctrlPr>
                      </m:naryPr>
                      <m:sub>
                        <m:r>
                          <w:rPr>
                            <w:rFonts w:ascii="Cambria Math" w:hAnsi="Cambria Math" w:cs="Arial"/>
                            <w:color w:val="000000"/>
                            <w:szCs w:val="24"/>
                            <w:shd w:val="clear" w:color="auto" w:fill="FFFFFF"/>
                          </w:rPr>
                          <m:t>i=1</m:t>
                        </m:r>
                      </m:sub>
                      <m:sup>
                        <m:r>
                          <w:rPr>
                            <w:rFonts w:ascii="Cambria Math" w:hAnsi="Cambria Math" w:cs="Arial"/>
                            <w:color w:val="000000"/>
                            <w:szCs w:val="24"/>
                            <w:shd w:val="clear" w:color="auto" w:fill="FFFFFF"/>
                          </w:rPr>
                          <m:t>N</m:t>
                        </m:r>
                      </m:sup>
                      <m:e>
                        <m:r>
                          <w:rPr>
                            <w:rFonts w:ascii="Cambria Math" w:hAnsi="Cambria Math" w:cs="Arial"/>
                            <w:color w:val="000000"/>
                            <w:szCs w:val="24"/>
                            <w:shd w:val="clear" w:color="auto" w:fill="FFFFFF"/>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 xml:space="preserve">- </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ref</m:t>
                                </m:r>
                              </m:sub>
                            </m:sSub>
                          </m:e>
                        </m:acc>
                        <m:r>
                          <w:rPr>
                            <w:rFonts w:ascii="Cambria Math" w:eastAsiaTheme="minorEastAsia" w:hAnsi="Cambria Math"/>
                            <w:szCs w:val="24"/>
                          </w:rPr>
                          <m:t xml:space="preserve">) .  </m:t>
                        </m:r>
                        <m:r>
                          <w:rPr>
                            <w:rFonts w:ascii="Cambria Math" w:hAnsi="Cambria Math" w:cs="Arial"/>
                            <w:color w:val="000000"/>
                            <w:szCs w:val="24"/>
                            <w:shd w:val="clear" w:color="auto" w:fill="FFFFFF"/>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test</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test</m:t>
                                </m:r>
                              </m:sub>
                            </m:sSub>
                          </m:e>
                        </m:acc>
                        <m:r>
                          <w:rPr>
                            <w:rFonts w:ascii="Cambria Math" w:eastAsiaTheme="minorEastAsia" w:hAnsi="Cambria Math"/>
                            <w:szCs w:val="24"/>
                          </w:rPr>
                          <m:t>)</m:t>
                        </m:r>
                      </m:e>
                    </m:nary>
                  </m:num>
                  <m:den>
                    <m:nary>
                      <m:naryPr>
                        <m:chr m:val="∑"/>
                        <m:limLoc m:val="undOvr"/>
                        <m:ctrlPr>
                          <w:rPr>
                            <w:rFonts w:ascii="Cambria Math" w:hAnsi="Cambria Math" w:cs="Arial"/>
                            <w:i/>
                            <w:color w:val="000000"/>
                            <w:szCs w:val="24"/>
                            <w:shd w:val="clear" w:color="auto" w:fill="FFFFFF"/>
                          </w:rPr>
                        </m:ctrlPr>
                      </m:naryPr>
                      <m:sub>
                        <m:r>
                          <w:rPr>
                            <w:rFonts w:ascii="Cambria Math" w:hAnsi="Cambria Math" w:cs="Arial"/>
                            <w:color w:val="000000"/>
                            <w:szCs w:val="24"/>
                            <w:shd w:val="clear" w:color="auto" w:fill="FFFFFF"/>
                          </w:rPr>
                          <m:t>i=1</m:t>
                        </m:r>
                      </m:sub>
                      <m:sup>
                        <m:r>
                          <w:rPr>
                            <w:rFonts w:ascii="Cambria Math" w:hAnsi="Cambria Math" w:cs="Arial"/>
                            <w:color w:val="000000"/>
                            <w:szCs w:val="24"/>
                            <w:shd w:val="clear" w:color="auto" w:fill="FFFFFF"/>
                          </w:rPr>
                          <m:t>N</m:t>
                        </m:r>
                      </m:sup>
                      <m:e>
                        <m:sSup>
                          <m:sSupPr>
                            <m:ctrlPr>
                              <w:rPr>
                                <w:rFonts w:ascii="Cambria Math" w:hAnsi="Cambria Math" w:cs="Arial"/>
                                <w:i/>
                                <w:color w:val="000000"/>
                                <w:szCs w:val="24"/>
                                <w:shd w:val="clear" w:color="auto" w:fill="FFFFFF"/>
                              </w:rPr>
                            </m:ctrlPr>
                          </m:sSupPr>
                          <m:e>
                            <m:r>
                              <w:rPr>
                                <w:rFonts w:ascii="Cambria Math" w:hAnsi="Cambria Math" w:cs="Arial"/>
                                <w:color w:val="000000"/>
                                <w:szCs w:val="24"/>
                                <w:shd w:val="clear" w:color="auto" w:fill="FFFFFF"/>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 xml:space="preserve">- </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ref</m:t>
                                    </m:r>
                                  </m:sub>
                                </m:sSub>
                              </m:e>
                            </m:acc>
                            <m:r>
                              <w:rPr>
                                <w:rFonts w:ascii="Cambria Math" w:eastAsiaTheme="minorEastAsia" w:hAnsi="Cambria Math"/>
                                <w:szCs w:val="24"/>
                              </w:rPr>
                              <m:t>)</m:t>
                            </m:r>
                            <m:r>
                              <w:rPr>
                                <w:rFonts w:ascii="Cambria Math" w:eastAsiaTheme="minorEastAsia" w:hAnsi="Cambria Math"/>
                                <w:szCs w:val="24"/>
                              </w:rPr>
                              <m:t xml:space="preserve"> </m:t>
                            </m:r>
                          </m:e>
                          <m:sup>
                            <m:r>
                              <w:rPr>
                                <w:rFonts w:ascii="Cambria Math" w:hAnsi="Cambria Math" w:cs="Arial"/>
                                <w:color w:val="000000"/>
                                <w:szCs w:val="24"/>
                                <w:shd w:val="clear" w:color="auto" w:fill="FFFFFF"/>
                              </w:rPr>
                              <m:t>2</m:t>
                            </m:r>
                          </m:sup>
                        </m:sSup>
                      </m:e>
                    </m:nary>
                  </m:den>
                </m:f>
              </m:oMath>
            </m:oMathPara>
          </w:p>
          <w:p w14:paraId="76C40E4A" w14:textId="10730C52" w:rsidR="00347B64" w:rsidRPr="00347B64" w:rsidRDefault="00347B64" w:rsidP="00EA465C">
            <w:pPr>
              <w:jc w:val="center"/>
              <w:rPr>
                <w:rFonts w:eastAsiaTheme="minorEastAsia"/>
                <w:color w:val="000000"/>
                <w:szCs w:val="24"/>
                <w:shd w:val="clear" w:color="auto" w:fill="FFFFFF"/>
              </w:rPr>
            </w:pPr>
            <m:oMath>
              <m:r>
                <w:rPr>
                  <w:rFonts w:ascii="Cambria Math" w:eastAsiaTheme="minorEastAsia" w:hAnsi="Cambria Math"/>
                  <w:color w:val="000000"/>
                  <w:szCs w:val="24"/>
                  <w:shd w:val="clear" w:color="auto" w:fill="FFFFFF"/>
                </w:rPr>
                <m:t>b=</m:t>
              </m:r>
              <m:r>
                <w:rPr>
                  <w:rFonts w:ascii="Cambria Math" w:eastAsiaTheme="minorEastAsia" w:hAnsi="Cambria Math"/>
                  <w:szCs w:val="24"/>
                </w:rPr>
                <m:t xml:space="preserve"> </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test</m:t>
                      </m:r>
                    </m:sub>
                  </m:sSub>
                </m:e>
              </m:acc>
              <m:r>
                <w:rPr>
                  <w:rFonts w:ascii="Cambria Math" w:eastAsiaTheme="minorEastAsia" w:hAnsi="Cambria Math"/>
                  <w:szCs w:val="24"/>
                </w:rPr>
                <m:t xml:space="preserve">-a . </m:t>
              </m:r>
              <m:r>
                <w:rPr>
                  <w:rFonts w:ascii="Cambria Math" w:eastAsiaTheme="minorEastAsia" w:hAnsi="Cambria Math"/>
                  <w:szCs w:val="24"/>
                </w:rPr>
                <m:t xml:space="preserve"> </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ref</m:t>
                      </m:r>
                    </m:sub>
                  </m:sSub>
                </m:e>
              </m:acc>
            </m:oMath>
            <w:r>
              <w:rPr>
                <w:rFonts w:eastAsiaTheme="minorEastAsia"/>
                <w:szCs w:val="24"/>
              </w:rPr>
              <w:t xml:space="preserve"> </w:t>
            </w:r>
          </w:p>
          <w:p w14:paraId="5FD5D96E" w14:textId="245E1C61" w:rsidR="00347B64" w:rsidRPr="00347B64" w:rsidRDefault="00347B64" w:rsidP="00EA465C">
            <w:pPr>
              <w:jc w:val="center"/>
              <w:rPr>
                <w:rFonts w:eastAsiaTheme="minorEastAsia"/>
                <w:szCs w:val="24"/>
              </w:rPr>
            </w:pPr>
            <m:oMathPara>
              <m:oMath>
                <m:sSup>
                  <m:sSupPr>
                    <m:ctrlPr>
                      <w:rPr>
                        <w:rFonts w:ascii="Cambria Math" w:hAnsi="Cambria Math" w:cs="Arial"/>
                        <w:i/>
                        <w:color w:val="000000"/>
                        <w:szCs w:val="24"/>
                        <w:shd w:val="clear" w:color="auto" w:fill="FFFFFF"/>
                      </w:rPr>
                    </m:ctrlPr>
                  </m:sSupPr>
                  <m:e>
                    <m:r>
                      <w:rPr>
                        <w:rFonts w:ascii="Cambria Math" w:hAnsi="Cambria Math" w:cs="Arial"/>
                        <w:color w:val="000000"/>
                        <w:szCs w:val="24"/>
                        <w:shd w:val="clear" w:color="auto" w:fill="FFFFFF"/>
                      </w:rPr>
                      <m:t>R</m:t>
                    </m:r>
                  </m:e>
                  <m:sup>
                    <m:r>
                      <w:rPr>
                        <w:rFonts w:ascii="Cambria Math" w:hAnsi="Cambria Math" w:cs="Arial"/>
                        <w:color w:val="000000"/>
                        <w:szCs w:val="24"/>
                        <w:shd w:val="clear" w:color="auto" w:fill="FFFFFF"/>
                      </w:rPr>
                      <m:t>2</m:t>
                    </m:r>
                  </m:sup>
                </m:sSup>
                <m: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 xml:space="preserve"> </m:t>
                </m:r>
                <m:f>
                  <m:fPr>
                    <m:ctrlPr>
                      <w:rPr>
                        <w:rFonts w:ascii="Cambria Math" w:hAnsi="Cambria Math" w:cs="Arial"/>
                        <w:i/>
                        <w:color w:val="000000"/>
                        <w:szCs w:val="24"/>
                        <w:shd w:val="clear" w:color="auto" w:fill="FFFFFF"/>
                      </w:rPr>
                    </m:ctrlPr>
                  </m:fPr>
                  <m:num>
                    <m:nary>
                      <m:naryPr>
                        <m:chr m:val="∑"/>
                        <m:limLoc m:val="undOvr"/>
                        <m:ctrlPr>
                          <w:rPr>
                            <w:rFonts w:ascii="Cambria Math" w:hAnsi="Cambria Math" w:cs="Arial"/>
                            <w:i/>
                            <w:color w:val="000000"/>
                            <w:szCs w:val="24"/>
                            <w:shd w:val="clear" w:color="auto" w:fill="FFFFFF"/>
                          </w:rPr>
                        </m:ctrlPr>
                      </m:naryPr>
                      <m:sub>
                        <m:r>
                          <w:rPr>
                            <w:rFonts w:ascii="Cambria Math" w:hAnsi="Cambria Math" w:cs="Arial"/>
                            <w:color w:val="000000"/>
                            <w:szCs w:val="24"/>
                            <w:shd w:val="clear" w:color="auto" w:fill="FFFFFF"/>
                          </w:rPr>
                          <m:t>i=1</m:t>
                        </m:r>
                      </m:sub>
                      <m:sup>
                        <m:r>
                          <w:rPr>
                            <w:rFonts w:ascii="Cambria Math" w:hAnsi="Cambria Math" w:cs="Arial"/>
                            <w:color w:val="000000"/>
                            <w:szCs w:val="24"/>
                            <w:shd w:val="clear" w:color="auto" w:fill="FFFFFF"/>
                          </w:rPr>
                          <m:t>N</m:t>
                        </m:r>
                      </m:sup>
                      <m:e>
                        <m: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 xml:space="preserve">a .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+b-</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test</m:t>
                                </m:r>
                              </m:sub>
                            </m:sSub>
                          </m:e>
                        </m:acc>
                        <m:r>
                          <w:rPr>
                            <w:rFonts w:ascii="Cambria Math" w:eastAsiaTheme="minorEastAsia" w:hAnsi="Cambria Math"/>
                            <w:szCs w:val="24"/>
                          </w:rPr>
                          <m:t>)</m:t>
                        </m:r>
                      </m:e>
                    </m:nary>
                  </m:num>
                  <m:den>
                    <m:nary>
                      <m:naryPr>
                        <m:chr m:val="∑"/>
                        <m:limLoc m:val="undOvr"/>
                        <m:ctrlPr>
                          <w:rPr>
                            <w:rFonts w:ascii="Cambria Math" w:hAnsi="Cambria Math" w:cs="Arial"/>
                            <w:i/>
                            <w:color w:val="000000"/>
                            <w:szCs w:val="24"/>
                            <w:shd w:val="clear" w:color="auto" w:fill="FFFFFF"/>
                          </w:rPr>
                        </m:ctrlPr>
                      </m:naryPr>
                      <m:sub>
                        <m:r>
                          <w:rPr>
                            <w:rFonts w:ascii="Cambria Math" w:hAnsi="Cambria Math" w:cs="Arial"/>
                            <w:color w:val="000000"/>
                            <w:szCs w:val="24"/>
                            <w:shd w:val="clear" w:color="auto" w:fill="FFFFFF"/>
                          </w:rPr>
                          <m:t>i=1</m:t>
                        </m:r>
                      </m:sub>
                      <m:sup>
                        <m:r>
                          <w:rPr>
                            <w:rFonts w:ascii="Cambria Math" w:hAnsi="Cambria Math" w:cs="Arial"/>
                            <w:color w:val="000000"/>
                            <w:szCs w:val="24"/>
                            <w:shd w:val="clear" w:color="auto" w:fill="FFFFFF"/>
                          </w:rPr>
                          <m:t>N</m:t>
                        </m:r>
                      </m:sup>
                      <m:e>
                        <m:sSup>
                          <m:sSupPr>
                            <m:ctrlPr>
                              <w:rPr>
                                <w:rFonts w:ascii="Cambria Math" w:hAnsi="Cambria Math" w:cs="Arial"/>
                                <w:i/>
                                <w:color w:val="000000"/>
                                <w:szCs w:val="24"/>
                                <w:shd w:val="clear" w:color="auto" w:fill="FFFFFF"/>
                              </w:rPr>
                            </m:ctrlPr>
                          </m:sSupPr>
                          <m:e>
                            <m:r>
                              <w:rPr>
                                <w:rFonts w:ascii="Cambria Math" w:hAnsi="Cambria Math" w:cs="Arial"/>
                                <w:color w:val="000000"/>
                                <w:szCs w:val="24"/>
                                <w:shd w:val="clear" w:color="auto" w:fill="FFFFFF"/>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test</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test</m:t>
                                    </m:r>
                                  </m:sub>
                                </m:sSub>
                              </m:e>
                            </m:acc>
                            <m:r>
                              <w:rPr>
                                <w:rFonts w:ascii="Cambria Math" w:eastAsiaTheme="minorEastAsia" w:hAnsi="Cambria Math"/>
                                <w:szCs w:val="24"/>
                              </w:rPr>
                              <m:t>)</m:t>
                            </m:r>
                          </m:e>
                          <m:sup>
                            <m:r>
                              <w:rPr>
                                <w:rFonts w:ascii="Cambria Math" w:hAnsi="Cambria Math" w:cs="Arial"/>
                                <w:color w:val="000000"/>
                                <w:szCs w:val="24"/>
                                <w:shd w:val="clear" w:color="auto" w:fill="FFFFFF"/>
                              </w:rPr>
                              <m:t>2</m:t>
                            </m:r>
                          </m:sup>
                        </m:sSup>
                      </m:e>
                    </m:nary>
                  </m:den>
                </m:f>
              </m:oMath>
            </m:oMathPara>
          </w:p>
        </w:tc>
        <w:tc>
          <w:tcPr>
            <w:tcW w:w="700" w:type="dxa"/>
            <w:vAlign w:val="center"/>
          </w:tcPr>
          <w:p w14:paraId="2A032A21" w14:textId="7F57B6F8" w:rsidR="00347B64" w:rsidRPr="006B0C17" w:rsidRDefault="00347B64" w:rsidP="00347B64">
            <w:pPr>
              <w:jc w:val="right"/>
              <w:rPr>
                <w:szCs w:val="24"/>
              </w:rPr>
            </w:pPr>
            <w:r w:rsidRPr="006B0C17">
              <w:rPr>
                <w:szCs w:val="24"/>
              </w:rPr>
              <w:t>(S</w:t>
            </w:r>
            <w:r>
              <w:rPr>
                <w:szCs w:val="24"/>
              </w:rPr>
              <w:t>2</w:t>
            </w:r>
            <w:r w:rsidRPr="006B0C17">
              <w:rPr>
                <w:szCs w:val="24"/>
              </w:rPr>
              <w:t>)</w:t>
            </w:r>
          </w:p>
        </w:tc>
      </w:tr>
    </w:tbl>
    <w:p w14:paraId="7F2980C2" w14:textId="56BE1310" w:rsidR="006B0C17" w:rsidRDefault="00347B64" w:rsidP="00347B64">
      <w:pPr>
        <w:jc w:val="both"/>
      </w:pPr>
      <w:r w:rsidRPr="00347B64">
        <w:t>From equation</w:t>
      </w:r>
      <w:r>
        <w:t>s S2</w:t>
      </w:r>
      <w:r w:rsidRPr="00347B64">
        <w:t xml:space="preserve"> (adapted from Iosa 2018) we can estimate the optimal values for </w:t>
      </w:r>
      <m:oMath>
        <m:r>
          <w:rPr>
            <w:rFonts w:ascii="Cambria Math" w:hAnsi="Cambria Math"/>
          </w:rPr>
          <m:t>a</m:t>
        </m:r>
      </m:oMath>
      <w:r w:rsidRPr="00347B64">
        <w:t xml:space="preserve">, </w:t>
      </w:r>
      <m:oMath>
        <m:r>
          <w:rPr>
            <w:rFonts w:ascii="Cambria Math" w:hAnsi="Cambria Math"/>
            <w:szCs w:val="24"/>
          </w:rPr>
          <m:t>b</m:t>
        </m:r>
      </m:oMath>
      <w:r w:rsidRPr="00347B64">
        <w:t xml:space="preserve"> and </w:t>
      </w:r>
      <m:oMath>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oMath>
      <w:r w:rsidRPr="00347B64">
        <w:t xml:space="preserve">. If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test</m:t>
            </m:r>
          </m:sub>
        </m:sSub>
        <m:r>
          <w:rPr>
            <w:rFonts w:ascii="Cambria Math" w:hAnsi="Cambria Math"/>
            <w:szCs w:val="24"/>
          </w:rPr>
          <m:t>≃</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ref</m:t>
            </m:r>
          </m:sub>
        </m:sSub>
      </m:oMath>
      <w:r w:rsidR="005B2CFF">
        <w:rPr>
          <w:rFonts w:eastAsiaTheme="minorEastAsia"/>
          <w:szCs w:val="24"/>
        </w:rPr>
        <w:t xml:space="preserve"> </w:t>
      </w:r>
      <w:r w:rsidRPr="00347B64">
        <w:t xml:space="preserve">, </w:t>
      </w:r>
      <m:oMath>
        <m:r>
          <w:rPr>
            <w:rFonts w:ascii="Cambria Math" w:hAnsi="Cambria Math"/>
          </w:rPr>
          <m:t>a</m:t>
        </m:r>
        <m:r>
          <w:rPr>
            <w:rFonts w:ascii="Cambria Math" w:hAnsi="Cambria Math"/>
          </w:rPr>
          <m:t>→1</m:t>
        </m:r>
      </m:oMath>
      <w:r w:rsidRPr="00347B64">
        <w:t xml:space="preserve">, </w:t>
      </w:r>
      <m:oMath>
        <m:r>
          <w:rPr>
            <w:rFonts w:ascii="Cambria Math" w:hAnsi="Cambria Math"/>
          </w:rPr>
          <m:t>b</m:t>
        </m:r>
        <m:r>
          <w:rPr>
            <w:rFonts w:ascii="Cambria Math" w:hAnsi="Cambria Math"/>
          </w:rPr>
          <m:t>→</m:t>
        </m:r>
        <m:r>
          <w:rPr>
            <w:rFonts w:ascii="Cambria Math" w:hAnsi="Cambria Math"/>
          </w:rPr>
          <m:t>0</m:t>
        </m:r>
      </m:oMath>
      <w:r w:rsidRPr="00347B64">
        <w:t xml:space="preserve"> and</w:t>
      </w:r>
      <w:r w:rsidR="005B2CFF">
        <w:t xml:space="preserve"> </w:t>
      </w:r>
      <m:oMath>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rPr>
          <m:t>→1</m:t>
        </m:r>
      </m:oMath>
      <w:r w:rsidRPr="00347B64">
        <w:t xml:space="preserve">. Here, MVIC and MEP epochs collected using the in-house EMG acquisition system and BIOPAC MP36 were considered test and reference signals, respectively. Then, as LFM coefficients are obtained for each epoch, the 95% confidence interval (CI) of LFM coefficients were calculated considering all epochs together as well separately for MEP and MVIC epoch, representing the agreement between both systems. Additionally, each epoch was used to calculate an </w:t>
      </w:r>
      <w:r w:rsidRPr="00347B64">
        <w:rPr>
          <w:b/>
          <w:bCs/>
        </w:rPr>
        <w:t>integrated pointwise index</w:t>
      </w:r>
      <w:r w:rsidRPr="00347B64">
        <w:t xml:space="preserve"> (</w:t>
      </w:r>
      <m:oMath>
        <m:sSub>
          <m:sSubPr>
            <m:ctrlPr>
              <w:rPr>
                <w:rFonts w:ascii="Cambria Math" w:hAnsi="Cambria Math"/>
                <w:i/>
                <w:szCs w:val="24"/>
              </w:rPr>
            </m:ctrlPr>
          </m:sSubPr>
          <m:e>
            <m:r>
              <w:rPr>
                <w:rFonts w:ascii="Cambria Math" w:hAnsi="Cambria Math"/>
                <w:szCs w:val="24"/>
              </w:rPr>
              <m:t>IPI</m:t>
            </m:r>
          </m:e>
          <m:sub>
            <m:r>
              <w:rPr>
                <w:rFonts w:ascii="Cambria Math" w:hAnsi="Cambria Math"/>
                <w:szCs w:val="24"/>
              </w:rPr>
              <m:t>icc</m:t>
            </m:r>
          </m:sub>
        </m:sSub>
      </m:oMath>
      <w:r w:rsidRPr="00347B64">
        <w:t xml:space="preserve"> - </w:t>
      </w:r>
      <w:r w:rsidR="004414B3">
        <w:fldChar w:fldCharType="begin"/>
      </w:r>
      <w:r w:rsidR="004414B3">
        <w:instrText xml:space="preserve"> ADDIN ZOTERO_ITEM CSL_CITATION {"citationID":"1sGWYXXp","properties":{"formattedCitation":"(Pini, Markstr\\uc0\\u246{}m, and Schelin 2022)","plainCitation":"(Pini, Markström, and Schelin 2022)","noteIndex":0},"citationItems":[{"id":874,"uris":["http://zotero.org/users/8763446/items/YLKJ97QU"],"itemData":{"id":874,"type":"article-journal","abstract":"The purpose of this paper is to provide an overview of available methods for reliability investigations when the outcome of interest is a curve. Curve data, or functional data, is commonly collected in biomechanical research in order to better understand diﬀerent aspects of human movement. Using recent statistical developments, curve data can be analysed in its most detailed form, as functions. However, an overview of appropriate statistical methods for assessing reliability of curve data is lacking. A review of contemporary literature of reliability measures for curve data within the ﬁelds of biomechanics and statistics identiﬁed the following methods: coeﬃcient of multiple correlation, functional limits of agreement, measures of distance and similarity, and integrated pointwise indices (an extension of univariate reliability measures to curve data, inclusive of Pearson correlation, intraclass correlation, and standard error of measurement). These methods are brieﬂy presented, implemented (R-code available as supplementary material) and evaluated on simulated data to highlight advantages and disadvantages of the methods. Among the identiﬁed methods, the integrated intraclass correlation and standard error of measurement are recommended. These methods are straightforward to implement, enable results over the domain, and consider variation between individuals, which the other methods partly neglect.","container-title":"Sports Biomechanics","DOI":"10.1080/14763141.2019.1655089","ISSN":"1476-3141, 1752-6116","issue":"2","journalAbbreviation":"Sports Biomechanics","language":"en","page":"179-200","source":"DOI.org (Crossref)","title":"Test–retest reliability measures for curve data: an overview with recommendations and supplementary code","title-short":"Test–retest reliability measures for curve data","volume":"21","author":[{"family":"Pini","given":"Alessia"},{"family":"Markström","given":"Jonas L"},{"family":"Schelin","given":"Lina"}],"issued":{"date-parts":[["2022",2,7]]}}}],"schema":"https://github.com/citation-style-language/schema/raw/master/csl-citation.json"} </w:instrText>
      </w:r>
      <w:r w:rsidR="004414B3">
        <w:fldChar w:fldCharType="separate"/>
      </w:r>
      <w:r w:rsidR="004414B3" w:rsidRPr="004414B3">
        <w:rPr>
          <w:rFonts w:cs="Times New Roman"/>
          <w:szCs w:val="24"/>
        </w:rPr>
        <w:t>Pini, Markström, and Schelin 2022)</w:t>
      </w:r>
      <w:r w:rsidR="004414B3">
        <w:fldChar w:fldCharType="end"/>
      </w:r>
      <w:r w:rsidRPr="00347B64">
        <w:t>. This technique consists in an extension of common reliability measures for univariate analysis, integrated over each data point of the EMG trace:</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0"/>
      </w:tblGrid>
      <w:tr w:rsidR="005B2CFF" w:rsidRPr="006B0C17" w14:paraId="277FD589" w14:textId="77777777" w:rsidTr="00EA465C">
        <w:tc>
          <w:tcPr>
            <w:tcW w:w="9067" w:type="dxa"/>
            <w:vAlign w:val="center"/>
          </w:tcPr>
          <w:p w14:paraId="1A9BDCA6" w14:textId="136E4E2D" w:rsidR="005B2CFF" w:rsidRPr="006B0C17" w:rsidRDefault="005B2CFF" w:rsidP="00EA465C">
            <w:pPr>
              <w:jc w:val="center"/>
              <w:rPr>
                <w:szCs w:val="24"/>
              </w:rPr>
            </w:pPr>
            <m:oMathPara>
              <m:oMath>
                <m:sSub>
                  <m:sSubPr>
                    <m:ctrlPr>
                      <w:rPr>
                        <w:rFonts w:ascii="Cambria Math" w:hAnsi="Cambria Math"/>
                        <w:i/>
                        <w:szCs w:val="24"/>
                      </w:rPr>
                    </m:ctrlPr>
                  </m:sSubPr>
                  <m:e>
                    <m:r>
                      <w:rPr>
                        <w:rFonts w:ascii="Cambria Math" w:hAnsi="Cambria Math"/>
                        <w:szCs w:val="24"/>
                      </w:rPr>
                      <m:t>IPI</m:t>
                    </m:r>
                  </m:e>
                  <m:sub>
                    <m:r>
                      <w:rPr>
                        <w:rFonts w:ascii="Cambria Math" w:hAnsi="Cambria Math"/>
                        <w:szCs w:val="24"/>
                      </w:rPr>
                      <m:t>icc</m:t>
                    </m:r>
                  </m:sub>
                </m:sSub>
                <m:r>
                  <w:rPr>
                    <w:rFonts w:ascii="Cambria Math" w:hAnsi="Cambria Math" w:cs="Arial"/>
                    <w:color w:val="000000"/>
                    <w:szCs w:val="24"/>
                    <w:shd w:val="clear" w:color="auto" w:fill="FFFFFF"/>
                  </w:rPr>
                  <m:t>=</m:t>
                </m:r>
                <m:f>
                  <m:fPr>
                    <m:ctrlPr>
                      <w:rPr>
                        <w:rFonts w:ascii="Cambria Math" w:hAnsi="Cambria Math" w:cs="Arial"/>
                        <w:i/>
                        <w:color w:val="000000"/>
                        <w:szCs w:val="24"/>
                        <w:shd w:val="clear" w:color="auto" w:fill="FFFFFF"/>
                      </w:rPr>
                    </m:ctrlPr>
                  </m:fPr>
                  <m:num>
                    <m:nary>
                      <m:naryPr>
                        <m:chr m:val="∑"/>
                        <m:limLoc m:val="undOvr"/>
                        <m:ctrlPr>
                          <w:rPr>
                            <w:rFonts w:ascii="Cambria Math" w:hAnsi="Cambria Math" w:cs="Arial"/>
                            <w:i/>
                            <w:color w:val="000000"/>
                            <w:szCs w:val="24"/>
                            <w:shd w:val="clear" w:color="auto" w:fill="FFFFFF"/>
                          </w:rPr>
                        </m:ctrlPr>
                      </m:naryPr>
                      <m:sub>
                        <m:r>
                          <w:rPr>
                            <w:rFonts w:ascii="Cambria Math" w:hAnsi="Cambria Math" w:cs="Arial"/>
                            <w:color w:val="000000"/>
                            <w:szCs w:val="24"/>
                            <w:shd w:val="clear" w:color="auto" w:fill="FFFFFF"/>
                          </w:rPr>
                          <m:t>i=1</m:t>
                        </m:r>
                      </m:sub>
                      <m:sup>
                        <m:r>
                          <w:rPr>
                            <w:rFonts w:ascii="Cambria Math" w:hAnsi="Cambria Math" w:cs="Arial"/>
                            <w:color w:val="000000"/>
                            <w:szCs w:val="24"/>
                            <w:shd w:val="clear" w:color="auto" w:fill="FFFFFF"/>
                          </w:rPr>
                          <m:t>N</m:t>
                        </m:r>
                      </m:sup>
                      <m:e>
                        <m:r>
                          <w:rPr>
                            <w:rFonts w:ascii="Cambria Math" w:hAnsi="Cambria Math" w:cs="Arial"/>
                            <w:color w:val="000000"/>
                            <w:szCs w:val="24"/>
                            <w:shd w:val="clear" w:color="auto" w:fill="FFFFFF"/>
                          </w:rPr>
                          <m:t>ICC(i)</m:t>
                        </m:r>
                      </m:e>
                    </m:nary>
                  </m:num>
                  <m:den>
                    <m:r>
                      <w:rPr>
                        <w:rFonts w:ascii="Cambria Math" w:hAnsi="Cambria Math" w:cs="Arial"/>
                        <w:color w:val="000000"/>
                        <w:szCs w:val="24"/>
                        <w:shd w:val="clear" w:color="auto" w:fill="FFFFFF"/>
                      </w:rPr>
                      <m:t>N-1</m:t>
                    </m:r>
                  </m:den>
                </m:f>
              </m:oMath>
            </m:oMathPara>
          </w:p>
        </w:tc>
        <w:tc>
          <w:tcPr>
            <w:tcW w:w="700" w:type="dxa"/>
            <w:vAlign w:val="center"/>
          </w:tcPr>
          <w:p w14:paraId="686C8D91" w14:textId="36172821" w:rsidR="005B2CFF" w:rsidRPr="006B0C17" w:rsidRDefault="005B2CFF" w:rsidP="00EA465C">
            <w:pPr>
              <w:jc w:val="right"/>
              <w:rPr>
                <w:szCs w:val="24"/>
              </w:rPr>
            </w:pPr>
            <w:r w:rsidRPr="006B0C17">
              <w:rPr>
                <w:szCs w:val="24"/>
              </w:rPr>
              <w:t>(S</w:t>
            </w:r>
            <w:r>
              <w:rPr>
                <w:szCs w:val="24"/>
              </w:rPr>
              <w:t>3</w:t>
            </w:r>
            <w:r w:rsidRPr="006B0C17">
              <w:rPr>
                <w:szCs w:val="24"/>
              </w:rPr>
              <w:t>)</w:t>
            </w:r>
          </w:p>
        </w:tc>
      </w:tr>
    </w:tbl>
    <w:p w14:paraId="78E53845" w14:textId="36E12BDC" w:rsidR="005B2CFF" w:rsidRDefault="005B2CFF" w:rsidP="005B2CFF">
      <w:pPr>
        <w:jc w:val="both"/>
      </w:pPr>
      <w:r>
        <w:t>Intraclass correlation coefficient for absolute agreement (ICC) was used to assess reliability. ICC for absolute agreement can be calculated using variance components of a two-way mixed effect model without interactions. As described by Pini et al., the total sum of squares of each data point i can be divided into three factors: individual (</w:t>
      </w:r>
      <m:oMath>
        <m:sSub>
          <m:sSubPr>
            <m:ctrlPr>
              <w:rPr>
                <w:rFonts w:ascii="Cambria Math" w:hAnsi="Cambria Math"/>
                <w:i/>
                <w:szCs w:val="24"/>
              </w:rPr>
            </m:ctrlPr>
          </m:sSubPr>
          <m:e>
            <m:r>
              <w:rPr>
                <w:rFonts w:ascii="Cambria Math" w:hAnsi="Cambria Math"/>
                <w:szCs w:val="24"/>
              </w:rPr>
              <m:t>S</m:t>
            </m:r>
            <m:r>
              <w:rPr>
                <w:rFonts w:ascii="Cambria Math" w:hAnsi="Cambria Math"/>
                <w:szCs w:val="24"/>
              </w:rPr>
              <m:t>S</m:t>
            </m:r>
          </m:e>
          <m:sub>
            <m:r>
              <w:rPr>
                <w:rFonts w:ascii="Cambria Math" w:hAnsi="Cambria Math"/>
                <w:szCs w:val="24"/>
              </w:rPr>
              <m:t>ind</m:t>
            </m:r>
          </m:sub>
        </m:sSub>
        <m:r>
          <w:rPr>
            <w:rFonts w:ascii="Cambria Math" w:eastAsiaTheme="minorEastAsia" w:hAnsi="Cambria Math"/>
            <w:szCs w:val="24"/>
          </w:rPr>
          <m:t>(i)</m:t>
        </m:r>
      </m:oMath>
      <w:r>
        <w:t>), repetition (</w:t>
      </w:r>
      <m:oMath>
        <m:sSub>
          <m:sSubPr>
            <m:ctrlPr>
              <w:rPr>
                <w:rFonts w:ascii="Cambria Math" w:hAnsi="Cambria Math"/>
                <w:i/>
                <w:szCs w:val="24"/>
              </w:rPr>
            </m:ctrlPr>
          </m:sSubPr>
          <m:e>
            <m:r>
              <w:rPr>
                <w:rFonts w:ascii="Cambria Math" w:hAnsi="Cambria Math"/>
                <w:szCs w:val="24"/>
              </w:rPr>
              <m:t>S</m:t>
            </m:r>
            <m:r>
              <w:rPr>
                <w:rFonts w:ascii="Cambria Math" w:hAnsi="Cambria Math"/>
                <w:szCs w:val="24"/>
              </w:rPr>
              <m:t>S</m:t>
            </m:r>
          </m:e>
          <m:sub>
            <m:r>
              <w:rPr>
                <w:rFonts w:ascii="Cambria Math" w:hAnsi="Cambria Math"/>
                <w:szCs w:val="24"/>
              </w:rPr>
              <m:t>rep</m:t>
            </m:r>
          </m:sub>
        </m:sSub>
        <m:r>
          <w:rPr>
            <w:rFonts w:ascii="Cambria Math" w:eastAsiaTheme="minorEastAsia" w:hAnsi="Cambria Math"/>
            <w:szCs w:val="24"/>
          </w:rPr>
          <m:t>(i)</m:t>
        </m:r>
      </m:oMath>
      <w:r>
        <w:t>) and residual (</w:t>
      </w:r>
      <m:oMath>
        <m:sSub>
          <m:sSubPr>
            <m:ctrlPr>
              <w:rPr>
                <w:rFonts w:ascii="Cambria Math" w:hAnsi="Cambria Math"/>
                <w:i/>
                <w:szCs w:val="24"/>
              </w:rPr>
            </m:ctrlPr>
          </m:sSubPr>
          <m:e>
            <m:r>
              <w:rPr>
                <w:rFonts w:ascii="Cambria Math" w:hAnsi="Cambria Math"/>
                <w:szCs w:val="24"/>
              </w:rPr>
              <m:t>S</m:t>
            </m:r>
            <m:r>
              <w:rPr>
                <w:rFonts w:ascii="Cambria Math" w:hAnsi="Cambria Math"/>
                <w:szCs w:val="24"/>
              </w:rPr>
              <m:t>S</m:t>
            </m:r>
          </m:e>
          <m:sub>
            <m:r>
              <w:rPr>
                <w:rFonts w:ascii="Cambria Math" w:hAnsi="Cambria Math"/>
                <w:szCs w:val="24"/>
              </w:rPr>
              <m:t>res</m:t>
            </m:r>
          </m:sub>
        </m:sSub>
        <m:r>
          <w:rPr>
            <w:rFonts w:ascii="Cambria Math" w:eastAsiaTheme="minorEastAsia" w:hAnsi="Cambria Math"/>
            <w:szCs w:val="24"/>
          </w:rPr>
          <m:t>(i)</m:t>
        </m:r>
      </m:oMath>
      <w:r>
        <w:t xml:space="preserve">) sum of squares. Dividing each sum of squares by its corresponding degree of freedom we obtain the mean sum of squares for each factor: </w:t>
      </w:r>
      <m:oMath>
        <m:sSub>
          <m:sSubPr>
            <m:ctrlPr>
              <w:rPr>
                <w:rFonts w:ascii="Cambria Math" w:hAnsi="Cambria Math"/>
                <w:i/>
                <w:szCs w:val="24"/>
              </w:rPr>
            </m:ctrlPr>
          </m:sSubPr>
          <m:e>
            <m:r>
              <w:rPr>
                <w:rFonts w:ascii="Cambria Math" w:hAnsi="Cambria Math"/>
                <w:szCs w:val="24"/>
              </w:rPr>
              <m:t>M</m:t>
            </m:r>
            <m:r>
              <w:rPr>
                <w:rFonts w:ascii="Cambria Math" w:hAnsi="Cambria Math"/>
                <w:szCs w:val="24"/>
              </w:rPr>
              <m:t>S</m:t>
            </m:r>
          </m:e>
          <m:sub>
            <m:r>
              <w:rPr>
                <w:rFonts w:ascii="Cambria Math" w:hAnsi="Cambria Math"/>
                <w:szCs w:val="24"/>
              </w:rPr>
              <m:t>ind</m:t>
            </m:r>
          </m:sub>
        </m:sSub>
        <m:r>
          <w:rPr>
            <w:rFonts w:ascii="Cambria Math" w:eastAsiaTheme="minorEastAsia" w:hAnsi="Cambria Math"/>
            <w:szCs w:val="24"/>
          </w:rPr>
          <m:t>(i)</m:t>
        </m:r>
      </m:oMath>
      <w:r>
        <w:t xml:space="preserve">, </w:t>
      </w:r>
      <m:oMath>
        <m:sSub>
          <m:sSubPr>
            <m:ctrlPr>
              <w:rPr>
                <w:rFonts w:ascii="Cambria Math" w:hAnsi="Cambria Math"/>
                <w:i/>
                <w:szCs w:val="24"/>
              </w:rPr>
            </m:ctrlPr>
          </m:sSubPr>
          <m:e>
            <m:r>
              <w:rPr>
                <w:rFonts w:ascii="Cambria Math" w:hAnsi="Cambria Math"/>
                <w:szCs w:val="24"/>
              </w:rPr>
              <m:t>MS</m:t>
            </m:r>
          </m:e>
          <m:sub>
            <m:r>
              <w:rPr>
                <w:rFonts w:ascii="Cambria Math" w:hAnsi="Cambria Math"/>
                <w:szCs w:val="24"/>
              </w:rPr>
              <m:t>rep</m:t>
            </m:r>
          </m:sub>
        </m:sSub>
        <m:r>
          <w:rPr>
            <w:rFonts w:ascii="Cambria Math" w:eastAsiaTheme="minorEastAsia" w:hAnsi="Cambria Math"/>
            <w:szCs w:val="24"/>
          </w:rPr>
          <m:t>(i)</m:t>
        </m:r>
      </m:oMath>
      <w:r>
        <w:t xml:space="preserve"> and </w:t>
      </w:r>
      <m:oMath>
        <m:sSub>
          <m:sSubPr>
            <m:ctrlPr>
              <w:rPr>
                <w:rFonts w:ascii="Cambria Math" w:hAnsi="Cambria Math"/>
                <w:i/>
                <w:szCs w:val="24"/>
              </w:rPr>
            </m:ctrlPr>
          </m:sSubPr>
          <m:e>
            <m:r>
              <w:rPr>
                <w:rFonts w:ascii="Cambria Math" w:hAnsi="Cambria Math"/>
                <w:szCs w:val="24"/>
              </w:rPr>
              <m:t>MS</m:t>
            </m:r>
          </m:e>
          <m:sub>
            <m:r>
              <w:rPr>
                <w:rFonts w:ascii="Cambria Math" w:hAnsi="Cambria Math"/>
                <w:szCs w:val="24"/>
              </w:rPr>
              <m:t>res</m:t>
            </m:r>
          </m:sub>
        </m:sSub>
        <m:r>
          <w:rPr>
            <w:rFonts w:ascii="Cambria Math" w:eastAsiaTheme="minorEastAsia" w:hAnsi="Cambria Math"/>
            <w:szCs w:val="24"/>
          </w:rPr>
          <m:t>(i)</m:t>
        </m:r>
      </m:oMath>
      <w:r>
        <w:t xml:space="preserve">, respectively. </w:t>
      </w:r>
      <m:oMath>
        <m:sSub>
          <m:sSubPr>
            <m:ctrlPr>
              <w:rPr>
                <w:rFonts w:ascii="Cambria Math" w:hAnsi="Cambria Math"/>
                <w:i/>
                <w:szCs w:val="24"/>
              </w:rPr>
            </m:ctrlPr>
          </m:sSubPr>
          <m:e>
            <m:r>
              <w:rPr>
                <w:rFonts w:ascii="Cambria Math" w:hAnsi="Cambria Math"/>
                <w:szCs w:val="24"/>
              </w:rPr>
              <m:t>ICC</m:t>
            </m:r>
          </m:e>
          <m:sub>
            <m:r>
              <w:rPr>
                <w:rFonts w:ascii="Cambria Math" w:hAnsi="Cambria Math"/>
                <w:szCs w:val="24"/>
              </w:rPr>
              <m:t>aa</m:t>
            </m:r>
          </m:sub>
        </m:sSub>
        <m:r>
          <w:rPr>
            <w:rFonts w:ascii="Cambria Math" w:eastAsiaTheme="minorEastAsia" w:hAnsi="Cambria Math"/>
            <w:szCs w:val="24"/>
          </w:rPr>
          <m:t>(</m:t>
        </m:r>
        <m:r>
          <w:rPr>
            <w:rFonts w:ascii="Cambria Math" w:eastAsiaTheme="minorEastAsia" w:hAnsi="Cambria Math"/>
            <w:szCs w:val="24"/>
          </w:rPr>
          <m:t>i)</m:t>
        </m:r>
      </m:oMath>
      <w:r>
        <w:t>calculation for each data point is computed by applying equation S4:</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0"/>
      </w:tblGrid>
      <w:tr w:rsidR="005B2CFF" w:rsidRPr="006B0C17" w14:paraId="127AE60F" w14:textId="77777777" w:rsidTr="00EA465C">
        <w:tc>
          <w:tcPr>
            <w:tcW w:w="9067" w:type="dxa"/>
            <w:vAlign w:val="center"/>
          </w:tcPr>
          <w:p w14:paraId="212C479E" w14:textId="3C6160B4" w:rsidR="005B2CFF" w:rsidRPr="006B0C17" w:rsidRDefault="005B2CFF" w:rsidP="00EA465C">
            <w:pPr>
              <w:jc w:val="center"/>
              <w:rPr>
                <w:szCs w:val="24"/>
              </w:rPr>
            </w:pPr>
            <m:oMathPara>
              <m:oMath>
                <m:sSub>
                  <m:sSubPr>
                    <m:ctrlPr>
                      <w:rPr>
                        <w:rFonts w:ascii="Cambria Math" w:hAnsi="Cambria Math"/>
                        <w:i/>
                        <w:szCs w:val="24"/>
                      </w:rPr>
                    </m:ctrlPr>
                  </m:sSubPr>
                  <m:e>
                    <m:r>
                      <w:rPr>
                        <w:rFonts w:ascii="Cambria Math" w:hAnsi="Cambria Math"/>
                        <w:szCs w:val="24"/>
                      </w:rPr>
                      <m:t>I</m:t>
                    </m:r>
                    <m:r>
                      <w:rPr>
                        <w:rFonts w:ascii="Cambria Math" w:hAnsi="Cambria Math"/>
                        <w:szCs w:val="24"/>
                      </w:rPr>
                      <m:t>CC</m:t>
                    </m:r>
                  </m:e>
                  <m:sub>
                    <m:r>
                      <w:rPr>
                        <w:rFonts w:ascii="Cambria Math" w:hAnsi="Cambria Math"/>
                        <w:szCs w:val="24"/>
                      </w:rPr>
                      <m:t>aa</m:t>
                    </m:r>
                  </m:sub>
                </m:sSub>
                <m:r>
                  <w:rPr>
                    <w:rFonts w:ascii="Cambria Math" w:hAnsi="Cambria Math" w:cs="Arial"/>
                    <w:color w:val="000000"/>
                    <w:szCs w:val="24"/>
                    <w:shd w:val="clear" w:color="auto" w:fill="FFFFFF"/>
                  </w:rPr>
                  <m:t>(i)</m:t>
                </m:r>
                <m:r>
                  <w:rPr>
                    <w:rFonts w:ascii="Cambria Math" w:hAnsi="Cambria Math" w:cs="Arial"/>
                    <w:color w:val="000000"/>
                    <w:szCs w:val="24"/>
                    <w:shd w:val="clear" w:color="auto" w:fill="FFFFFF"/>
                  </w:rPr>
                  <m:t>=</m:t>
                </m:r>
                <m:f>
                  <m:fPr>
                    <m:ctrlPr>
                      <w:rPr>
                        <w:rFonts w:ascii="Cambria Math" w:hAnsi="Cambria Math" w:cs="Arial"/>
                        <w:i/>
                        <w:color w:val="000000"/>
                        <w:szCs w:val="24"/>
                        <w:shd w:val="clear" w:color="auto" w:fill="FFFFFF"/>
                      </w:rPr>
                    </m:ctrlPr>
                  </m:fPr>
                  <m:num>
                    <m:sSub>
                      <m:sSubPr>
                        <m:ctrlPr>
                          <w:rPr>
                            <w:rFonts w:ascii="Cambria Math" w:hAnsi="Cambria Math"/>
                            <w:i/>
                            <w:szCs w:val="24"/>
                          </w:rPr>
                        </m:ctrlPr>
                      </m:sSubPr>
                      <m:e>
                        <m:r>
                          <w:rPr>
                            <w:rFonts w:ascii="Cambria Math" w:hAnsi="Cambria Math"/>
                            <w:szCs w:val="24"/>
                          </w:rPr>
                          <m:t>MS</m:t>
                        </m:r>
                      </m:e>
                      <m:sub>
                        <m:r>
                          <w:rPr>
                            <w:rFonts w:ascii="Cambria Math" w:hAnsi="Cambria Math"/>
                            <w:szCs w:val="24"/>
                          </w:rPr>
                          <m:t>ind</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 xml:space="preserve">- </m:t>
                    </m:r>
                    <m:sSub>
                      <m:sSubPr>
                        <m:ctrlPr>
                          <w:rPr>
                            <w:rFonts w:ascii="Cambria Math" w:hAnsi="Cambria Math"/>
                            <w:i/>
                            <w:szCs w:val="24"/>
                          </w:rPr>
                        </m:ctrlPr>
                      </m:sSubPr>
                      <m:e>
                        <m:r>
                          <w:rPr>
                            <w:rFonts w:ascii="Cambria Math" w:hAnsi="Cambria Math"/>
                            <w:szCs w:val="24"/>
                          </w:rPr>
                          <m:t>MS</m:t>
                        </m:r>
                      </m:e>
                      <m:sub>
                        <m:r>
                          <w:rPr>
                            <w:rFonts w:ascii="Cambria Math" w:hAnsi="Cambria Math"/>
                            <w:szCs w:val="24"/>
                          </w:rPr>
                          <m:t>res</m:t>
                        </m:r>
                      </m:sub>
                    </m:sSub>
                    <m:r>
                      <w:rPr>
                        <w:rFonts w:ascii="Cambria Math" w:eastAsiaTheme="minorEastAsia" w:hAnsi="Cambria Math"/>
                        <w:szCs w:val="24"/>
                      </w:rPr>
                      <m:t>(i)</m:t>
                    </m:r>
                  </m:num>
                  <m:den>
                    <m:sSub>
                      <m:sSubPr>
                        <m:ctrlPr>
                          <w:rPr>
                            <w:rFonts w:ascii="Cambria Math" w:hAnsi="Cambria Math"/>
                            <w:i/>
                            <w:szCs w:val="24"/>
                          </w:rPr>
                        </m:ctrlPr>
                      </m:sSubPr>
                      <m:e>
                        <m:r>
                          <w:rPr>
                            <w:rFonts w:ascii="Cambria Math" w:hAnsi="Cambria Math"/>
                            <w:szCs w:val="24"/>
                          </w:rPr>
                          <m:t>MS</m:t>
                        </m:r>
                      </m:e>
                      <m:sub>
                        <m:r>
                          <w:rPr>
                            <w:rFonts w:ascii="Cambria Math" w:hAnsi="Cambria Math"/>
                            <w:szCs w:val="24"/>
                          </w:rPr>
                          <m:t>ind</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 xml:space="preserve">+ </m:t>
                    </m:r>
                    <m:sSub>
                      <m:sSubPr>
                        <m:ctrlPr>
                          <w:rPr>
                            <w:rFonts w:ascii="Cambria Math" w:hAnsi="Cambria Math"/>
                            <w:i/>
                            <w:szCs w:val="24"/>
                          </w:rPr>
                        </m:ctrlPr>
                      </m:sSubPr>
                      <m:e>
                        <m:r>
                          <w:rPr>
                            <w:rFonts w:ascii="Cambria Math" w:hAnsi="Cambria Math"/>
                            <w:szCs w:val="24"/>
                          </w:rPr>
                          <m:t>MS</m:t>
                        </m:r>
                      </m:e>
                      <m:sub>
                        <m:r>
                          <w:rPr>
                            <w:rFonts w:ascii="Cambria Math" w:hAnsi="Cambria Math"/>
                            <w:szCs w:val="24"/>
                          </w:rPr>
                          <m:t>res</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2</m:t>
                        </m:r>
                      </m:num>
                      <m:den>
                        <m:r>
                          <w:rPr>
                            <w:rFonts w:ascii="Cambria Math" w:eastAsiaTheme="minorEastAsia" w:hAnsi="Cambria Math"/>
                            <w:szCs w:val="24"/>
                          </w:rPr>
                          <m:t>N</m:t>
                        </m:r>
                      </m:den>
                    </m:f>
                    <m:d>
                      <m:dPr>
                        <m:begChr m:val="["/>
                        <m:endChr m:val="]"/>
                        <m:ctrlPr>
                          <w:rPr>
                            <w:rFonts w:ascii="Cambria Math" w:eastAsiaTheme="minorEastAsia" w:hAnsi="Cambria Math"/>
                            <w:i/>
                            <w:szCs w:val="24"/>
                          </w:rPr>
                        </m:ctrlPr>
                      </m:dPr>
                      <m:e>
                        <m:sSub>
                          <m:sSubPr>
                            <m:ctrlPr>
                              <w:rPr>
                                <w:rFonts w:ascii="Cambria Math" w:hAnsi="Cambria Math"/>
                                <w:i/>
                                <w:szCs w:val="24"/>
                              </w:rPr>
                            </m:ctrlPr>
                          </m:sSubPr>
                          <m:e>
                            <m:r>
                              <w:rPr>
                                <w:rFonts w:ascii="Cambria Math" w:hAnsi="Cambria Math"/>
                                <w:szCs w:val="24"/>
                              </w:rPr>
                              <m:t>MS</m:t>
                            </m:r>
                          </m:e>
                          <m:sub>
                            <m:r>
                              <w:rPr>
                                <w:rFonts w:ascii="Cambria Math" w:hAnsi="Cambria Math"/>
                                <w:szCs w:val="24"/>
                              </w:rPr>
                              <m:t>rep</m:t>
                            </m:r>
                          </m:sub>
                        </m:sSub>
                        <m:d>
                          <m:dPr>
                            <m:ctrlPr>
                              <w:rPr>
                                <w:rFonts w:ascii="Cambria Math" w:eastAsiaTheme="minorEastAsia" w:hAnsi="Cambria Math"/>
                                <w:i/>
                                <w:szCs w:val="24"/>
                              </w:rPr>
                            </m:ctrlPr>
                          </m:dPr>
                          <m:e>
                            <m:r>
                              <w:rPr>
                                <w:rFonts w:ascii="Cambria Math" w:eastAsiaTheme="minorEastAsia" w:hAnsi="Cambria Math"/>
                                <w:szCs w:val="24"/>
                              </w:rPr>
                              <m:t>i</m:t>
                            </m:r>
                          </m:e>
                        </m:d>
                        <m:r>
                          <w:rPr>
                            <w:rFonts w:ascii="Cambria Math" w:eastAsiaTheme="minorEastAsia" w:hAnsi="Cambria Math"/>
                            <w:szCs w:val="24"/>
                          </w:rPr>
                          <m:t>+</m:t>
                        </m:r>
                        <m:sSub>
                          <m:sSubPr>
                            <m:ctrlPr>
                              <w:rPr>
                                <w:rFonts w:ascii="Cambria Math" w:hAnsi="Cambria Math"/>
                                <w:i/>
                                <w:szCs w:val="24"/>
                              </w:rPr>
                            </m:ctrlPr>
                          </m:sSubPr>
                          <m:e>
                            <m:r>
                              <w:rPr>
                                <w:rFonts w:ascii="Cambria Math" w:hAnsi="Cambria Math"/>
                                <w:szCs w:val="24"/>
                              </w:rPr>
                              <m:t>MS</m:t>
                            </m:r>
                          </m:e>
                          <m:sub>
                            <m:r>
                              <w:rPr>
                                <w:rFonts w:ascii="Cambria Math" w:hAnsi="Cambria Math"/>
                                <w:szCs w:val="24"/>
                              </w:rPr>
                              <m:t>res</m:t>
                            </m:r>
                          </m:sub>
                        </m:sSub>
                        <m:r>
                          <w:rPr>
                            <w:rFonts w:ascii="Cambria Math" w:eastAsiaTheme="minorEastAsia" w:hAnsi="Cambria Math"/>
                            <w:szCs w:val="24"/>
                          </w:rPr>
                          <m:t>(i)</m:t>
                        </m:r>
                      </m:e>
                    </m:d>
                  </m:den>
                </m:f>
              </m:oMath>
            </m:oMathPara>
          </w:p>
        </w:tc>
        <w:tc>
          <w:tcPr>
            <w:tcW w:w="700" w:type="dxa"/>
            <w:vAlign w:val="center"/>
          </w:tcPr>
          <w:p w14:paraId="3AC4298D" w14:textId="1192FA16" w:rsidR="005B2CFF" w:rsidRPr="006B0C17" w:rsidRDefault="005B2CFF" w:rsidP="00EA465C">
            <w:pPr>
              <w:jc w:val="right"/>
              <w:rPr>
                <w:szCs w:val="24"/>
              </w:rPr>
            </w:pPr>
            <w:r w:rsidRPr="006B0C17">
              <w:rPr>
                <w:szCs w:val="24"/>
              </w:rPr>
              <w:t>(S</w:t>
            </w:r>
            <w:r>
              <w:rPr>
                <w:szCs w:val="24"/>
              </w:rPr>
              <w:t>4</w:t>
            </w:r>
            <w:r w:rsidRPr="006B0C17">
              <w:rPr>
                <w:szCs w:val="24"/>
              </w:rPr>
              <w:t>)</w:t>
            </w:r>
          </w:p>
        </w:tc>
      </w:tr>
    </w:tbl>
    <w:p w14:paraId="6A9D386D" w14:textId="651CABC3" w:rsidR="004F3669" w:rsidRDefault="004F3669" w:rsidP="004414B3">
      <w:pPr>
        <w:jc w:val="both"/>
      </w:pPr>
      <w:r>
        <w:t xml:space="preserve">Mean </w:t>
      </w:r>
      <m:oMath>
        <m:sSub>
          <m:sSubPr>
            <m:ctrlPr>
              <w:rPr>
                <w:rFonts w:ascii="Cambria Math" w:hAnsi="Cambria Math"/>
                <w:i/>
                <w:szCs w:val="24"/>
              </w:rPr>
            </m:ctrlPr>
          </m:sSubPr>
          <m:e>
            <m:r>
              <w:rPr>
                <w:rFonts w:ascii="Cambria Math" w:hAnsi="Cambria Math"/>
                <w:szCs w:val="24"/>
              </w:rPr>
              <m:t>IPI</m:t>
            </m:r>
          </m:e>
          <m:sub>
            <m:r>
              <w:rPr>
                <w:rFonts w:ascii="Cambria Math" w:hAnsi="Cambria Math"/>
                <w:szCs w:val="24"/>
              </w:rPr>
              <m:t>icc</m:t>
            </m:r>
          </m:sub>
        </m:sSub>
      </m:oMath>
      <w:r>
        <w:t xml:space="preserve"> were calculated for MEP and MVIC epochs separately.</w:t>
      </w:r>
    </w:p>
    <w:p w14:paraId="61A5654E" w14:textId="1591DFDA" w:rsidR="005B2CFF" w:rsidRPr="004F3669" w:rsidRDefault="004F3669" w:rsidP="004F3669">
      <w:pPr>
        <w:jc w:val="both"/>
      </w:pPr>
      <w:r w:rsidRPr="004F3669">
        <w:t>LFM and IPI analysis both reveal high agreement between the in-house and commercial acquisition systems. Please see table S2 for reliability scores of wave-similarity analyses. The LFM coefficients were close to reference values (</w:t>
      </w:r>
      <m:oMath>
        <m:r>
          <w:rPr>
            <w:rFonts w:ascii="Cambria Math" w:hAnsi="Cambria Math"/>
          </w:rPr>
          <m:t>a</m:t>
        </m:r>
        <m:r>
          <w:rPr>
            <w:rFonts w:ascii="Cambria Math" w:hAnsi="Cambria Math"/>
          </w:rPr>
          <m:t>→1</m:t>
        </m:r>
      </m:oMath>
      <w:r w:rsidRPr="00347B64">
        <w:t xml:space="preserve">, </w:t>
      </w:r>
      <m:oMath>
        <m:r>
          <w:rPr>
            <w:rFonts w:ascii="Cambria Math" w:hAnsi="Cambria Math"/>
          </w:rPr>
          <m:t>b→0</m:t>
        </m:r>
      </m:oMath>
      <w:r w:rsidRPr="00347B64">
        <w:t xml:space="preserve"> and</w:t>
      </w:r>
      <w:r>
        <w:t xml:space="preserve"> </w:t>
      </w:r>
      <m:oMath>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r>
          <w:rPr>
            <w:rFonts w:ascii="Cambria Math" w:hAnsi="Cambria Math"/>
          </w:rPr>
          <m:t>→1</m:t>
        </m:r>
      </m:oMath>
      <w:r>
        <w:rPr>
          <w:rFonts w:eastAsiaTheme="minorEastAsia"/>
        </w:rPr>
        <w:t>)</w:t>
      </w:r>
      <w:r w:rsidRPr="00347B64">
        <w:t xml:space="preserve"> </w:t>
      </w:r>
      <w:r w:rsidRPr="004F3669">
        <w:t xml:space="preserve">and </w:t>
      </w:r>
      <m:oMath>
        <m:sSub>
          <m:sSubPr>
            <m:ctrlPr>
              <w:rPr>
                <w:rFonts w:ascii="Cambria Math" w:hAnsi="Cambria Math"/>
                <w:i/>
                <w:szCs w:val="24"/>
              </w:rPr>
            </m:ctrlPr>
          </m:sSubPr>
          <m:e>
            <m:r>
              <w:rPr>
                <w:rFonts w:ascii="Cambria Math" w:hAnsi="Cambria Math"/>
                <w:szCs w:val="24"/>
              </w:rPr>
              <m:t>IPI</m:t>
            </m:r>
          </m:e>
          <m:sub>
            <m:r>
              <w:rPr>
                <w:rFonts w:ascii="Cambria Math" w:hAnsi="Cambria Math"/>
                <w:szCs w:val="24"/>
              </w:rPr>
              <m:t>icc</m:t>
            </m:r>
          </m:sub>
        </m:sSub>
      </m:oMath>
      <w:r w:rsidRPr="004F3669">
        <w:t xml:space="preserve"> results were higher than 0.90, indicating that excellent agreement was found between the in-house and commercial EMG systems </w:t>
      </w:r>
      <w:r w:rsidR="004414B3">
        <w:fldChar w:fldCharType="begin"/>
      </w:r>
      <w:r w:rsidR="004414B3">
        <w:instrText xml:space="preserve"> ADDIN ZOTERO_ITEM CSL_CITATION {"citationID":"Skb4MLRM","properties":{"formattedCitation":"(Koo and Li 2016)","plainCitation":"(Koo and Li 2016)","noteIndex":0},"citationItems":[{"id":503,"uris":["http://zotero.org/users/8763446/items/F6AIZV2B"],"itemData":{"id":503,"type":"article-journal","abstract":"Objective: Intraclass correlation coefficient (ICC) is a widely used reliability index in testretest, intrarater, and interrater reliability analyses. This article introduces the basic concept of ICC in the content of reliability analysis.","container-title":"Journal of Chiropractic Medicine","DOI":"10.1016/j.jcm.2016.02.012","ISSN":"15563707","issue":"2","journalAbbreviation":"Journal of Chiropractic Medicine","language":"en","page":"155-163","source":"DOI.org (Crossref)","title":"A Guideline of Selecting and Reporting Intraclass Correlation Coefficients for Reliability Research","volume":"15","author":[{"family":"Koo","given":"Terry K."},{"family":"Li","given":"Mae Y."}],"issued":{"date-parts":[["2016",6]]}}}],"schema":"https://github.com/citation-style-language/schema/raw/master/csl-citation.json"} </w:instrText>
      </w:r>
      <w:r w:rsidR="004414B3">
        <w:fldChar w:fldCharType="separate"/>
      </w:r>
      <w:r w:rsidR="004414B3" w:rsidRPr="004414B3">
        <w:rPr>
          <w:rFonts w:cs="Times New Roman"/>
        </w:rPr>
        <w:t>(Koo and Li 2016)</w:t>
      </w:r>
      <w:r w:rsidR="004414B3">
        <w:fldChar w:fldCharType="end"/>
      </w:r>
      <w:r w:rsidRPr="004F3669">
        <w:t>. A confirmatory analysis using ICCs of mean MEP and MVIC amplitudes also revealed excellent agreement between both systems with ICC=1.00, 95%CI [1.00, 1.00] and ICC=0.96, 95%CI [0.87, 0.99] for mean MEPs and MVICs, respectively. These results support the use of our in-house built EMG acquisition system for extracting TMS-EMG data.</w:t>
      </w:r>
    </w:p>
    <w:p w14:paraId="08451C38" w14:textId="163D85EE" w:rsidR="004414B3"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14:paraId="5147B42E" w14:textId="77777777" w:rsidR="004414B3" w:rsidRDefault="004414B3">
      <w:pPr>
        <w:spacing w:before="0" w:after="200" w:line="276" w:lineRule="auto"/>
        <w:rPr>
          <w:rFonts w:eastAsia="Times New Roman" w:cs="Times New Roman"/>
          <w:szCs w:val="24"/>
          <w:lang w:val="en-GB" w:eastAsia="en-GB"/>
        </w:rPr>
      </w:pPr>
      <w:r>
        <w:rPr>
          <w:rFonts w:eastAsia="Times New Roman" w:cs="Times New Roman"/>
          <w:szCs w:val="24"/>
          <w:lang w:val="en-GB" w:eastAsia="en-GB"/>
        </w:rPr>
        <w:br w:type="page"/>
      </w:r>
    </w:p>
    <w:p w14:paraId="5E584EE8" w14:textId="77777777" w:rsidR="00994A3D" w:rsidRPr="00994A3D" w:rsidRDefault="00654E8F" w:rsidP="0001436A">
      <w:pPr>
        <w:pStyle w:val="Ttulo1"/>
      </w:pPr>
      <w:r w:rsidRPr="00994A3D">
        <w:lastRenderedPageBreak/>
        <w:t>Supplementary Figures and Tables</w:t>
      </w:r>
    </w:p>
    <w:p w14:paraId="07970E94" w14:textId="77777777" w:rsidR="00994A3D" w:rsidRDefault="00994A3D" w:rsidP="0001436A">
      <w:pPr>
        <w:pStyle w:val="Ttulo2"/>
      </w:pPr>
      <w:r w:rsidRPr="0001436A">
        <w:t>Supplementary</w:t>
      </w:r>
      <w:r w:rsidRPr="001549D3">
        <w:t xml:space="preserve"> Figures</w:t>
      </w:r>
    </w:p>
    <w:p w14:paraId="2A190572" w14:textId="7565D72A" w:rsidR="004F3669" w:rsidRPr="004F3669" w:rsidRDefault="004F3669" w:rsidP="004F3669">
      <w:pPr>
        <w:pStyle w:val="Ttulo3"/>
      </w:pPr>
      <w:r>
        <w:t>Supplementary Figure 1</w:t>
      </w:r>
    </w:p>
    <w:p w14:paraId="4916FCC9" w14:textId="77777777" w:rsidR="00994A3D" w:rsidRPr="001549D3" w:rsidRDefault="00994A3D" w:rsidP="00994A3D">
      <w:pPr>
        <w:keepNext/>
        <w:rPr>
          <w:rFonts w:cs="Times New Roman"/>
          <w:szCs w:val="24"/>
        </w:rPr>
      </w:pPr>
    </w:p>
    <w:p w14:paraId="11EC8DA1" w14:textId="790C7354" w:rsidR="00994A3D" w:rsidRDefault="004F3669" w:rsidP="00994A3D">
      <w:pPr>
        <w:keepNext/>
        <w:jc w:val="center"/>
        <w:rPr>
          <w:rFonts w:cs="Times New Roman"/>
          <w:szCs w:val="24"/>
        </w:rPr>
      </w:pPr>
      <w:r>
        <w:rPr>
          <w:rFonts w:ascii="Arial" w:hAnsi="Arial" w:cs="Arial"/>
          <w:noProof/>
          <w:color w:val="000000"/>
          <w:sz w:val="22"/>
          <w:bdr w:val="none" w:sz="0" w:space="0" w:color="auto" w:frame="1"/>
        </w:rPr>
        <w:drawing>
          <wp:inline distT="0" distB="0" distL="0" distR="0" wp14:anchorId="419CF3E7" wp14:editId="2AB4E6F1">
            <wp:extent cx="5810250" cy="3327400"/>
            <wp:effectExtent l="0" t="0" r="0" b="6350"/>
            <wp:docPr id="20458807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3327400"/>
                    </a:xfrm>
                    <a:prstGeom prst="rect">
                      <a:avLst/>
                    </a:prstGeom>
                    <a:noFill/>
                    <a:ln>
                      <a:noFill/>
                    </a:ln>
                  </pic:spPr>
                </pic:pic>
              </a:graphicData>
            </a:graphic>
          </wp:inline>
        </w:drawing>
      </w:r>
    </w:p>
    <w:p w14:paraId="5E85539E" w14:textId="77777777" w:rsidR="004F3669" w:rsidRPr="001549D3" w:rsidRDefault="004F3669" w:rsidP="00994A3D">
      <w:pPr>
        <w:keepNext/>
        <w:jc w:val="center"/>
        <w:rPr>
          <w:rFonts w:cs="Times New Roman"/>
          <w:szCs w:val="24"/>
        </w:rPr>
      </w:pPr>
    </w:p>
    <w:p w14:paraId="3B020E77" w14:textId="51EED9B3" w:rsidR="0041465F" w:rsidRDefault="004F3669" w:rsidP="004F3669">
      <w:pPr>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Pr>
          <w:rFonts w:cs="Times New Roman"/>
          <w:b/>
          <w:szCs w:val="24"/>
        </w:rPr>
        <w:t xml:space="preserve"> -</w:t>
      </w:r>
      <w:r>
        <w:rPr>
          <w:b/>
          <w:bCs/>
        </w:rPr>
        <w:t xml:space="preserve"> In-house EMG acquisition system validation setup</w:t>
      </w:r>
      <w:r>
        <w:t>. Simultaneous EMG acquisition was achieved by connecting both systems to electrode sensors with a splitter cable.</w:t>
      </w:r>
      <w:r w:rsidR="00994A3D" w:rsidRPr="001549D3">
        <w:rPr>
          <w:rFonts w:cs="Times New Roman"/>
          <w:szCs w:val="24"/>
        </w:rPr>
        <w:t xml:space="preserve"> </w:t>
      </w:r>
    </w:p>
    <w:p w14:paraId="5322907A" w14:textId="77777777" w:rsidR="0041465F" w:rsidRDefault="0041465F">
      <w:pPr>
        <w:spacing w:before="0" w:after="200" w:line="276" w:lineRule="auto"/>
        <w:rPr>
          <w:rFonts w:cs="Times New Roman"/>
          <w:szCs w:val="24"/>
        </w:rPr>
      </w:pPr>
      <w:r>
        <w:rPr>
          <w:rFonts w:cs="Times New Roman"/>
          <w:szCs w:val="24"/>
        </w:rPr>
        <w:br w:type="page"/>
      </w:r>
    </w:p>
    <w:p w14:paraId="691E7CA1" w14:textId="43CF7C87" w:rsidR="004F3669" w:rsidRPr="004F3669" w:rsidRDefault="004F3669" w:rsidP="004F3669">
      <w:pPr>
        <w:pStyle w:val="Ttulo3"/>
      </w:pPr>
      <w:r>
        <w:lastRenderedPageBreak/>
        <w:t xml:space="preserve">Supplementary Figure </w:t>
      </w:r>
      <w:r>
        <w:t>2</w:t>
      </w:r>
    </w:p>
    <w:p w14:paraId="46A1F18B" w14:textId="591132DA" w:rsidR="004F3669" w:rsidRDefault="004F3669" w:rsidP="004F3669">
      <w:pPr>
        <w:spacing w:before="240"/>
        <w:jc w:val="center"/>
        <w:rPr>
          <w:rFonts w:cs="Times New Roman"/>
          <w:b/>
          <w:szCs w:val="24"/>
        </w:rPr>
      </w:pPr>
      <w:r>
        <w:rPr>
          <w:rFonts w:ascii="Arial" w:hAnsi="Arial" w:cs="Arial"/>
          <w:noProof/>
          <w:color w:val="000000"/>
          <w:sz w:val="22"/>
          <w:bdr w:val="none" w:sz="0" w:space="0" w:color="auto" w:frame="1"/>
        </w:rPr>
        <w:drawing>
          <wp:inline distT="0" distB="0" distL="0" distR="0" wp14:anchorId="5918796F" wp14:editId="50FEC67B">
            <wp:extent cx="3124200" cy="3124200"/>
            <wp:effectExtent l="0" t="0" r="0" b="0"/>
            <wp:docPr id="11036519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14:paraId="0A172E5A" w14:textId="5E5E482A" w:rsidR="0041465F" w:rsidRDefault="004F3669" w:rsidP="004F3669">
      <w:pPr>
        <w:spacing w:before="240"/>
        <w:rPr>
          <w:bCs/>
          <w:lang w:val="en-GB"/>
        </w:rPr>
      </w:pPr>
      <w:r w:rsidRPr="0001436A">
        <w:rPr>
          <w:rFonts w:cs="Times New Roman"/>
          <w:b/>
          <w:szCs w:val="24"/>
        </w:rPr>
        <w:t xml:space="preserve">Supplementary Figure </w:t>
      </w:r>
      <w:r>
        <w:rPr>
          <w:rFonts w:cs="Times New Roman"/>
          <w:b/>
          <w:szCs w:val="24"/>
        </w:rPr>
        <w:t>2</w:t>
      </w:r>
      <w:r>
        <w:rPr>
          <w:rFonts w:cs="Times New Roman"/>
          <w:b/>
          <w:szCs w:val="24"/>
        </w:rPr>
        <w:t xml:space="preserve"> -</w:t>
      </w:r>
      <w:r>
        <w:rPr>
          <w:rFonts w:cs="Times New Roman"/>
          <w:b/>
          <w:szCs w:val="24"/>
        </w:rPr>
        <w:t xml:space="preserve"> </w:t>
      </w:r>
      <w:r w:rsidRPr="004F3669">
        <w:rPr>
          <w:b/>
          <w:bCs/>
          <w:lang w:val="en-GB"/>
        </w:rPr>
        <w:t xml:space="preserve">Illustration of the Linear Fit Method </w:t>
      </w:r>
      <w:r w:rsidRPr="004F3669">
        <w:rPr>
          <w:bCs/>
          <w:lang w:val="en-GB"/>
        </w:rPr>
        <w:t>applied to an example motor evoked potential.</w:t>
      </w:r>
    </w:p>
    <w:p w14:paraId="620351BE" w14:textId="77777777" w:rsidR="0041465F" w:rsidRDefault="0041465F">
      <w:pPr>
        <w:spacing w:before="0" w:after="200" w:line="276" w:lineRule="auto"/>
        <w:rPr>
          <w:bCs/>
          <w:lang w:val="en-GB"/>
        </w:rPr>
      </w:pPr>
      <w:r>
        <w:rPr>
          <w:bCs/>
          <w:lang w:val="en-GB"/>
        </w:rPr>
        <w:br w:type="page"/>
      </w:r>
    </w:p>
    <w:p w14:paraId="58F1AED1" w14:textId="6CEB4313" w:rsidR="00DE23E8" w:rsidRDefault="004F3669" w:rsidP="004F3669">
      <w:pPr>
        <w:pStyle w:val="Ttulo2"/>
        <w:rPr>
          <w:lang w:val="en-GB"/>
        </w:rPr>
      </w:pPr>
      <w:r>
        <w:rPr>
          <w:lang w:val="en-GB"/>
        </w:rPr>
        <w:lastRenderedPageBreak/>
        <w:t>Supplementary Tables</w:t>
      </w:r>
    </w:p>
    <w:p w14:paraId="646D3039" w14:textId="64630652" w:rsidR="0041465F" w:rsidRPr="0041465F" w:rsidRDefault="0041465F" w:rsidP="0041465F">
      <w:pPr>
        <w:pStyle w:val="Ttulo3"/>
      </w:pPr>
      <w:r>
        <w:t xml:space="preserve">Supplementary </w:t>
      </w:r>
      <w:r>
        <w:t>Table 1</w:t>
      </w:r>
    </w:p>
    <w:tbl>
      <w:tblPr>
        <w:tblW w:w="0" w:type="auto"/>
        <w:tblCellMar>
          <w:top w:w="15" w:type="dxa"/>
          <w:left w:w="15" w:type="dxa"/>
          <w:bottom w:w="15" w:type="dxa"/>
          <w:right w:w="15" w:type="dxa"/>
        </w:tblCellMar>
        <w:tblLook w:val="04A0" w:firstRow="1" w:lastRow="0" w:firstColumn="1" w:lastColumn="0" w:noHBand="0" w:noVBand="1"/>
      </w:tblPr>
      <w:tblGrid>
        <w:gridCol w:w="2707"/>
        <w:gridCol w:w="3661"/>
        <w:gridCol w:w="3166"/>
      </w:tblGrid>
      <w:tr w:rsidR="004F3669" w:rsidRPr="004F3669" w14:paraId="6840C086" w14:textId="77777777" w:rsidTr="004F3669">
        <w:trPr>
          <w:trHeight w:val="632"/>
        </w:trPr>
        <w:tc>
          <w:tcPr>
            <w:tcW w:w="9346" w:type="dxa"/>
            <w:gridSpan w:val="3"/>
            <w:tcBorders>
              <w:bottom w:val="double" w:sz="4" w:space="0" w:color="auto"/>
            </w:tcBorders>
            <w:tcMar>
              <w:top w:w="100" w:type="dxa"/>
              <w:left w:w="100" w:type="dxa"/>
              <w:bottom w:w="100" w:type="dxa"/>
              <w:right w:w="100" w:type="dxa"/>
            </w:tcMar>
            <w:hideMark/>
          </w:tcPr>
          <w:p w14:paraId="115440A5" w14:textId="7F072194" w:rsidR="004F3669" w:rsidRPr="004F3669" w:rsidRDefault="004F3669" w:rsidP="004F3669">
            <w:pPr>
              <w:rPr>
                <w:lang w:val="en-GB"/>
              </w:rPr>
            </w:pPr>
            <w:r w:rsidRPr="004F3669">
              <w:rPr>
                <w:b/>
                <w:bCs/>
                <w:lang w:val="en-GB"/>
              </w:rPr>
              <w:t>Table S1. Summary of EMG acquisition system parameters.</w:t>
            </w:r>
            <w:r w:rsidRPr="004F3669">
              <w:rPr>
                <w:lang w:val="en-GB"/>
              </w:rPr>
              <w:t xml:space="preserve"> </w:t>
            </w:r>
            <w:r>
              <w:rPr>
                <w:lang w:val="en-GB"/>
              </w:rPr>
              <w:br/>
            </w:r>
            <w:r w:rsidRPr="004F3669">
              <w:rPr>
                <w:sz w:val="20"/>
                <w:szCs w:val="20"/>
                <w:lang w:val="en-GB"/>
              </w:rPr>
              <w:t>Abbreviations: ADC - Analog to Digital Converter</w:t>
            </w:r>
          </w:p>
        </w:tc>
      </w:tr>
      <w:tr w:rsidR="004F3669" w:rsidRPr="004F3669" w14:paraId="47FE7726" w14:textId="77777777" w:rsidTr="004414B3">
        <w:tc>
          <w:tcPr>
            <w:tcW w:w="0" w:type="auto"/>
            <w:tcBorders>
              <w:top w:val="double" w:sz="4" w:space="0" w:color="auto"/>
              <w:bottom w:val="single" w:sz="4" w:space="0" w:color="auto"/>
            </w:tcBorders>
            <w:tcMar>
              <w:top w:w="100" w:type="dxa"/>
              <w:left w:w="100" w:type="dxa"/>
              <w:bottom w:w="100" w:type="dxa"/>
              <w:right w:w="100" w:type="dxa"/>
            </w:tcMar>
            <w:hideMark/>
          </w:tcPr>
          <w:p w14:paraId="1726B291" w14:textId="77777777" w:rsidR="004F3669" w:rsidRPr="004F3669" w:rsidRDefault="004F3669" w:rsidP="004F3669">
            <w:pPr>
              <w:rPr>
                <w:lang w:val="en-GB"/>
              </w:rPr>
            </w:pPr>
          </w:p>
        </w:tc>
        <w:tc>
          <w:tcPr>
            <w:tcW w:w="0" w:type="auto"/>
            <w:tcBorders>
              <w:top w:val="double" w:sz="4" w:space="0" w:color="auto"/>
              <w:bottom w:val="single" w:sz="4" w:space="0" w:color="auto"/>
            </w:tcBorders>
            <w:tcMar>
              <w:top w:w="100" w:type="dxa"/>
              <w:left w:w="100" w:type="dxa"/>
              <w:bottom w:w="100" w:type="dxa"/>
              <w:right w:w="100" w:type="dxa"/>
            </w:tcMar>
            <w:hideMark/>
          </w:tcPr>
          <w:p w14:paraId="429D2F01" w14:textId="77777777" w:rsidR="004F3669" w:rsidRPr="004F3669" w:rsidRDefault="004F3669" w:rsidP="004F3669">
            <w:pPr>
              <w:jc w:val="center"/>
              <w:rPr>
                <w:b/>
                <w:bCs/>
                <w:lang w:val="en-GB"/>
              </w:rPr>
            </w:pPr>
            <w:r w:rsidRPr="004F3669">
              <w:rPr>
                <w:b/>
                <w:bCs/>
                <w:lang w:val="en-GB"/>
              </w:rPr>
              <w:t>In-house EMG acquisition system</w:t>
            </w:r>
          </w:p>
        </w:tc>
        <w:tc>
          <w:tcPr>
            <w:tcW w:w="3166" w:type="dxa"/>
            <w:tcBorders>
              <w:top w:val="double" w:sz="4" w:space="0" w:color="auto"/>
              <w:bottom w:val="single" w:sz="4" w:space="0" w:color="auto"/>
            </w:tcBorders>
            <w:tcMar>
              <w:top w:w="100" w:type="dxa"/>
              <w:left w:w="100" w:type="dxa"/>
              <w:bottom w:w="100" w:type="dxa"/>
              <w:right w:w="100" w:type="dxa"/>
            </w:tcMar>
            <w:hideMark/>
          </w:tcPr>
          <w:p w14:paraId="23211A66" w14:textId="77777777" w:rsidR="004F3669" w:rsidRPr="004F3669" w:rsidRDefault="004F3669" w:rsidP="004F3669">
            <w:pPr>
              <w:jc w:val="center"/>
              <w:rPr>
                <w:b/>
                <w:bCs/>
                <w:lang w:val="en-GB"/>
              </w:rPr>
            </w:pPr>
            <w:r w:rsidRPr="004F3669">
              <w:rPr>
                <w:b/>
                <w:bCs/>
                <w:lang w:val="en-GB"/>
              </w:rPr>
              <w:t>Commercial System</w:t>
            </w:r>
          </w:p>
        </w:tc>
      </w:tr>
      <w:tr w:rsidR="004F3669" w:rsidRPr="004F3669" w14:paraId="14C6032B" w14:textId="77777777" w:rsidTr="004414B3">
        <w:tc>
          <w:tcPr>
            <w:tcW w:w="0" w:type="auto"/>
            <w:tcBorders>
              <w:top w:val="single" w:sz="4" w:space="0" w:color="auto"/>
              <w:bottom w:val="dotted" w:sz="4" w:space="0" w:color="auto"/>
            </w:tcBorders>
            <w:tcMar>
              <w:top w:w="100" w:type="dxa"/>
              <w:left w:w="100" w:type="dxa"/>
              <w:bottom w:w="100" w:type="dxa"/>
              <w:right w:w="100" w:type="dxa"/>
            </w:tcMar>
            <w:hideMark/>
          </w:tcPr>
          <w:p w14:paraId="082DBA36" w14:textId="77777777" w:rsidR="004F3669" w:rsidRPr="004F3669" w:rsidRDefault="004F3669" w:rsidP="004F3669">
            <w:pPr>
              <w:rPr>
                <w:lang w:val="en-GB"/>
              </w:rPr>
            </w:pPr>
            <w:r w:rsidRPr="004F3669">
              <w:rPr>
                <w:lang w:val="en-GB"/>
              </w:rPr>
              <w:t>Gain</w:t>
            </w:r>
          </w:p>
        </w:tc>
        <w:tc>
          <w:tcPr>
            <w:tcW w:w="0" w:type="auto"/>
            <w:tcBorders>
              <w:top w:val="single" w:sz="4" w:space="0" w:color="auto"/>
              <w:bottom w:val="dotted" w:sz="4" w:space="0" w:color="auto"/>
            </w:tcBorders>
            <w:tcMar>
              <w:top w:w="100" w:type="dxa"/>
              <w:left w:w="100" w:type="dxa"/>
              <w:bottom w:w="100" w:type="dxa"/>
              <w:right w:w="100" w:type="dxa"/>
            </w:tcMar>
            <w:hideMark/>
          </w:tcPr>
          <w:p w14:paraId="5D4D4F14" w14:textId="77777777" w:rsidR="004F3669" w:rsidRPr="004F3669" w:rsidRDefault="004F3669" w:rsidP="004F3669">
            <w:pPr>
              <w:jc w:val="center"/>
              <w:rPr>
                <w:lang w:val="en-GB"/>
              </w:rPr>
            </w:pPr>
            <w:r w:rsidRPr="004F3669">
              <w:rPr>
                <w:lang w:val="en-GB"/>
              </w:rPr>
              <w:t>206</w:t>
            </w:r>
          </w:p>
        </w:tc>
        <w:tc>
          <w:tcPr>
            <w:tcW w:w="3166" w:type="dxa"/>
            <w:tcBorders>
              <w:top w:val="single" w:sz="4" w:space="0" w:color="auto"/>
              <w:bottom w:val="dotted" w:sz="4" w:space="0" w:color="auto"/>
            </w:tcBorders>
            <w:tcMar>
              <w:top w:w="100" w:type="dxa"/>
              <w:left w:w="100" w:type="dxa"/>
              <w:bottom w:w="100" w:type="dxa"/>
              <w:right w:w="100" w:type="dxa"/>
            </w:tcMar>
            <w:hideMark/>
          </w:tcPr>
          <w:p w14:paraId="79DFAB92" w14:textId="77777777" w:rsidR="004F3669" w:rsidRPr="004F3669" w:rsidRDefault="004F3669" w:rsidP="004F3669">
            <w:pPr>
              <w:jc w:val="center"/>
              <w:rPr>
                <w:lang w:val="en-GB"/>
              </w:rPr>
            </w:pPr>
            <w:r w:rsidRPr="004F3669">
              <w:rPr>
                <w:lang w:val="en-GB"/>
              </w:rPr>
              <w:t>200</w:t>
            </w:r>
          </w:p>
        </w:tc>
      </w:tr>
      <w:tr w:rsidR="004F3669" w:rsidRPr="004F3669" w14:paraId="3FECE31D" w14:textId="77777777" w:rsidTr="004414B3">
        <w:tc>
          <w:tcPr>
            <w:tcW w:w="0" w:type="auto"/>
            <w:tcBorders>
              <w:top w:val="dotted" w:sz="4" w:space="0" w:color="auto"/>
              <w:bottom w:val="dotted" w:sz="4" w:space="0" w:color="auto"/>
            </w:tcBorders>
            <w:tcMar>
              <w:top w:w="100" w:type="dxa"/>
              <w:left w:w="100" w:type="dxa"/>
              <w:bottom w:w="100" w:type="dxa"/>
              <w:right w:w="100" w:type="dxa"/>
            </w:tcMar>
            <w:hideMark/>
          </w:tcPr>
          <w:p w14:paraId="0B74374E" w14:textId="77777777" w:rsidR="004F3669" w:rsidRPr="004F3669" w:rsidRDefault="004F3669" w:rsidP="004F3669">
            <w:pPr>
              <w:rPr>
                <w:lang w:val="en-GB"/>
              </w:rPr>
            </w:pPr>
            <w:r w:rsidRPr="004F3669">
              <w:rPr>
                <w:lang w:val="en-GB"/>
              </w:rPr>
              <w:t>Sampling Frequency</w:t>
            </w:r>
          </w:p>
        </w:tc>
        <w:tc>
          <w:tcPr>
            <w:tcW w:w="0" w:type="auto"/>
            <w:tcBorders>
              <w:top w:val="dotted" w:sz="4" w:space="0" w:color="auto"/>
              <w:bottom w:val="dotted" w:sz="4" w:space="0" w:color="auto"/>
            </w:tcBorders>
            <w:tcMar>
              <w:top w:w="100" w:type="dxa"/>
              <w:left w:w="100" w:type="dxa"/>
              <w:bottom w:w="100" w:type="dxa"/>
              <w:right w:w="100" w:type="dxa"/>
            </w:tcMar>
            <w:hideMark/>
          </w:tcPr>
          <w:p w14:paraId="047A6509" w14:textId="77777777" w:rsidR="004F3669" w:rsidRPr="004F3669" w:rsidRDefault="004F3669" w:rsidP="004F3669">
            <w:pPr>
              <w:jc w:val="center"/>
              <w:rPr>
                <w:lang w:val="en-GB"/>
              </w:rPr>
            </w:pPr>
            <w:r w:rsidRPr="004F3669">
              <w:rPr>
                <w:lang w:val="en-GB"/>
              </w:rPr>
              <w:t>5000 Hz</w:t>
            </w:r>
          </w:p>
        </w:tc>
        <w:tc>
          <w:tcPr>
            <w:tcW w:w="3166" w:type="dxa"/>
            <w:tcBorders>
              <w:top w:val="dotted" w:sz="4" w:space="0" w:color="auto"/>
              <w:bottom w:val="dotted" w:sz="4" w:space="0" w:color="auto"/>
            </w:tcBorders>
            <w:tcMar>
              <w:top w:w="100" w:type="dxa"/>
              <w:left w:w="100" w:type="dxa"/>
              <w:bottom w:w="100" w:type="dxa"/>
              <w:right w:w="100" w:type="dxa"/>
            </w:tcMar>
            <w:hideMark/>
          </w:tcPr>
          <w:p w14:paraId="6682B880" w14:textId="77777777" w:rsidR="004F3669" w:rsidRPr="004F3669" w:rsidRDefault="004F3669" w:rsidP="004F3669">
            <w:pPr>
              <w:jc w:val="center"/>
              <w:rPr>
                <w:lang w:val="en-GB"/>
              </w:rPr>
            </w:pPr>
            <w:r w:rsidRPr="004F3669">
              <w:rPr>
                <w:lang w:val="en-GB"/>
              </w:rPr>
              <w:t>5000 Hz</w:t>
            </w:r>
          </w:p>
        </w:tc>
      </w:tr>
      <w:tr w:rsidR="004F3669" w:rsidRPr="004F3669" w14:paraId="729F5731" w14:textId="77777777" w:rsidTr="004414B3">
        <w:tc>
          <w:tcPr>
            <w:tcW w:w="0" w:type="auto"/>
            <w:tcBorders>
              <w:top w:val="dotted" w:sz="4" w:space="0" w:color="auto"/>
              <w:bottom w:val="dotted" w:sz="4" w:space="0" w:color="auto"/>
            </w:tcBorders>
            <w:tcMar>
              <w:top w:w="100" w:type="dxa"/>
              <w:left w:w="100" w:type="dxa"/>
              <w:bottom w:w="100" w:type="dxa"/>
              <w:right w:w="100" w:type="dxa"/>
            </w:tcMar>
            <w:hideMark/>
          </w:tcPr>
          <w:p w14:paraId="7DD1967D" w14:textId="77777777" w:rsidR="004F3669" w:rsidRPr="004F3669" w:rsidRDefault="004F3669" w:rsidP="004F3669">
            <w:pPr>
              <w:rPr>
                <w:lang w:val="en-GB"/>
              </w:rPr>
            </w:pPr>
            <w:r w:rsidRPr="004F3669">
              <w:rPr>
                <w:lang w:val="en-GB"/>
              </w:rPr>
              <w:t>Hardware Passband</w:t>
            </w:r>
          </w:p>
        </w:tc>
        <w:tc>
          <w:tcPr>
            <w:tcW w:w="0" w:type="auto"/>
            <w:tcBorders>
              <w:top w:val="dotted" w:sz="4" w:space="0" w:color="auto"/>
              <w:bottom w:val="dotted" w:sz="4" w:space="0" w:color="auto"/>
            </w:tcBorders>
            <w:tcMar>
              <w:top w:w="100" w:type="dxa"/>
              <w:left w:w="100" w:type="dxa"/>
              <w:bottom w:w="100" w:type="dxa"/>
              <w:right w:w="100" w:type="dxa"/>
            </w:tcMar>
            <w:hideMark/>
          </w:tcPr>
          <w:p w14:paraId="6C873A22" w14:textId="77777777" w:rsidR="004F3669" w:rsidRPr="004F3669" w:rsidRDefault="004F3669" w:rsidP="004F3669">
            <w:pPr>
              <w:jc w:val="center"/>
              <w:rPr>
                <w:lang w:val="en-GB"/>
              </w:rPr>
            </w:pPr>
            <w:r w:rsidRPr="004F3669">
              <w:rPr>
                <w:lang w:val="en-GB"/>
              </w:rPr>
              <w:t>5 Hz - 1000 Hz</w:t>
            </w:r>
          </w:p>
        </w:tc>
        <w:tc>
          <w:tcPr>
            <w:tcW w:w="3166" w:type="dxa"/>
            <w:tcBorders>
              <w:top w:val="dotted" w:sz="4" w:space="0" w:color="auto"/>
              <w:bottom w:val="dotted" w:sz="4" w:space="0" w:color="auto"/>
            </w:tcBorders>
            <w:tcMar>
              <w:top w:w="100" w:type="dxa"/>
              <w:left w:w="100" w:type="dxa"/>
              <w:bottom w:w="100" w:type="dxa"/>
              <w:right w:w="100" w:type="dxa"/>
            </w:tcMar>
            <w:hideMark/>
          </w:tcPr>
          <w:p w14:paraId="1ACE2CF4" w14:textId="77777777" w:rsidR="004F3669" w:rsidRPr="004F3669" w:rsidRDefault="004F3669" w:rsidP="004F3669">
            <w:pPr>
              <w:jc w:val="center"/>
              <w:rPr>
                <w:lang w:val="en-GB"/>
              </w:rPr>
            </w:pPr>
            <w:r w:rsidRPr="004F3669">
              <w:rPr>
                <w:lang w:val="en-GB"/>
              </w:rPr>
              <w:t>5 Hz - 20 kHz</w:t>
            </w:r>
          </w:p>
        </w:tc>
      </w:tr>
      <w:tr w:rsidR="004F3669" w:rsidRPr="004F3669" w14:paraId="7FF3AA9F" w14:textId="77777777" w:rsidTr="004414B3">
        <w:tc>
          <w:tcPr>
            <w:tcW w:w="0" w:type="auto"/>
            <w:tcBorders>
              <w:top w:val="dotted" w:sz="4" w:space="0" w:color="auto"/>
              <w:bottom w:val="dotted" w:sz="4" w:space="0" w:color="auto"/>
            </w:tcBorders>
            <w:tcMar>
              <w:top w:w="100" w:type="dxa"/>
              <w:left w:w="100" w:type="dxa"/>
              <w:bottom w:w="100" w:type="dxa"/>
              <w:right w:w="100" w:type="dxa"/>
            </w:tcMar>
            <w:hideMark/>
          </w:tcPr>
          <w:p w14:paraId="65E0E8BC" w14:textId="77777777" w:rsidR="004F3669" w:rsidRPr="004F3669" w:rsidRDefault="004F3669" w:rsidP="004F3669">
            <w:pPr>
              <w:rPr>
                <w:lang w:val="en-GB"/>
              </w:rPr>
            </w:pPr>
            <w:r w:rsidRPr="004F3669">
              <w:rPr>
                <w:lang w:val="en-GB"/>
              </w:rPr>
              <w:t>ADC Sampling resolution</w:t>
            </w:r>
          </w:p>
        </w:tc>
        <w:tc>
          <w:tcPr>
            <w:tcW w:w="0" w:type="auto"/>
            <w:tcBorders>
              <w:top w:val="dotted" w:sz="4" w:space="0" w:color="auto"/>
              <w:bottom w:val="dotted" w:sz="4" w:space="0" w:color="auto"/>
            </w:tcBorders>
            <w:tcMar>
              <w:top w:w="100" w:type="dxa"/>
              <w:left w:w="100" w:type="dxa"/>
              <w:bottom w:w="100" w:type="dxa"/>
              <w:right w:w="100" w:type="dxa"/>
            </w:tcMar>
            <w:hideMark/>
          </w:tcPr>
          <w:p w14:paraId="004D70E8" w14:textId="77777777" w:rsidR="004F3669" w:rsidRPr="004F3669" w:rsidRDefault="004F3669" w:rsidP="004F3669">
            <w:pPr>
              <w:jc w:val="center"/>
              <w:rPr>
                <w:lang w:val="en-GB"/>
              </w:rPr>
            </w:pPr>
            <w:r w:rsidRPr="004F3669">
              <w:rPr>
                <w:lang w:val="en-GB"/>
              </w:rPr>
              <w:t>16 bits</w:t>
            </w:r>
          </w:p>
        </w:tc>
        <w:tc>
          <w:tcPr>
            <w:tcW w:w="3166" w:type="dxa"/>
            <w:tcBorders>
              <w:top w:val="dotted" w:sz="4" w:space="0" w:color="auto"/>
              <w:bottom w:val="dotted" w:sz="4" w:space="0" w:color="auto"/>
            </w:tcBorders>
            <w:tcMar>
              <w:top w:w="100" w:type="dxa"/>
              <w:left w:w="100" w:type="dxa"/>
              <w:bottom w:w="100" w:type="dxa"/>
              <w:right w:w="100" w:type="dxa"/>
            </w:tcMar>
            <w:hideMark/>
          </w:tcPr>
          <w:p w14:paraId="35F12A61" w14:textId="77777777" w:rsidR="004F3669" w:rsidRPr="004F3669" w:rsidRDefault="004F3669" w:rsidP="004F3669">
            <w:pPr>
              <w:jc w:val="center"/>
              <w:rPr>
                <w:lang w:val="en-GB"/>
              </w:rPr>
            </w:pPr>
            <w:r w:rsidRPr="004F3669">
              <w:rPr>
                <w:lang w:val="en-GB"/>
              </w:rPr>
              <w:t>24 bits</w:t>
            </w:r>
          </w:p>
        </w:tc>
      </w:tr>
      <w:tr w:rsidR="004F3669" w:rsidRPr="004F3669" w14:paraId="0DE38844" w14:textId="77777777" w:rsidTr="004414B3">
        <w:tc>
          <w:tcPr>
            <w:tcW w:w="0" w:type="auto"/>
            <w:tcBorders>
              <w:top w:val="dotted" w:sz="4" w:space="0" w:color="auto"/>
              <w:bottom w:val="double" w:sz="4" w:space="0" w:color="auto"/>
            </w:tcBorders>
            <w:tcMar>
              <w:top w:w="100" w:type="dxa"/>
              <w:left w:w="100" w:type="dxa"/>
              <w:bottom w:w="100" w:type="dxa"/>
              <w:right w:w="100" w:type="dxa"/>
            </w:tcMar>
            <w:hideMark/>
          </w:tcPr>
          <w:p w14:paraId="41E586C1" w14:textId="77777777" w:rsidR="004F3669" w:rsidRPr="004F3669" w:rsidRDefault="004F3669" w:rsidP="004F3669">
            <w:pPr>
              <w:rPr>
                <w:lang w:val="en-GB"/>
              </w:rPr>
            </w:pPr>
            <w:r w:rsidRPr="004F3669">
              <w:rPr>
                <w:lang w:val="en-GB"/>
              </w:rPr>
              <w:t>Max Input voltage range</w:t>
            </w:r>
          </w:p>
        </w:tc>
        <w:tc>
          <w:tcPr>
            <w:tcW w:w="0" w:type="auto"/>
            <w:tcBorders>
              <w:top w:val="dotted" w:sz="4" w:space="0" w:color="auto"/>
              <w:bottom w:val="double" w:sz="4" w:space="0" w:color="auto"/>
            </w:tcBorders>
            <w:tcMar>
              <w:top w:w="100" w:type="dxa"/>
              <w:left w:w="100" w:type="dxa"/>
              <w:bottom w:w="100" w:type="dxa"/>
              <w:right w:w="100" w:type="dxa"/>
            </w:tcMar>
            <w:hideMark/>
          </w:tcPr>
          <w:p w14:paraId="1D6F70A8" w14:textId="77777777" w:rsidR="004F3669" w:rsidRPr="004F3669" w:rsidRDefault="004F3669" w:rsidP="004F3669">
            <w:pPr>
              <w:jc w:val="center"/>
              <w:rPr>
                <w:lang w:val="en-GB"/>
              </w:rPr>
            </w:pPr>
            <w:r w:rsidRPr="004F3669">
              <w:rPr>
                <w:lang w:val="en-GB"/>
              </w:rPr>
              <w:t>± 7.3 mV</w:t>
            </w:r>
          </w:p>
        </w:tc>
        <w:tc>
          <w:tcPr>
            <w:tcW w:w="3166" w:type="dxa"/>
            <w:tcBorders>
              <w:top w:val="dotted" w:sz="4" w:space="0" w:color="auto"/>
              <w:bottom w:val="double" w:sz="4" w:space="0" w:color="auto"/>
            </w:tcBorders>
            <w:tcMar>
              <w:top w:w="100" w:type="dxa"/>
              <w:left w:w="100" w:type="dxa"/>
              <w:bottom w:w="100" w:type="dxa"/>
              <w:right w:w="100" w:type="dxa"/>
            </w:tcMar>
            <w:hideMark/>
          </w:tcPr>
          <w:p w14:paraId="5741AF00" w14:textId="77777777" w:rsidR="004F3669" w:rsidRPr="004F3669" w:rsidRDefault="004F3669" w:rsidP="004F3669">
            <w:pPr>
              <w:jc w:val="center"/>
              <w:rPr>
                <w:lang w:val="en-GB"/>
              </w:rPr>
            </w:pPr>
            <w:r w:rsidRPr="004F3669">
              <w:rPr>
                <w:lang w:val="en-GB"/>
              </w:rPr>
              <w:t>± 2 V</w:t>
            </w:r>
          </w:p>
        </w:tc>
      </w:tr>
    </w:tbl>
    <w:p w14:paraId="7B1D9A3A" w14:textId="588FB1A9" w:rsidR="0041465F" w:rsidRDefault="0041465F" w:rsidP="004F3669">
      <w:pPr>
        <w:rPr>
          <w:lang w:val="en-GB"/>
        </w:rPr>
      </w:pPr>
    </w:p>
    <w:p w14:paraId="1B9F7823" w14:textId="77777777" w:rsidR="0041465F" w:rsidRDefault="0041465F">
      <w:pPr>
        <w:spacing w:before="0" w:after="200" w:line="276" w:lineRule="auto"/>
        <w:rPr>
          <w:lang w:val="en-GB"/>
        </w:rPr>
      </w:pPr>
      <w:r>
        <w:rPr>
          <w:lang w:val="en-GB"/>
        </w:rPr>
        <w:br w:type="page"/>
      </w:r>
    </w:p>
    <w:p w14:paraId="32726592" w14:textId="08016C69" w:rsidR="0041465F" w:rsidRPr="0041465F" w:rsidRDefault="0041465F" w:rsidP="004F3669">
      <w:pPr>
        <w:pStyle w:val="Ttulo3"/>
      </w:pPr>
      <w:r>
        <w:lastRenderedPageBreak/>
        <w:t xml:space="preserve">Supplementary </w:t>
      </w:r>
      <w:r>
        <w:t>Table</w:t>
      </w:r>
      <w:r>
        <w:t xml:space="preserve"> 2</w:t>
      </w:r>
    </w:p>
    <w:tbl>
      <w:tblPr>
        <w:tblW w:w="0" w:type="auto"/>
        <w:tblCellMar>
          <w:top w:w="15" w:type="dxa"/>
          <w:left w:w="15" w:type="dxa"/>
          <w:bottom w:w="15" w:type="dxa"/>
          <w:right w:w="15" w:type="dxa"/>
        </w:tblCellMar>
        <w:tblLook w:val="04A0" w:firstRow="1" w:lastRow="0" w:firstColumn="1" w:lastColumn="0" w:noHBand="0" w:noVBand="1"/>
      </w:tblPr>
      <w:tblGrid>
        <w:gridCol w:w="2912"/>
        <w:gridCol w:w="1143"/>
        <w:gridCol w:w="1919"/>
        <w:gridCol w:w="1930"/>
        <w:gridCol w:w="1873"/>
      </w:tblGrid>
      <w:tr w:rsidR="004414B3" w:rsidRPr="004414B3" w14:paraId="221FFD0C" w14:textId="77777777" w:rsidTr="004414B3">
        <w:trPr>
          <w:trHeight w:val="420"/>
        </w:trPr>
        <w:tc>
          <w:tcPr>
            <w:tcW w:w="0" w:type="auto"/>
            <w:gridSpan w:val="5"/>
            <w:tcBorders>
              <w:bottom w:val="double" w:sz="4" w:space="0" w:color="auto"/>
            </w:tcBorders>
            <w:tcMar>
              <w:top w:w="100" w:type="dxa"/>
              <w:left w:w="100" w:type="dxa"/>
              <w:bottom w:w="100" w:type="dxa"/>
              <w:right w:w="100" w:type="dxa"/>
            </w:tcMar>
            <w:hideMark/>
          </w:tcPr>
          <w:p w14:paraId="15DEDF0F" w14:textId="630334A2" w:rsidR="004414B3" w:rsidRPr="004414B3" w:rsidRDefault="004414B3" w:rsidP="004414B3">
            <w:pPr>
              <w:jc w:val="both"/>
              <w:rPr>
                <w:szCs w:val="24"/>
                <w:lang w:val="en-GB" w:eastAsia="en-GB"/>
              </w:rPr>
            </w:pPr>
            <w:r w:rsidRPr="004414B3">
              <w:rPr>
                <w:b/>
                <w:bCs/>
                <w:szCs w:val="24"/>
                <w:lang w:val="en-GB" w:eastAsia="en-GB"/>
              </w:rPr>
              <w:t>Table S2. Wave-similarity analyses results</w:t>
            </w:r>
            <w:r w:rsidRPr="004414B3">
              <w:rPr>
                <w:szCs w:val="24"/>
                <w:lang w:val="en-GB" w:eastAsia="en-GB"/>
              </w:rPr>
              <w:t>. Linear fit method coefficients are represented by the 95% confidence interval. Integrated pointwise indices using the intra-class correlation coefficient for absolute agreement as reliability measure showed excellent reliability (larger than 0.90).</w:t>
            </w:r>
            <w:r>
              <w:rPr>
                <w:szCs w:val="24"/>
                <w:lang w:val="en-GB" w:eastAsia="en-GB"/>
              </w:rPr>
              <w:br/>
            </w:r>
            <w:r w:rsidRPr="004414B3">
              <w:rPr>
                <w:sz w:val="20"/>
                <w:szCs w:val="20"/>
                <w:lang w:val="en-GB" w:eastAsia="en-GB"/>
              </w:rPr>
              <w:t>Abbreviations: MEP – Motor Evoked Potential; MVIC – Maximum Voluntary Isometric Contraction.</w:t>
            </w:r>
          </w:p>
        </w:tc>
      </w:tr>
      <w:tr w:rsidR="004414B3" w:rsidRPr="004414B3" w14:paraId="1F958188" w14:textId="77777777" w:rsidTr="004414B3">
        <w:trPr>
          <w:trHeight w:val="420"/>
        </w:trPr>
        <w:tc>
          <w:tcPr>
            <w:tcW w:w="0" w:type="auto"/>
            <w:gridSpan w:val="2"/>
            <w:tcBorders>
              <w:top w:val="double" w:sz="4" w:space="0" w:color="auto"/>
              <w:bottom w:val="single" w:sz="4" w:space="0" w:color="auto"/>
            </w:tcBorders>
            <w:tcMar>
              <w:top w:w="100" w:type="dxa"/>
              <w:left w:w="100" w:type="dxa"/>
              <w:bottom w:w="100" w:type="dxa"/>
              <w:right w:w="100" w:type="dxa"/>
            </w:tcMar>
            <w:hideMark/>
          </w:tcPr>
          <w:p w14:paraId="403B6A7C" w14:textId="77777777" w:rsidR="004414B3" w:rsidRPr="004414B3" w:rsidRDefault="004414B3" w:rsidP="004414B3">
            <w:pPr>
              <w:rPr>
                <w:szCs w:val="24"/>
                <w:lang w:val="en-GB" w:eastAsia="en-GB"/>
              </w:rPr>
            </w:pPr>
          </w:p>
        </w:tc>
        <w:tc>
          <w:tcPr>
            <w:tcW w:w="0" w:type="auto"/>
            <w:tcBorders>
              <w:top w:val="double" w:sz="4" w:space="0" w:color="auto"/>
              <w:bottom w:val="single" w:sz="4" w:space="0" w:color="auto"/>
            </w:tcBorders>
            <w:tcMar>
              <w:top w:w="100" w:type="dxa"/>
              <w:left w:w="100" w:type="dxa"/>
              <w:bottom w:w="100" w:type="dxa"/>
              <w:right w:w="100" w:type="dxa"/>
            </w:tcMar>
            <w:hideMark/>
          </w:tcPr>
          <w:p w14:paraId="4270E892" w14:textId="77777777" w:rsidR="004414B3" w:rsidRPr="004414B3" w:rsidRDefault="004414B3" w:rsidP="004414B3">
            <w:pPr>
              <w:jc w:val="center"/>
              <w:rPr>
                <w:szCs w:val="24"/>
                <w:lang w:val="en-GB" w:eastAsia="en-GB"/>
              </w:rPr>
            </w:pPr>
            <w:r w:rsidRPr="004414B3">
              <w:rPr>
                <w:b/>
                <w:bCs/>
                <w:szCs w:val="24"/>
                <w:lang w:val="en-GB" w:eastAsia="en-GB"/>
              </w:rPr>
              <w:t>Both</w:t>
            </w:r>
          </w:p>
        </w:tc>
        <w:tc>
          <w:tcPr>
            <w:tcW w:w="0" w:type="auto"/>
            <w:tcBorders>
              <w:top w:val="double" w:sz="4" w:space="0" w:color="auto"/>
              <w:bottom w:val="single" w:sz="4" w:space="0" w:color="auto"/>
            </w:tcBorders>
            <w:tcMar>
              <w:top w:w="100" w:type="dxa"/>
              <w:left w:w="100" w:type="dxa"/>
              <w:bottom w:w="100" w:type="dxa"/>
              <w:right w:w="100" w:type="dxa"/>
            </w:tcMar>
            <w:hideMark/>
          </w:tcPr>
          <w:p w14:paraId="0096F47F" w14:textId="77777777" w:rsidR="004414B3" w:rsidRPr="004414B3" w:rsidRDefault="004414B3" w:rsidP="004414B3">
            <w:pPr>
              <w:jc w:val="center"/>
              <w:rPr>
                <w:szCs w:val="24"/>
                <w:lang w:val="en-GB" w:eastAsia="en-GB"/>
              </w:rPr>
            </w:pPr>
            <w:r w:rsidRPr="004414B3">
              <w:rPr>
                <w:b/>
                <w:bCs/>
                <w:szCs w:val="24"/>
                <w:lang w:val="en-GB" w:eastAsia="en-GB"/>
              </w:rPr>
              <w:t>MEP epochs</w:t>
            </w:r>
          </w:p>
        </w:tc>
        <w:tc>
          <w:tcPr>
            <w:tcW w:w="0" w:type="auto"/>
            <w:tcBorders>
              <w:top w:val="double" w:sz="4" w:space="0" w:color="auto"/>
              <w:bottom w:val="single" w:sz="4" w:space="0" w:color="auto"/>
            </w:tcBorders>
            <w:tcMar>
              <w:top w:w="100" w:type="dxa"/>
              <w:left w:w="100" w:type="dxa"/>
              <w:bottom w:w="100" w:type="dxa"/>
              <w:right w:w="100" w:type="dxa"/>
            </w:tcMar>
            <w:hideMark/>
          </w:tcPr>
          <w:p w14:paraId="3A2E5C3E" w14:textId="77777777" w:rsidR="004414B3" w:rsidRPr="004414B3" w:rsidRDefault="004414B3" w:rsidP="004414B3">
            <w:pPr>
              <w:jc w:val="center"/>
              <w:rPr>
                <w:szCs w:val="24"/>
                <w:lang w:val="en-GB" w:eastAsia="en-GB"/>
              </w:rPr>
            </w:pPr>
            <w:r w:rsidRPr="004414B3">
              <w:rPr>
                <w:b/>
                <w:bCs/>
                <w:szCs w:val="24"/>
                <w:lang w:val="en-GB" w:eastAsia="en-GB"/>
              </w:rPr>
              <w:t>MVIC epochs</w:t>
            </w:r>
          </w:p>
        </w:tc>
      </w:tr>
      <w:tr w:rsidR="004414B3" w:rsidRPr="004414B3" w14:paraId="761C1AE4" w14:textId="77777777" w:rsidTr="004414B3">
        <w:trPr>
          <w:trHeight w:val="420"/>
        </w:trPr>
        <w:tc>
          <w:tcPr>
            <w:tcW w:w="0" w:type="auto"/>
            <w:vMerge w:val="restart"/>
            <w:tcBorders>
              <w:top w:val="single" w:sz="4" w:space="0" w:color="auto"/>
            </w:tcBorders>
            <w:tcMar>
              <w:top w:w="100" w:type="dxa"/>
              <w:left w:w="100" w:type="dxa"/>
              <w:bottom w:w="100" w:type="dxa"/>
              <w:right w:w="100" w:type="dxa"/>
            </w:tcMar>
            <w:hideMark/>
          </w:tcPr>
          <w:p w14:paraId="4596F687" w14:textId="77777777" w:rsidR="004414B3" w:rsidRPr="004414B3" w:rsidRDefault="004414B3" w:rsidP="004414B3">
            <w:pPr>
              <w:rPr>
                <w:szCs w:val="24"/>
                <w:lang w:val="en-GB" w:eastAsia="en-GB"/>
              </w:rPr>
            </w:pPr>
            <w:r w:rsidRPr="004414B3">
              <w:rPr>
                <w:szCs w:val="24"/>
                <w:lang w:val="en-GB" w:eastAsia="en-GB"/>
              </w:rPr>
              <w:t>Linear Fit Method</w:t>
            </w:r>
          </w:p>
        </w:tc>
        <w:tc>
          <w:tcPr>
            <w:tcW w:w="0" w:type="auto"/>
            <w:tcBorders>
              <w:top w:val="single" w:sz="4" w:space="0" w:color="auto"/>
              <w:bottom w:val="dotted" w:sz="4" w:space="0" w:color="auto"/>
            </w:tcBorders>
            <w:tcMar>
              <w:top w:w="100" w:type="dxa"/>
              <w:left w:w="100" w:type="dxa"/>
              <w:bottom w:w="100" w:type="dxa"/>
              <w:right w:w="100" w:type="dxa"/>
            </w:tcMar>
            <w:hideMark/>
          </w:tcPr>
          <w:p w14:paraId="4B7C74C1" w14:textId="6F950BA8" w:rsidR="004414B3" w:rsidRPr="004414B3" w:rsidRDefault="004414B3" w:rsidP="004414B3">
            <w:pPr>
              <w:rPr>
                <w:szCs w:val="24"/>
                <w:lang w:val="en-GB" w:eastAsia="en-GB"/>
              </w:rPr>
            </w:pPr>
            <m:oMathPara>
              <m:oMath>
                <m:r>
                  <w:rPr>
                    <w:rFonts w:ascii="Cambria Math" w:hAnsi="Cambria Math"/>
                    <w:szCs w:val="24"/>
                    <w:lang w:val="en-GB" w:eastAsia="en-GB"/>
                  </w:rPr>
                  <m:t>a</m:t>
                </m:r>
              </m:oMath>
            </m:oMathPara>
          </w:p>
        </w:tc>
        <w:tc>
          <w:tcPr>
            <w:tcW w:w="0" w:type="auto"/>
            <w:tcBorders>
              <w:top w:val="single" w:sz="4" w:space="0" w:color="auto"/>
              <w:bottom w:val="dotted" w:sz="4" w:space="0" w:color="auto"/>
            </w:tcBorders>
            <w:tcMar>
              <w:top w:w="100" w:type="dxa"/>
              <w:left w:w="100" w:type="dxa"/>
              <w:bottom w:w="100" w:type="dxa"/>
              <w:right w:w="100" w:type="dxa"/>
            </w:tcMar>
            <w:hideMark/>
          </w:tcPr>
          <w:p w14:paraId="0097F68B" w14:textId="77777777" w:rsidR="004414B3" w:rsidRPr="004414B3" w:rsidRDefault="004414B3" w:rsidP="004414B3">
            <w:pPr>
              <w:jc w:val="center"/>
              <w:rPr>
                <w:szCs w:val="24"/>
                <w:lang w:val="en-GB" w:eastAsia="en-GB"/>
              </w:rPr>
            </w:pPr>
            <w:r w:rsidRPr="004414B3">
              <w:rPr>
                <w:szCs w:val="24"/>
                <w:lang w:val="en-GB" w:eastAsia="en-GB"/>
              </w:rPr>
              <w:t>[0.924, 0.934]</w:t>
            </w:r>
          </w:p>
        </w:tc>
        <w:tc>
          <w:tcPr>
            <w:tcW w:w="0" w:type="auto"/>
            <w:tcBorders>
              <w:top w:val="single" w:sz="4" w:space="0" w:color="auto"/>
              <w:bottom w:val="dotted" w:sz="4" w:space="0" w:color="auto"/>
            </w:tcBorders>
            <w:tcMar>
              <w:top w:w="100" w:type="dxa"/>
              <w:left w:w="100" w:type="dxa"/>
              <w:bottom w:w="100" w:type="dxa"/>
              <w:right w:w="100" w:type="dxa"/>
            </w:tcMar>
            <w:hideMark/>
          </w:tcPr>
          <w:p w14:paraId="60D9F196" w14:textId="77777777" w:rsidR="004414B3" w:rsidRPr="004414B3" w:rsidRDefault="004414B3" w:rsidP="004414B3">
            <w:pPr>
              <w:jc w:val="center"/>
              <w:rPr>
                <w:szCs w:val="24"/>
                <w:lang w:val="en-GB" w:eastAsia="en-GB"/>
              </w:rPr>
            </w:pPr>
            <w:r w:rsidRPr="004414B3">
              <w:rPr>
                <w:szCs w:val="24"/>
                <w:lang w:val="en-GB" w:eastAsia="en-GB"/>
              </w:rPr>
              <w:t>[0.929, 0.949]</w:t>
            </w:r>
          </w:p>
        </w:tc>
        <w:tc>
          <w:tcPr>
            <w:tcW w:w="0" w:type="auto"/>
            <w:tcBorders>
              <w:top w:val="single" w:sz="4" w:space="0" w:color="auto"/>
              <w:bottom w:val="dotted" w:sz="4" w:space="0" w:color="auto"/>
            </w:tcBorders>
            <w:tcMar>
              <w:top w:w="100" w:type="dxa"/>
              <w:left w:w="100" w:type="dxa"/>
              <w:bottom w:w="100" w:type="dxa"/>
              <w:right w:w="100" w:type="dxa"/>
            </w:tcMar>
            <w:hideMark/>
          </w:tcPr>
          <w:p w14:paraId="2415DF16" w14:textId="77777777" w:rsidR="004414B3" w:rsidRPr="004414B3" w:rsidRDefault="004414B3" w:rsidP="004414B3">
            <w:pPr>
              <w:jc w:val="center"/>
              <w:rPr>
                <w:szCs w:val="24"/>
                <w:lang w:val="en-GB" w:eastAsia="en-GB"/>
              </w:rPr>
            </w:pPr>
            <w:r w:rsidRPr="004414B3">
              <w:rPr>
                <w:szCs w:val="24"/>
                <w:lang w:val="en-GB" w:eastAsia="en-GB"/>
              </w:rPr>
              <w:t>[0.878, 0.901]</w:t>
            </w:r>
          </w:p>
        </w:tc>
      </w:tr>
      <w:tr w:rsidR="004414B3" w:rsidRPr="004414B3" w14:paraId="1B557852" w14:textId="77777777" w:rsidTr="004414B3">
        <w:trPr>
          <w:trHeight w:val="420"/>
        </w:trPr>
        <w:tc>
          <w:tcPr>
            <w:tcW w:w="0" w:type="auto"/>
            <w:vMerge/>
            <w:vAlign w:val="center"/>
            <w:hideMark/>
          </w:tcPr>
          <w:p w14:paraId="2F409D1B" w14:textId="77777777" w:rsidR="004414B3" w:rsidRPr="004414B3" w:rsidRDefault="004414B3" w:rsidP="004414B3">
            <w:pPr>
              <w:rPr>
                <w:szCs w:val="24"/>
                <w:lang w:val="en-GB" w:eastAsia="en-GB"/>
              </w:rPr>
            </w:pPr>
          </w:p>
        </w:tc>
        <w:tc>
          <w:tcPr>
            <w:tcW w:w="0" w:type="auto"/>
            <w:tcBorders>
              <w:top w:val="dotted" w:sz="4" w:space="0" w:color="auto"/>
              <w:bottom w:val="dotted" w:sz="4" w:space="0" w:color="auto"/>
            </w:tcBorders>
            <w:tcMar>
              <w:top w:w="100" w:type="dxa"/>
              <w:left w:w="100" w:type="dxa"/>
              <w:bottom w:w="100" w:type="dxa"/>
              <w:right w:w="100" w:type="dxa"/>
            </w:tcMar>
            <w:hideMark/>
          </w:tcPr>
          <w:p w14:paraId="5CD7ED73" w14:textId="7937949D" w:rsidR="004414B3" w:rsidRPr="004414B3" w:rsidRDefault="004414B3" w:rsidP="004414B3">
            <w:pPr>
              <w:rPr>
                <w:szCs w:val="24"/>
                <w:lang w:val="en-GB" w:eastAsia="en-GB"/>
              </w:rPr>
            </w:pPr>
            <m:oMathPara>
              <m:oMath>
                <m:r>
                  <w:rPr>
                    <w:rFonts w:ascii="Cambria Math" w:hAnsi="Cambria Math"/>
                    <w:szCs w:val="24"/>
                    <w:lang w:val="en-GB" w:eastAsia="en-GB"/>
                  </w:rPr>
                  <m:t>b</m:t>
                </m:r>
              </m:oMath>
            </m:oMathPara>
          </w:p>
        </w:tc>
        <w:tc>
          <w:tcPr>
            <w:tcW w:w="0" w:type="auto"/>
            <w:tcBorders>
              <w:top w:val="dotted" w:sz="4" w:space="0" w:color="auto"/>
              <w:bottom w:val="dotted" w:sz="4" w:space="0" w:color="auto"/>
            </w:tcBorders>
            <w:tcMar>
              <w:top w:w="100" w:type="dxa"/>
              <w:left w:w="100" w:type="dxa"/>
              <w:bottom w:w="100" w:type="dxa"/>
              <w:right w:w="100" w:type="dxa"/>
            </w:tcMar>
            <w:hideMark/>
          </w:tcPr>
          <w:p w14:paraId="62BD2A0B" w14:textId="77777777" w:rsidR="004414B3" w:rsidRPr="004414B3" w:rsidRDefault="004414B3" w:rsidP="004414B3">
            <w:pPr>
              <w:jc w:val="center"/>
              <w:rPr>
                <w:szCs w:val="24"/>
                <w:lang w:val="en-GB" w:eastAsia="en-GB"/>
              </w:rPr>
            </w:pPr>
            <w:r w:rsidRPr="004414B3">
              <w:rPr>
                <w:szCs w:val="24"/>
                <w:lang w:val="en-GB" w:eastAsia="en-GB"/>
              </w:rPr>
              <w:t>[-0.471, -0.214]</w:t>
            </w:r>
          </w:p>
        </w:tc>
        <w:tc>
          <w:tcPr>
            <w:tcW w:w="0" w:type="auto"/>
            <w:tcBorders>
              <w:top w:val="dotted" w:sz="4" w:space="0" w:color="auto"/>
              <w:bottom w:val="dotted" w:sz="4" w:space="0" w:color="auto"/>
            </w:tcBorders>
            <w:tcMar>
              <w:top w:w="100" w:type="dxa"/>
              <w:left w:w="100" w:type="dxa"/>
              <w:bottom w:w="100" w:type="dxa"/>
              <w:right w:w="100" w:type="dxa"/>
            </w:tcMar>
            <w:hideMark/>
          </w:tcPr>
          <w:p w14:paraId="0E02DCF6" w14:textId="77777777" w:rsidR="004414B3" w:rsidRPr="004414B3" w:rsidRDefault="004414B3" w:rsidP="004414B3">
            <w:pPr>
              <w:jc w:val="center"/>
              <w:rPr>
                <w:szCs w:val="24"/>
                <w:lang w:val="en-GB" w:eastAsia="en-GB"/>
              </w:rPr>
            </w:pPr>
            <w:r w:rsidRPr="004414B3">
              <w:rPr>
                <w:szCs w:val="24"/>
                <w:lang w:val="en-GB" w:eastAsia="en-GB"/>
              </w:rPr>
              <w:t>[-0.539, -0.246]</w:t>
            </w:r>
          </w:p>
        </w:tc>
        <w:tc>
          <w:tcPr>
            <w:tcW w:w="0" w:type="auto"/>
            <w:tcBorders>
              <w:top w:val="dotted" w:sz="4" w:space="0" w:color="auto"/>
              <w:bottom w:val="dotted" w:sz="4" w:space="0" w:color="auto"/>
            </w:tcBorders>
            <w:tcMar>
              <w:top w:w="100" w:type="dxa"/>
              <w:left w:w="100" w:type="dxa"/>
              <w:bottom w:w="100" w:type="dxa"/>
              <w:right w:w="100" w:type="dxa"/>
            </w:tcMar>
            <w:hideMark/>
          </w:tcPr>
          <w:p w14:paraId="1EE3919A" w14:textId="77777777" w:rsidR="004414B3" w:rsidRPr="004414B3" w:rsidRDefault="004414B3" w:rsidP="004414B3">
            <w:pPr>
              <w:jc w:val="center"/>
              <w:rPr>
                <w:szCs w:val="24"/>
                <w:lang w:val="en-GB" w:eastAsia="en-GB"/>
              </w:rPr>
            </w:pPr>
            <w:r w:rsidRPr="004414B3">
              <w:rPr>
                <w:szCs w:val="24"/>
                <w:lang w:val="en-GB" w:eastAsia="en-GB"/>
              </w:rPr>
              <w:t>[-0.045, 0.036]</w:t>
            </w:r>
          </w:p>
        </w:tc>
      </w:tr>
      <w:tr w:rsidR="004414B3" w:rsidRPr="004414B3" w14:paraId="52162ED3" w14:textId="77777777" w:rsidTr="004414B3">
        <w:trPr>
          <w:trHeight w:val="420"/>
        </w:trPr>
        <w:tc>
          <w:tcPr>
            <w:tcW w:w="0" w:type="auto"/>
            <w:vMerge/>
            <w:tcBorders>
              <w:bottom w:val="single" w:sz="4" w:space="0" w:color="auto"/>
            </w:tcBorders>
            <w:vAlign w:val="center"/>
            <w:hideMark/>
          </w:tcPr>
          <w:p w14:paraId="38F59E2F" w14:textId="77777777" w:rsidR="004414B3" w:rsidRPr="004414B3" w:rsidRDefault="004414B3" w:rsidP="004414B3">
            <w:pPr>
              <w:rPr>
                <w:szCs w:val="24"/>
                <w:lang w:val="en-GB" w:eastAsia="en-GB"/>
              </w:rPr>
            </w:pPr>
          </w:p>
        </w:tc>
        <w:tc>
          <w:tcPr>
            <w:tcW w:w="0" w:type="auto"/>
            <w:tcBorders>
              <w:top w:val="dotted" w:sz="4" w:space="0" w:color="auto"/>
              <w:bottom w:val="single" w:sz="4" w:space="0" w:color="auto"/>
            </w:tcBorders>
            <w:tcMar>
              <w:top w:w="100" w:type="dxa"/>
              <w:left w:w="100" w:type="dxa"/>
              <w:bottom w:w="100" w:type="dxa"/>
              <w:right w:w="100" w:type="dxa"/>
            </w:tcMar>
            <w:hideMark/>
          </w:tcPr>
          <w:p w14:paraId="41C233FC" w14:textId="4BE3D31D" w:rsidR="004414B3" w:rsidRPr="004414B3" w:rsidRDefault="004414B3" w:rsidP="004414B3">
            <w:pPr>
              <w:rPr>
                <w:szCs w:val="24"/>
                <w:lang w:val="en-GB" w:eastAsia="en-GB"/>
              </w:rPr>
            </w:pPr>
            <m:oMathPara>
              <m:oMath>
                <m:sSup>
                  <m:sSupPr>
                    <m:ctrlPr>
                      <w:rPr>
                        <w:rFonts w:ascii="Cambria Math" w:hAnsi="Cambria Math" w:cs="Arial"/>
                        <w:i/>
                        <w:color w:val="000000"/>
                        <w:szCs w:val="24"/>
                        <w:shd w:val="clear" w:color="auto" w:fill="FFFFFF"/>
                      </w:rPr>
                    </m:ctrlPr>
                  </m:sSupPr>
                  <m:e>
                    <m:r>
                      <w:rPr>
                        <w:rFonts w:ascii="Cambria Math" w:hAnsi="Cambria Math" w:cs="Arial"/>
                        <w:color w:val="000000"/>
                        <w:szCs w:val="24"/>
                        <w:shd w:val="clear" w:color="auto" w:fill="FFFFFF"/>
                      </w:rPr>
                      <m:t>R</m:t>
                    </m:r>
                  </m:e>
                  <m:sup>
                    <m:r>
                      <w:rPr>
                        <w:rFonts w:ascii="Cambria Math" w:hAnsi="Cambria Math" w:cs="Arial"/>
                        <w:color w:val="000000"/>
                        <w:szCs w:val="24"/>
                        <w:shd w:val="clear" w:color="auto" w:fill="FFFFFF"/>
                      </w:rPr>
                      <m:t>2</m:t>
                    </m:r>
                  </m:sup>
                </m:sSup>
              </m:oMath>
            </m:oMathPara>
          </w:p>
        </w:tc>
        <w:tc>
          <w:tcPr>
            <w:tcW w:w="0" w:type="auto"/>
            <w:tcBorders>
              <w:top w:val="dotted" w:sz="4" w:space="0" w:color="auto"/>
              <w:bottom w:val="single" w:sz="4" w:space="0" w:color="auto"/>
            </w:tcBorders>
            <w:tcMar>
              <w:top w:w="100" w:type="dxa"/>
              <w:left w:w="100" w:type="dxa"/>
              <w:bottom w:w="100" w:type="dxa"/>
              <w:right w:w="100" w:type="dxa"/>
            </w:tcMar>
            <w:hideMark/>
          </w:tcPr>
          <w:p w14:paraId="52512C41" w14:textId="77777777" w:rsidR="004414B3" w:rsidRPr="004414B3" w:rsidRDefault="004414B3" w:rsidP="004414B3">
            <w:pPr>
              <w:jc w:val="center"/>
              <w:rPr>
                <w:szCs w:val="24"/>
                <w:lang w:val="en-GB" w:eastAsia="en-GB"/>
              </w:rPr>
            </w:pPr>
            <w:r w:rsidRPr="004414B3">
              <w:rPr>
                <w:szCs w:val="24"/>
                <w:lang w:val="en-GB" w:eastAsia="en-GB"/>
              </w:rPr>
              <w:t>[0.953, 0.964]</w:t>
            </w:r>
          </w:p>
        </w:tc>
        <w:tc>
          <w:tcPr>
            <w:tcW w:w="0" w:type="auto"/>
            <w:tcBorders>
              <w:top w:val="dotted" w:sz="4" w:space="0" w:color="auto"/>
              <w:bottom w:val="single" w:sz="4" w:space="0" w:color="auto"/>
            </w:tcBorders>
            <w:tcMar>
              <w:top w:w="100" w:type="dxa"/>
              <w:left w:w="100" w:type="dxa"/>
              <w:bottom w:w="100" w:type="dxa"/>
              <w:right w:w="100" w:type="dxa"/>
            </w:tcMar>
            <w:hideMark/>
          </w:tcPr>
          <w:p w14:paraId="0F1B8E10" w14:textId="77777777" w:rsidR="004414B3" w:rsidRPr="004414B3" w:rsidRDefault="004414B3" w:rsidP="004414B3">
            <w:pPr>
              <w:jc w:val="center"/>
              <w:rPr>
                <w:szCs w:val="24"/>
                <w:lang w:val="en-GB" w:eastAsia="en-GB"/>
              </w:rPr>
            </w:pPr>
            <w:r w:rsidRPr="004414B3">
              <w:rPr>
                <w:szCs w:val="24"/>
                <w:lang w:val="en-GB" w:eastAsia="en-GB"/>
              </w:rPr>
              <w:t>[0.962, 0.972]</w:t>
            </w:r>
          </w:p>
        </w:tc>
        <w:tc>
          <w:tcPr>
            <w:tcW w:w="0" w:type="auto"/>
            <w:tcBorders>
              <w:top w:val="dotted" w:sz="4" w:space="0" w:color="auto"/>
              <w:bottom w:val="single" w:sz="4" w:space="0" w:color="auto"/>
            </w:tcBorders>
            <w:tcMar>
              <w:top w:w="100" w:type="dxa"/>
              <w:left w:w="100" w:type="dxa"/>
              <w:bottom w:w="100" w:type="dxa"/>
              <w:right w:w="100" w:type="dxa"/>
            </w:tcMar>
            <w:hideMark/>
          </w:tcPr>
          <w:p w14:paraId="2F25A420" w14:textId="77777777" w:rsidR="004414B3" w:rsidRPr="004414B3" w:rsidRDefault="004414B3" w:rsidP="004414B3">
            <w:pPr>
              <w:jc w:val="center"/>
              <w:rPr>
                <w:szCs w:val="24"/>
                <w:lang w:val="en-GB" w:eastAsia="en-GB"/>
              </w:rPr>
            </w:pPr>
            <w:r w:rsidRPr="004414B3">
              <w:rPr>
                <w:szCs w:val="24"/>
                <w:lang w:val="en-GB" w:eastAsia="en-GB"/>
              </w:rPr>
              <w:t>[0.882, 0.929]</w:t>
            </w:r>
          </w:p>
        </w:tc>
      </w:tr>
      <w:tr w:rsidR="004414B3" w:rsidRPr="004414B3" w14:paraId="27FFBEEF" w14:textId="77777777" w:rsidTr="004414B3">
        <w:tc>
          <w:tcPr>
            <w:tcW w:w="0" w:type="auto"/>
            <w:tcBorders>
              <w:top w:val="single" w:sz="4" w:space="0" w:color="auto"/>
              <w:bottom w:val="double" w:sz="4" w:space="0" w:color="auto"/>
            </w:tcBorders>
            <w:tcMar>
              <w:top w:w="100" w:type="dxa"/>
              <w:left w:w="100" w:type="dxa"/>
              <w:bottom w:w="100" w:type="dxa"/>
              <w:right w:w="100" w:type="dxa"/>
            </w:tcMar>
            <w:hideMark/>
          </w:tcPr>
          <w:p w14:paraId="380F2E44" w14:textId="77777777" w:rsidR="004414B3" w:rsidRPr="004414B3" w:rsidRDefault="004414B3" w:rsidP="004414B3">
            <w:pPr>
              <w:rPr>
                <w:szCs w:val="24"/>
                <w:lang w:val="en-GB" w:eastAsia="en-GB"/>
              </w:rPr>
            </w:pPr>
            <w:r w:rsidRPr="004414B3">
              <w:rPr>
                <w:szCs w:val="24"/>
                <w:lang w:val="en-GB" w:eastAsia="en-GB"/>
              </w:rPr>
              <w:t>Integrated Pointwise Index</w:t>
            </w:r>
          </w:p>
        </w:tc>
        <w:tc>
          <w:tcPr>
            <w:tcW w:w="0" w:type="auto"/>
            <w:tcBorders>
              <w:top w:val="single" w:sz="4" w:space="0" w:color="auto"/>
              <w:bottom w:val="double" w:sz="4" w:space="0" w:color="auto"/>
            </w:tcBorders>
            <w:tcMar>
              <w:top w:w="100" w:type="dxa"/>
              <w:left w:w="100" w:type="dxa"/>
              <w:bottom w:w="100" w:type="dxa"/>
              <w:right w:w="100" w:type="dxa"/>
            </w:tcMar>
            <w:hideMark/>
          </w:tcPr>
          <w:p w14:paraId="396EC9D5" w14:textId="18B53FDC" w:rsidR="004414B3" w:rsidRPr="004414B3" w:rsidRDefault="004414B3" w:rsidP="004414B3">
            <w:pPr>
              <w:rPr>
                <w:szCs w:val="24"/>
                <w:lang w:val="en-GB" w:eastAsia="en-GB"/>
              </w:rPr>
            </w:pPr>
            <m:oMathPara>
              <m:oMath>
                <m:sSub>
                  <m:sSubPr>
                    <m:ctrlPr>
                      <w:rPr>
                        <w:rFonts w:ascii="Cambria Math" w:hAnsi="Cambria Math"/>
                        <w:i/>
                        <w:szCs w:val="24"/>
                      </w:rPr>
                    </m:ctrlPr>
                  </m:sSubPr>
                  <m:e>
                    <m:r>
                      <w:rPr>
                        <w:rFonts w:ascii="Cambria Math" w:hAnsi="Cambria Math"/>
                        <w:szCs w:val="24"/>
                      </w:rPr>
                      <m:t>IPI</m:t>
                    </m:r>
                  </m:e>
                  <m:sub>
                    <m:r>
                      <w:rPr>
                        <w:rFonts w:ascii="Cambria Math" w:hAnsi="Cambria Math"/>
                        <w:szCs w:val="24"/>
                      </w:rPr>
                      <m:t>icc</m:t>
                    </m:r>
                  </m:sub>
                </m:sSub>
              </m:oMath>
            </m:oMathPara>
          </w:p>
        </w:tc>
        <w:tc>
          <w:tcPr>
            <w:tcW w:w="0" w:type="auto"/>
            <w:tcBorders>
              <w:top w:val="single" w:sz="4" w:space="0" w:color="auto"/>
              <w:bottom w:val="double" w:sz="4" w:space="0" w:color="auto"/>
            </w:tcBorders>
            <w:tcMar>
              <w:top w:w="100" w:type="dxa"/>
              <w:left w:w="100" w:type="dxa"/>
              <w:bottom w:w="100" w:type="dxa"/>
              <w:right w:w="100" w:type="dxa"/>
            </w:tcMar>
            <w:hideMark/>
          </w:tcPr>
          <w:p w14:paraId="6A41D621" w14:textId="77777777" w:rsidR="004414B3" w:rsidRPr="004414B3" w:rsidRDefault="004414B3" w:rsidP="004414B3">
            <w:pPr>
              <w:jc w:val="center"/>
              <w:rPr>
                <w:szCs w:val="24"/>
                <w:lang w:val="en-GB" w:eastAsia="en-GB"/>
              </w:rPr>
            </w:pPr>
          </w:p>
        </w:tc>
        <w:tc>
          <w:tcPr>
            <w:tcW w:w="0" w:type="auto"/>
            <w:tcBorders>
              <w:top w:val="single" w:sz="4" w:space="0" w:color="auto"/>
              <w:bottom w:val="double" w:sz="4" w:space="0" w:color="auto"/>
            </w:tcBorders>
            <w:tcMar>
              <w:top w:w="100" w:type="dxa"/>
              <w:left w:w="100" w:type="dxa"/>
              <w:bottom w:w="100" w:type="dxa"/>
              <w:right w:w="100" w:type="dxa"/>
            </w:tcMar>
            <w:hideMark/>
          </w:tcPr>
          <w:p w14:paraId="7AC0A373" w14:textId="77777777" w:rsidR="004414B3" w:rsidRPr="004414B3" w:rsidRDefault="004414B3" w:rsidP="004414B3">
            <w:pPr>
              <w:jc w:val="center"/>
              <w:rPr>
                <w:szCs w:val="24"/>
                <w:lang w:val="en-GB" w:eastAsia="en-GB"/>
              </w:rPr>
            </w:pPr>
            <w:r w:rsidRPr="004414B3">
              <w:rPr>
                <w:szCs w:val="24"/>
                <w:lang w:val="en-GB" w:eastAsia="en-GB"/>
              </w:rPr>
              <w:t>0.951</w:t>
            </w:r>
          </w:p>
        </w:tc>
        <w:tc>
          <w:tcPr>
            <w:tcW w:w="0" w:type="auto"/>
            <w:tcBorders>
              <w:top w:val="single" w:sz="4" w:space="0" w:color="auto"/>
              <w:bottom w:val="double" w:sz="4" w:space="0" w:color="auto"/>
            </w:tcBorders>
            <w:tcMar>
              <w:top w:w="100" w:type="dxa"/>
              <w:left w:w="100" w:type="dxa"/>
              <w:bottom w:w="100" w:type="dxa"/>
              <w:right w:w="100" w:type="dxa"/>
            </w:tcMar>
            <w:hideMark/>
          </w:tcPr>
          <w:p w14:paraId="4B4B6F75" w14:textId="77777777" w:rsidR="004414B3" w:rsidRPr="004414B3" w:rsidRDefault="004414B3" w:rsidP="004414B3">
            <w:pPr>
              <w:jc w:val="center"/>
              <w:rPr>
                <w:szCs w:val="24"/>
                <w:lang w:val="en-GB" w:eastAsia="en-GB"/>
              </w:rPr>
            </w:pPr>
            <w:r w:rsidRPr="004414B3">
              <w:rPr>
                <w:szCs w:val="24"/>
                <w:lang w:val="en-GB" w:eastAsia="en-GB"/>
              </w:rPr>
              <w:t>0.933</w:t>
            </w:r>
          </w:p>
        </w:tc>
      </w:tr>
    </w:tbl>
    <w:p w14:paraId="08EB0E5C" w14:textId="77777777" w:rsidR="004414B3" w:rsidRDefault="004414B3" w:rsidP="004F3669">
      <w:pPr>
        <w:rPr>
          <w:lang w:val="en-GB"/>
        </w:rPr>
      </w:pPr>
    </w:p>
    <w:p w14:paraId="32B05215" w14:textId="47B32C17" w:rsidR="004414B3" w:rsidRDefault="004414B3" w:rsidP="004414B3">
      <w:pPr>
        <w:pStyle w:val="Ttulo1"/>
        <w:rPr>
          <w:lang w:val="en-GB"/>
        </w:rPr>
      </w:pPr>
      <w:r>
        <w:rPr>
          <w:lang w:val="en-GB"/>
        </w:rPr>
        <w:t>References</w:t>
      </w:r>
    </w:p>
    <w:p w14:paraId="3A5B5072" w14:textId="77777777" w:rsidR="004414B3" w:rsidRPr="004414B3" w:rsidRDefault="004414B3" w:rsidP="004414B3">
      <w:pPr>
        <w:pStyle w:val="Bibliografia"/>
        <w:rPr>
          <w:rFonts w:cs="Times New Roman"/>
        </w:rPr>
      </w:pPr>
      <w:r>
        <w:rPr>
          <w:lang w:val="en-GB"/>
        </w:rPr>
        <w:fldChar w:fldCharType="begin"/>
      </w:r>
      <w:r w:rsidRPr="004414B3">
        <w:rPr>
          <w:lang w:val="es-ES"/>
        </w:rPr>
        <w:instrText xml:space="preserve"> ADDIN ZOTERO_BIBL {"uncited":[],"omitted":[],"custom":[]} CSL_BIBLIOGRAPHY </w:instrText>
      </w:r>
      <w:r>
        <w:rPr>
          <w:lang w:val="en-GB"/>
        </w:rPr>
        <w:fldChar w:fldCharType="separate"/>
      </w:r>
      <w:r w:rsidRPr="004414B3">
        <w:rPr>
          <w:rFonts w:cs="Times New Roman"/>
          <w:lang w:val="es-ES"/>
        </w:rPr>
        <w:t xml:space="preserve">Groppa, S., A. Oliviero, A. Eisen, A. Quartarone, L.G. Cohen, V. Mall, A. Kaelin-Lang, et al. 2012. </w:t>
      </w:r>
      <w:r w:rsidRPr="004414B3">
        <w:rPr>
          <w:rFonts w:cs="Times New Roman"/>
        </w:rPr>
        <w:t xml:space="preserve">‘A Practical Guide to Diagnostic Transcranial Magnetic Stimulation: Report of an IFCN Committee’. </w:t>
      </w:r>
      <w:r w:rsidRPr="004414B3">
        <w:rPr>
          <w:rFonts w:cs="Times New Roman"/>
          <w:i/>
          <w:iCs/>
        </w:rPr>
        <w:t>Clinical Neurophysiology</w:t>
      </w:r>
      <w:r w:rsidRPr="004414B3">
        <w:rPr>
          <w:rFonts w:cs="Times New Roman"/>
        </w:rPr>
        <w:t xml:space="preserve"> 123 (5): 858–82. https://doi.org/10.1016/j.clinph.2012.01.010.</w:t>
      </w:r>
    </w:p>
    <w:p w14:paraId="5C2A094B" w14:textId="77777777" w:rsidR="004414B3" w:rsidRPr="004414B3" w:rsidRDefault="004414B3" w:rsidP="004414B3">
      <w:pPr>
        <w:pStyle w:val="Bibliografia"/>
        <w:rPr>
          <w:rFonts w:cs="Times New Roman"/>
        </w:rPr>
      </w:pPr>
      <w:r w:rsidRPr="004414B3">
        <w:rPr>
          <w:rFonts w:cs="Times New Roman"/>
        </w:rPr>
        <w:t xml:space="preserve">Iosa, M., A. Cereatti, A. Merlo, I. Campanini, S. Paolucci, and A. Cappozzo. 2014. ‘Assessment of Waveform Similarity in Clinical Gait Data: The Linear Fit Method’. </w:t>
      </w:r>
      <w:r w:rsidRPr="004414B3">
        <w:rPr>
          <w:rFonts w:cs="Times New Roman"/>
          <w:i/>
          <w:iCs/>
        </w:rPr>
        <w:t>BioMed Research International</w:t>
      </w:r>
      <w:r w:rsidRPr="004414B3">
        <w:rPr>
          <w:rFonts w:cs="Times New Roman"/>
        </w:rPr>
        <w:t xml:space="preserve"> 2014: 1–7. https://doi.org/10.1155/2014/214156.</w:t>
      </w:r>
    </w:p>
    <w:p w14:paraId="53B360F4" w14:textId="77777777" w:rsidR="004414B3" w:rsidRPr="004414B3" w:rsidRDefault="004414B3" w:rsidP="004414B3">
      <w:pPr>
        <w:pStyle w:val="Bibliografia"/>
        <w:rPr>
          <w:rFonts w:cs="Times New Roman"/>
          <w:lang w:val="pt-PT"/>
        </w:rPr>
      </w:pPr>
      <w:r w:rsidRPr="004414B3">
        <w:rPr>
          <w:rFonts w:cs="Times New Roman"/>
        </w:rPr>
        <w:t xml:space="preserve">Koo, Terry K., and Mae Y. Li. 2016. ‘A Guideline of Selecting and Reporting Intraclass Correlation Coefficients for Reliability Research’. </w:t>
      </w:r>
      <w:r w:rsidRPr="004414B3">
        <w:rPr>
          <w:rFonts w:cs="Times New Roman"/>
          <w:i/>
          <w:iCs/>
          <w:lang w:val="pt-PT"/>
        </w:rPr>
        <w:t>Journal of Chiropractic Medicine</w:t>
      </w:r>
      <w:r w:rsidRPr="004414B3">
        <w:rPr>
          <w:rFonts w:cs="Times New Roman"/>
          <w:lang w:val="pt-PT"/>
        </w:rPr>
        <w:t xml:space="preserve"> 15 (2): 155–63. https://doi.org/10.1016/j.jcm.2016.02.012.</w:t>
      </w:r>
    </w:p>
    <w:p w14:paraId="239B6143" w14:textId="0307722D" w:rsidR="004414B3" w:rsidRPr="004414B3" w:rsidRDefault="004414B3" w:rsidP="004414B3">
      <w:pPr>
        <w:pStyle w:val="Bibliografia"/>
        <w:rPr>
          <w:rFonts w:cs="Times New Roman"/>
        </w:rPr>
      </w:pPr>
      <w:r w:rsidRPr="004414B3">
        <w:rPr>
          <w:rFonts w:cs="Times New Roman"/>
          <w:lang w:val="pt-PT"/>
        </w:rPr>
        <w:t>Lopes, Gon</w:t>
      </w:r>
      <w:r>
        <w:rPr>
          <w:rFonts w:cs="Times New Roman"/>
          <w:lang w:val="pt-PT"/>
        </w:rPr>
        <w:t>ç</w:t>
      </w:r>
      <w:r w:rsidRPr="004414B3">
        <w:rPr>
          <w:rFonts w:cs="Times New Roman"/>
          <w:lang w:val="pt-PT"/>
        </w:rPr>
        <w:t>alo, NiccolÃ</w:t>
      </w:r>
      <w:r w:rsidRPr="004414B3">
        <w:rPr>
          <w:rFonts w:cs="Times New Roman"/>
          <w:vertAlign w:val="superscript"/>
          <w:lang w:val="pt-PT"/>
        </w:rPr>
        <w:t>2</w:t>
      </w:r>
      <w:r w:rsidRPr="004414B3">
        <w:rPr>
          <w:rFonts w:cs="Times New Roman"/>
          <w:lang w:val="pt-PT"/>
        </w:rPr>
        <w:t xml:space="preserve"> Bonacchi, JoÃ£o FrazÃ£o, Joana P. Neto, Bassam V. Atallah, Sofia Soares, LuÃ­s Moreira, et al. 2015. </w:t>
      </w:r>
      <w:r w:rsidRPr="004414B3">
        <w:rPr>
          <w:rFonts w:cs="Times New Roman"/>
        </w:rPr>
        <w:t xml:space="preserve">‘Bonsai: An Event-Based Framework for Processing and Controlling Data Streams’. </w:t>
      </w:r>
      <w:r w:rsidRPr="004414B3">
        <w:rPr>
          <w:rFonts w:cs="Times New Roman"/>
          <w:i/>
          <w:iCs/>
        </w:rPr>
        <w:t>Frontiers in Neuroinformatics</w:t>
      </w:r>
      <w:r w:rsidRPr="004414B3">
        <w:rPr>
          <w:rFonts w:cs="Times New Roman"/>
        </w:rPr>
        <w:t xml:space="preserve"> 9 (April). https://doi.org/10.3389/fninf.2015.00007.</w:t>
      </w:r>
    </w:p>
    <w:p w14:paraId="1AEEFB0B" w14:textId="77777777" w:rsidR="004414B3" w:rsidRPr="004414B3" w:rsidRDefault="004414B3" w:rsidP="004414B3">
      <w:pPr>
        <w:pStyle w:val="Bibliografia"/>
        <w:rPr>
          <w:rFonts w:cs="Times New Roman"/>
        </w:rPr>
      </w:pPr>
      <w:r w:rsidRPr="004414B3">
        <w:rPr>
          <w:rFonts w:cs="Times New Roman"/>
        </w:rPr>
        <w:t xml:space="preserve">Pini, Alessia, Jonas L Markström, and Lina Schelin. 2022. ‘Test–Retest Reliability Measures for Curve Data: An Overview with Recommendations and Supplementary Code’. </w:t>
      </w:r>
      <w:r w:rsidRPr="004414B3">
        <w:rPr>
          <w:rFonts w:cs="Times New Roman"/>
          <w:i/>
          <w:iCs/>
        </w:rPr>
        <w:t>Sports Biomechanics</w:t>
      </w:r>
      <w:r w:rsidRPr="004414B3">
        <w:rPr>
          <w:rFonts w:cs="Times New Roman"/>
        </w:rPr>
        <w:t xml:space="preserve"> 21 (2): 179–200. https://doi.org/10.1080/14763141.2019.1655089.</w:t>
      </w:r>
    </w:p>
    <w:p w14:paraId="3A226540" w14:textId="20F35A4B" w:rsidR="004414B3" w:rsidRPr="004414B3" w:rsidRDefault="004414B3" w:rsidP="004414B3">
      <w:pPr>
        <w:rPr>
          <w:lang w:val="en-GB"/>
        </w:rPr>
      </w:pPr>
      <w:r>
        <w:rPr>
          <w:lang w:val="en-GB"/>
        </w:rPr>
        <w:fldChar w:fldCharType="end"/>
      </w:r>
    </w:p>
    <w:sectPr w:rsidR="004414B3" w:rsidRPr="004414B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F5422" w14:textId="77777777" w:rsidR="006F28DB" w:rsidRDefault="006F28DB" w:rsidP="00117666">
      <w:pPr>
        <w:spacing w:after="0"/>
      </w:pPr>
      <w:r>
        <w:separator/>
      </w:r>
    </w:p>
  </w:endnote>
  <w:endnote w:type="continuationSeparator" w:id="0">
    <w:p w14:paraId="5A0ECA81" w14:textId="77777777" w:rsidR="006F28DB" w:rsidRDefault="006F28D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EAEF" w14:textId="77777777" w:rsidR="006F28DB" w:rsidRDefault="006F28DB" w:rsidP="00117666">
      <w:pPr>
        <w:spacing w:after="0"/>
      </w:pPr>
      <w:r>
        <w:separator/>
      </w:r>
    </w:p>
  </w:footnote>
  <w:footnote w:type="continuationSeparator" w:id="0">
    <w:p w14:paraId="06307EC9" w14:textId="77777777" w:rsidR="006F28DB" w:rsidRDefault="006F28D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67D18"/>
    <w:rsid w:val="00283781"/>
    <w:rsid w:val="002868E2"/>
    <w:rsid w:val="002869C3"/>
    <w:rsid w:val="002936E4"/>
    <w:rsid w:val="002B4A57"/>
    <w:rsid w:val="002C74CA"/>
    <w:rsid w:val="00347B64"/>
    <w:rsid w:val="003544FB"/>
    <w:rsid w:val="003D2D47"/>
    <w:rsid w:val="003D2F2D"/>
    <w:rsid w:val="00401590"/>
    <w:rsid w:val="0041465F"/>
    <w:rsid w:val="004414B3"/>
    <w:rsid w:val="00447801"/>
    <w:rsid w:val="00452E9C"/>
    <w:rsid w:val="004735C8"/>
    <w:rsid w:val="004961FF"/>
    <w:rsid w:val="004F3669"/>
    <w:rsid w:val="00517A89"/>
    <w:rsid w:val="005250F2"/>
    <w:rsid w:val="00593EEA"/>
    <w:rsid w:val="005A5EEE"/>
    <w:rsid w:val="005B2CFF"/>
    <w:rsid w:val="006375C7"/>
    <w:rsid w:val="00654E8F"/>
    <w:rsid w:val="00660D05"/>
    <w:rsid w:val="006820B1"/>
    <w:rsid w:val="006B0C17"/>
    <w:rsid w:val="006B7D14"/>
    <w:rsid w:val="006F28DB"/>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argrafodaLista"/>
    <w:next w:val="Normal"/>
    <w:link w:val="Ttulo1Carte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ter"/>
    <w:uiPriority w:val="2"/>
    <w:qFormat/>
    <w:rsid w:val="00AB6715"/>
    <w:pPr>
      <w:numPr>
        <w:ilvl w:val="1"/>
      </w:numPr>
      <w:spacing w:after="200"/>
      <w:outlineLvl w:val="1"/>
    </w:pPr>
  </w:style>
  <w:style w:type="paragraph" w:styleId="Ttulo3">
    <w:name w:val="heading 3"/>
    <w:basedOn w:val="Normal"/>
    <w:next w:val="Normal"/>
    <w:link w:val="Ttulo3Carte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ter"/>
    <w:uiPriority w:val="2"/>
    <w:qFormat/>
    <w:rsid w:val="00AB6715"/>
    <w:pPr>
      <w:numPr>
        <w:ilvl w:val="3"/>
      </w:numPr>
      <w:outlineLvl w:val="3"/>
    </w:pPr>
    <w:rPr>
      <w:iCs/>
    </w:rPr>
  </w:style>
  <w:style w:type="paragraph" w:styleId="Ttulo5">
    <w:name w:val="heading 5"/>
    <w:basedOn w:val="Ttulo4"/>
    <w:next w:val="Normal"/>
    <w:link w:val="Ttulo5Carter"/>
    <w:uiPriority w:val="2"/>
    <w:qFormat/>
    <w:rsid w:val="00AB6715"/>
    <w:pPr>
      <w:numPr>
        <w:ilvl w:val="4"/>
      </w:numPr>
      <w:outlineLvl w:val="4"/>
    </w:p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2"/>
    <w:rsid w:val="00AB6715"/>
    <w:rPr>
      <w:rFonts w:ascii="Times New Roman" w:eastAsia="Cambria" w:hAnsi="Times New Roman" w:cs="Times New Roman"/>
      <w:b/>
      <w:sz w:val="24"/>
      <w:szCs w:val="24"/>
    </w:rPr>
  </w:style>
  <w:style w:type="character" w:customStyle="1" w:styleId="Ttulo2Carter">
    <w:name w:val="Título 2 Caráter"/>
    <w:basedOn w:val="Tipodeletrapredefinidodopargrafo"/>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ter"/>
    <w:uiPriority w:val="99"/>
    <w:unhideWhenUsed/>
    <w:qFormat/>
    <w:rsid w:val="00AB6715"/>
    <w:pPr>
      <w:spacing w:before="240"/>
    </w:pPr>
    <w:rPr>
      <w:rFonts w:cs="Times New Roman"/>
      <w:b/>
      <w:szCs w:val="24"/>
    </w:rPr>
  </w:style>
  <w:style w:type="character" w:customStyle="1" w:styleId="SubttuloCarter">
    <w:name w:val="Subtítulo Caráter"/>
    <w:basedOn w:val="Tipodeletrapredefinidodopargrafo"/>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balo">
    <w:name w:val="Balloon Text"/>
    <w:basedOn w:val="Normal"/>
    <w:link w:val="TextodebaloCarter"/>
    <w:uiPriority w:val="99"/>
    <w:semiHidden/>
    <w:unhideWhenUsed/>
    <w:rsid w:val="00AB6715"/>
    <w:pPr>
      <w:spacing w:after="0"/>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AB6715"/>
    <w:rPr>
      <w:rFonts w:ascii="Tahoma" w:hAnsi="Tahoma" w:cs="Tahoma"/>
      <w:sz w:val="16"/>
      <w:szCs w:val="16"/>
    </w:rPr>
  </w:style>
  <w:style w:type="character" w:styleId="TtulodoLivro">
    <w:name w:val="Book Title"/>
    <w:basedOn w:val="Tipodeletrapredefinidodopargrafo"/>
    <w:uiPriority w:val="33"/>
    <w:qFormat/>
    <w:rsid w:val="00AB6715"/>
    <w:rPr>
      <w:rFonts w:ascii="Times New Roman" w:hAnsi="Times New Roman"/>
      <w:b/>
      <w:bCs/>
      <w:i/>
      <w:iCs/>
      <w:spacing w:val="5"/>
    </w:rPr>
  </w:style>
  <w:style w:type="paragraph" w:styleId="Legenda">
    <w:name w:val="caption"/>
    <w:basedOn w:val="Normal"/>
    <w:next w:val="SemEspaamento"/>
    <w:uiPriority w:val="35"/>
    <w:unhideWhenUsed/>
    <w:qFormat/>
    <w:rsid w:val="00AB6715"/>
    <w:pPr>
      <w:keepNext/>
    </w:pPr>
    <w:rPr>
      <w:rFonts w:cs="Times New Roman"/>
      <w:b/>
      <w:bCs/>
      <w:szCs w:val="24"/>
    </w:rPr>
  </w:style>
  <w:style w:type="paragraph" w:styleId="SemEspaamento">
    <w:name w:val="No Spacing"/>
    <w:uiPriority w:val="99"/>
    <w:unhideWhenUsed/>
    <w:qFormat/>
    <w:rsid w:val="00AB6715"/>
    <w:pPr>
      <w:spacing w:after="0" w:line="240" w:lineRule="auto"/>
    </w:pPr>
    <w:rPr>
      <w:rFonts w:ascii="Times New Roman" w:hAnsi="Times New Roman"/>
      <w:sz w:val="24"/>
    </w:rPr>
  </w:style>
  <w:style w:type="character" w:styleId="Refdecomentrio">
    <w:name w:val="annotation reference"/>
    <w:basedOn w:val="Tipodeletrapredefinidodopargrafo"/>
    <w:uiPriority w:val="99"/>
    <w:semiHidden/>
    <w:unhideWhenUsed/>
    <w:rsid w:val="00AB6715"/>
    <w:rPr>
      <w:sz w:val="16"/>
      <w:szCs w:val="16"/>
    </w:rPr>
  </w:style>
  <w:style w:type="paragraph" w:styleId="Textodecomentrio">
    <w:name w:val="annotation text"/>
    <w:basedOn w:val="Normal"/>
    <w:link w:val="TextodecomentrioCarter"/>
    <w:uiPriority w:val="99"/>
    <w:semiHidden/>
    <w:unhideWhenUsed/>
    <w:rsid w:val="00AB6715"/>
    <w:rPr>
      <w:sz w:val="20"/>
      <w:szCs w:val="20"/>
    </w:rPr>
  </w:style>
  <w:style w:type="character" w:customStyle="1" w:styleId="TextodecomentrioCarter">
    <w:name w:val="Texto de comentário Caráter"/>
    <w:basedOn w:val="Tipodeletrapredefinidodopargrafo"/>
    <w:link w:val="Textodecomentrio"/>
    <w:uiPriority w:val="99"/>
    <w:semiHidden/>
    <w:rsid w:val="00AB6715"/>
    <w:rPr>
      <w:rFonts w:ascii="Times New Roman" w:hAnsi="Times New Roman"/>
      <w:sz w:val="20"/>
      <w:szCs w:val="20"/>
    </w:rPr>
  </w:style>
  <w:style w:type="paragraph" w:styleId="Assuntodecomentrio">
    <w:name w:val="annotation subject"/>
    <w:basedOn w:val="Textodecomentrio"/>
    <w:next w:val="Textodecomentrio"/>
    <w:link w:val="AssuntodecomentrioCarter"/>
    <w:uiPriority w:val="99"/>
    <w:semiHidden/>
    <w:unhideWhenUsed/>
    <w:rsid w:val="00AB6715"/>
    <w:rPr>
      <w:b/>
      <w:bCs/>
    </w:rPr>
  </w:style>
  <w:style w:type="character" w:customStyle="1" w:styleId="AssuntodecomentrioCarter">
    <w:name w:val="Assunto de comentário Caráter"/>
    <w:basedOn w:val="TextodecomentrioCarter"/>
    <w:link w:val="Assuntodecomentrio"/>
    <w:uiPriority w:val="99"/>
    <w:semiHidden/>
    <w:rsid w:val="00AB6715"/>
    <w:rPr>
      <w:rFonts w:ascii="Times New Roman" w:hAnsi="Times New Roman"/>
      <w:b/>
      <w:bCs/>
      <w:sz w:val="20"/>
      <w:szCs w:val="20"/>
    </w:rPr>
  </w:style>
  <w:style w:type="character" w:styleId="nfase">
    <w:name w:val="Emphasis"/>
    <w:basedOn w:val="Tipodeletrapredefinidodopargrafo"/>
    <w:uiPriority w:val="20"/>
    <w:qFormat/>
    <w:rsid w:val="00AB6715"/>
    <w:rPr>
      <w:rFonts w:ascii="Times New Roman" w:hAnsi="Times New Roman"/>
      <w:i/>
      <w:iCs/>
    </w:rPr>
  </w:style>
  <w:style w:type="character" w:styleId="Refdenotadefim">
    <w:name w:val="endnote reference"/>
    <w:basedOn w:val="Tipodeletrapredefinidodopargrafo"/>
    <w:uiPriority w:val="99"/>
    <w:semiHidden/>
    <w:unhideWhenUsed/>
    <w:rsid w:val="00AB6715"/>
    <w:rPr>
      <w:vertAlign w:val="superscript"/>
    </w:rPr>
  </w:style>
  <w:style w:type="paragraph" w:styleId="Textodenotadefim">
    <w:name w:val="endnote text"/>
    <w:basedOn w:val="Normal"/>
    <w:link w:val="TextodenotadefimCarter"/>
    <w:uiPriority w:val="99"/>
    <w:semiHidden/>
    <w:unhideWhenUsed/>
    <w:rsid w:val="00AB6715"/>
    <w:pPr>
      <w:spacing w:after="0"/>
    </w:pPr>
    <w:rPr>
      <w:sz w:val="20"/>
      <w:szCs w:val="20"/>
    </w:rPr>
  </w:style>
  <w:style w:type="character" w:customStyle="1" w:styleId="TextodenotadefimCarter">
    <w:name w:val="Texto de nota de fim Caráter"/>
    <w:basedOn w:val="Tipodeletrapredefinidodopargrafo"/>
    <w:link w:val="Textodenotadefim"/>
    <w:uiPriority w:val="99"/>
    <w:semiHidden/>
    <w:rsid w:val="00AB6715"/>
    <w:rPr>
      <w:rFonts w:ascii="Times New Roman" w:hAnsi="Times New Roman"/>
      <w:sz w:val="20"/>
      <w:szCs w:val="20"/>
    </w:rPr>
  </w:style>
  <w:style w:type="character" w:styleId="Hiperligaovisitada">
    <w:name w:val="FollowedHyperlink"/>
    <w:basedOn w:val="Tipodeletrapredefinidodopargrafo"/>
    <w:uiPriority w:val="99"/>
    <w:semiHidden/>
    <w:unhideWhenUsed/>
    <w:rsid w:val="00AB6715"/>
    <w:rPr>
      <w:color w:val="800080" w:themeColor="followedHyperlink"/>
      <w:u w:val="single"/>
    </w:rPr>
  </w:style>
  <w:style w:type="paragraph" w:styleId="Rodap">
    <w:name w:val="footer"/>
    <w:basedOn w:val="Normal"/>
    <w:link w:val="RodapCarter"/>
    <w:uiPriority w:val="99"/>
    <w:unhideWhenUsed/>
    <w:rsid w:val="00AB6715"/>
    <w:pPr>
      <w:tabs>
        <w:tab w:val="center" w:pos="4844"/>
        <w:tab w:val="right" w:pos="9689"/>
      </w:tabs>
      <w:spacing w:after="0"/>
    </w:pPr>
  </w:style>
  <w:style w:type="character" w:customStyle="1" w:styleId="RodapCarter">
    <w:name w:val="Rodapé Caráter"/>
    <w:basedOn w:val="Tipodeletrapredefinidodopargrafo"/>
    <w:link w:val="Rodap"/>
    <w:uiPriority w:val="99"/>
    <w:rsid w:val="00AB6715"/>
    <w:rPr>
      <w:rFonts w:ascii="Times New Roman" w:hAnsi="Times New Roman"/>
      <w:sz w:val="24"/>
    </w:rPr>
  </w:style>
  <w:style w:type="character" w:styleId="Refdenotaderodap">
    <w:name w:val="footnote reference"/>
    <w:basedOn w:val="Tipodeletrapredefinidodopargrafo"/>
    <w:uiPriority w:val="99"/>
    <w:semiHidden/>
    <w:unhideWhenUsed/>
    <w:rsid w:val="00AB6715"/>
    <w:rPr>
      <w:vertAlign w:val="superscript"/>
    </w:rPr>
  </w:style>
  <w:style w:type="paragraph" w:styleId="Textodenotaderodap">
    <w:name w:val="footnote text"/>
    <w:basedOn w:val="Normal"/>
    <w:link w:val="TextodenotaderodapCarter"/>
    <w:uiPriority w:val="99"/>
    <w:semiHidden/>
    <w:unhideWhenUsed/>
    <w:rsid w:val="00AB6715"/>
    <w:pPr>
      <w:spacing w:after="0"/>
    </w:pPr>
    <w:rPr>
      <w:sz w:val="20"/>
      <w:szCs w:val="20"/>
    </w:rPr>
  </w:style>
  <w:style w:type="character" w:customStyle="1" w:styleId="TextodenotaderodapCarter">
    <w:name w:val="Texto de nota de rodapé Caráter"/>
    <w:basedOn w:val="Tipodeletrapredefinidodopargrafo"/>
    <w:link w:val="Textodenotaderodap"/>
    <w:uiPriority w:val="99"/>
    <w:semiHidden/>
    <w:rsid w:val="00AB6715"/>
    <w:rPr>
      <w:rFonts w:ascii="Times New Roman" w:hAnsi="Times New Roman"/>
      <w:sz w:val="20"/>
      <w:szCs w:val="20"/>
    </w:rPr>
  </w:style>
  <w:style w:type="paragraph" w:styleId="Cabealho">
    <w:name w:val="header"/>
    <w:basedOn w:val="Normal"/>
    <w:link w:val="CabealhoCarter"/>
    <w:uiPriority w:val="99"/>
    <w:unhideWhenUsed/>
    <w:rsid w:val="00AB6715"/>
    <w:pPr>
      <w:tabs>
        <w:tab w:val="center" w:pos="4844"/>
        <w:tab w:val="right" w:pos="9689"/>
      </w:tabs>
    </w:pPr>
    <w:rPr>
      <w:b/>
    </w:rPr>
  </w:style>
  <w:style w:type="character" w:customStyle="1" w:styleId="CabealhoCarter">
    <w:name w:val="Cabeçalho Caráter"/>
    <w:basedOn w:val="Tipodeletrapredefinidodopargrafo"/>
    <w:link w:val="Cabealho"/>
    <w:uiPriority w:val="99"/>
    <w:rsid w:val="00AB6715"/>
    <w:rPr>
      <w:rFonts w:ascii="Times New Roman" w:hAnsi="Times New Roman"/>
      <w:b/>
      <w:sz w:val="24"/>
    </w:rPr>
  </w:style>
  <w:style w:type="paragraph" w:styleId="Pargrafoda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ligao">
    <w:name w:val="Hyperlink"/>
    <w:basedOn w:val="Tipodeletrapredefinidodopargrafo"/>
    <w:uiPriority w:val="99"/>
    <w:unhideWhenUsed/>
    <w:rsid w:val="00AB6715"/>
    <w:rPr>
      <w:color w:val="0000FF"/>
      <w:u w:val="single"/>
    </w:rPr>
  </w:style>
  <w:style w:type="character" w:styleId="nfaseIntensa">
    <w:name w:val="Intense Emphasis"/>
    <w:basedOn w:val="Tipodeletrapredefinidodopargrafo"/>
    <w:uiPriority w:val="21"/>
    <w:unhideWhenUsed/>
    <w:rsid w:val="00AB6715"/>
    <w:rPr>
      <w:rFonts w:ascii="Times New Roman" w:hAnsi="Times New Roman"/>
      <w:i/>
      <w:iCs/>
      <w:color w:val="auto"/>
    </w:rPr>
  </w:style>
  <w:style w:type="character" w:styleId="RefernciaIntensa">
    <w:name w:val="Intense Reference"/>
    <w:basedOn w:val="Tipodeletrapredefinidodopargrafo"/>
    <w:uiPriority w:val="32"/>
    <w:qFormat/>
    <w:rsid w:val="00AB6715"/>
    <w:rPr>
      <w:b/>
      <w:bCs/>
      <w:smallCaps/>
      <w:color w:val="auto"/>
      <w:spacing w:val="5"/>
    </w:rPr>
  </w:style>
  <w:style w:type="character" w:styleId="Nmerodelinha">
    <w:name w:val="line number"/>
    <w:basedOn w:val="Tipodeletrapredefinidodopargrafo"/>
    <w:uiPriority w:val="99"/>
    <w:semiHidden/>
    <w:unhideWhenUsed/>
    <w:rsid w:val="00AB6715"/>
  </w:style>
  <w:style w:type="character" w:customStyle="1" w:styleId="Ttulo3Carter">
    <w:name w:val="Título 3 Caráter"/>
    <w:basedOn w:val="Tipodeletrapredefinidodopargrafo"/>
    <w:link w:val="Ttulo3"/>
    <w:uiPriority w:val="2"/>
    <w:rsid w:val="00AB6715"/>
    <w:rPr>
      <w:rFonts w:ascii="Times New Roman" w:eastAsiaTheme="majorEastAsia" w:hAnsi="Times New Roman" w:cstheme="majorBidi"/>
      <w:b/>
      <w:sz w:val="24"/>
      <w:szCs w:val="24"/>
    </w:rPr>
  </w:style>
  <w:style w:type="character" w:customStyle="1" w:styleId="Ttulo4Carter">
    <w:name w:val="Título 4 Caráter"/>
    <w:basedOn w:val="Tipodeletrapredefinidodopargrafo"/>
    <w:link w:val="Ttulo4"/>
    <w:uiPriority w:val="2"/>
    <w:rsid w:val="00AB6715"/>
    <w:rPr>
      <w:rFonts w:ascii="Times New Roman" w:eastAsiaTheme="majorEastAsia" w:hAnsi="Times New Roman" w:cstheme="majorBidi"/>
      <w:b/>
      <w:iCs/>
      <w:sz w:val="24"/>
      <w:szCs w:val="24"/>
    </w:rPr>
  </w:style>
  <w:style w:type="character" w:customStyle="1" w:styleId="Ttulo5Carter">
    <w:name w:val="Título 5 Caráter"/>
    <w:basedOn w:val="Tipodeletrapredefinidodopargrafo"/>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o">
    <w:name w:val="Quote"/>
    <w:basedOn w:val="Normal"/>
    <w:next w:val="Normal"/>
    <w:link w:val="CitaoCarter"/>
    <w:uiPriority w:val="29"/>
    <w:qFormat/>
    <w:rsid w:val="00AB6715"/>
    <w:pPr>
      <w:spacing w:before="200" w:after="16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rsid w:val="00AB6715"/>
    <w:rPr>
      <w:rFonts w:ascii="Times New Roman" w:hAnsi="Times New Roman"/>
      <w:i/>
      <w:iCs/>
      <w:color w:val="404040" w:themeColor="text1" w:themeTint="BF"/>
      <w:sz w:val="24"/>
    </w:rPr>
  </w:style>
  <w:style w:type="character" w:styleId="Forte">
    <w:name w:val="Strong"/>
    <w:basedOn w:val="Tipodeletrapredefinidodopargrafo"/>
    <w:uiPriority w:val="22"/>
    <w:qFormat/>
    <w:rsid w:val="00AB6715"/>
    <w:rPr>
      <w:rFonts w:ascii="Times New Roman" w:hAnsi="Times New Roman"/>
      <w:b/>
      <w:bCs/>
    </w:rPr>
  </w:style>
  <w:style w:type="character" w:styleId="nfaseDiscreta">
    <w:name w:val="Subtle Emphasis"/>
    <w:basedOn w:val="Tipodeletrapredefinidodopargrafo"/>
    <w:uiPriority w:val="19"/>
    <w:qFormat/>
    <w:rsid w:val="00AB6715"/>
    <w:rPr>
      <w:rFonts w:ascii="Times New Roman" w:hAnsi="Times New Roman"/>
      <w:i/>
      <w:iCs/>
      <w:color w:val="404040" w:themeColor="text1" w:themeTint="BF"/>
    </w:rPr>
  </w:style>
  <w:style w:type="table" w:styleId="TabelacomGrelha">
    <w:name w:val="Table Grid"/>
    <w:basedOn w:val="Tabe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ter"/>
    <w:qFormat/>
    <w:rsid w:val="00AB6715"/>
    <w:pPr>
      <w:suppressLineNumbers/>
      <w:spacing w:before="240" w:after="360"/>
      <w:jc w:val="center"/>
    </w:pPr>
    <w:rPr>
      <w:rFonts w:cs="Times New Roman"/>
      <w:b/>
      <w:sz w:val="32"/>
      <w:szCs w:val="32"/>
    </w:rPr>
  </w:style>
  <w:style w:type="character" w:customStyle="1" w:styleId="TtuloCarter">
    <w:name w:val="Título Caráter"/>
    <w:basedOn w:val="Tipodeletrapredefinidodopargrafo"/>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o">
    <w:name w:val="Revision"/>
    <w:hidden/>
    <w:uiPriority w:val="99"/>
    <w:semiHidden/>
    <w:rsid w:val="00803D24"/>
    <w:pPr>
      <w:spacing w:after="0" w:line="240" w:lineRule="auto"/>
    </w:pPr>
    <w:rPr>
      <w:rFonts w:ascii="Times New Roman" w:hAnsi="Times New Roman"/>
      <w:sz w:val="24"/>
    </w:rPr>
  </w:style>
  <w:style w:type="character" w:styleId="MenoNoResolvida">
    <w:name w:val="Unresolved Mention"/>
    <w:basedOn w:val="Tipodeletrapredefinidodopargrafo"/>
    <w:uiPriority w:val="99"/>
    <w:semiHidden/>
    <w:unhideWhenUsed/>
    <w:rsid w:val="006B0C17"/>
    <w:rPr>
      <w:color w:val="605E5C"/>
      <w:shd w:val="clear" w:color="auto" w:fill="E1DFDD"/>
    </w:rPr>
  </w:style>
  <w:style w:type="character" w:styleId="TextodoMarcadordePosio">
    <w:name w:val="Placeholder Text"/>
    <w:basedOn w:val="Tipodeletrapredefinidodopargrafo"/>
    <w:uiPriority w:val="99"/>
    <w:semiHidden/>
    <w:rsid w:val="006B0C17"/>
    <w:rPr>
      <w:color w:val="808080"/>
    </w:rPr>
  </w:style>
  <w:style w:type="paragraph" w:styleId="Bibliografia">
    <w:name w:val="Bibliography"/>
    <w:basedOn w:val="Normal"/>
    <w:next w:val="Normal"/>
    <w:uiPriority w:val="37"/>
    <w:unhideWhenUsed/>
    <w:rsid w:val="004414B3"/>
    <w:pPr>
      <w:spacing w:after="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7760">
      <w:bodyDiv w:val="1"/>
      <w:marLeft w:val="0"/>
      <w:marRight w:val="0"/>
      <w:marTop w:val="0"/>
      <w:marBottom w:val="0"/>
      <w:divBdr>
        <w:top w:val="none" w:sz="0" w:space="0" w:color="auto"/>
        <w:left w:val="none" w:sz="0" w:space="0" w:color="auto"/>
        <w:bottom w:val="none" w:sz="0" w:space="0" w:color="auto"/>
        <w:right w:val="none" w:sz="0" w:space="0" w:color="auto"/>
      </w:divBdr>
    </w:div>
    <w:div w:id="25107685">
      <w:bodyDiv w:val="1"/>
      <w:marLeft w:val="0"/>
      <w:marRight w:val="0"/>
      <w:marTop w:val="0"/>
      <w:marBottom w:val="0"/>
      <w:divBdr>
        <w:top w:val="none" w:sz="0" w:space="0" w:color="auto"/>
        <w:left w:val="none" w:sz="0" w:space="0" w:color="auto"/>
        <w:bottom w:val="none" w:sz="0" w:space="0" w:color="auto"/>
        <w:right w:val="none" w:sz="0" w:space="0" w:color="auto"/>
      </w:divBdr>
    </w:div>
    <w:div w:id="30454787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86811957">
      <w:bodyDiv w:val="1"/>
      <w:marLeft w:val="0"/>
      <w:marRight w:val="0"/>
      <w:marTop w:val="0"/>
      <w:marBottom w:val="0"/>
      <w:divBdr>
        <w:top w:val="none" w:sz="0" w:space="0" w:color="auto"/>
        <w:left w:val="none" w:sz="0" w:space="0" w:color="auto"/>
        <w:bottom w:val="none" w:sz="0" w:space="0" w:color="auto"/>
        <w:right w:val="none" w:sz="0" w:space="0" w:color="auto"/>
      </w:divBdr>
    </w:div>
    <w:div w:id="788426857">
      <w:bodyDiv w:val="1"/>
      <w:marLeft w:val="0"/>
      <w:marRight w:val="0"/>
      <w:marTop w:val="0"/>
      <w:marBottom w:val="0"/>
      <w:divBdr>
        <w:top w:val="none" w:sz="0" w:space="0" w:color="auto"/>
        <w:left w:val="none" w:sz="0" w:space="0" w:color="auto"/>
        <w:bottom w:val="none" w:sz="0" w:space="0" w:color="auto"/>
        <w:right w:val="none" w:sz="0" w:space="0" w:color="auto"/>
      </w:divBdr>
    </w:div>
    <w:div w:id="904998850">
      <w:bodyDiv w:val="1"/>
      <w:marLeft w:val="0"/>
      <w:marRight w:val="0"/>
      <w:marTop w:val="0"/>
      <w:marBottom w:val="0"/>
      <w:divBdr>
        <w:top w:val="none" w:sz="0" w:space="0" w:color="auto"/>
        <w:left w:val="none" w:sz="0" w:space="0" w:color="auto"/>
        <w:bottom w:val="none" w:sz="0" w:space="0" w:color="auto"/>
        <w:right w:val="none" w:sz="0" w:space="0" w:color="auto"/>
      </w:divBdr>
    </w:div>
    <w:div w:id="939488079">
      <w:bodyDiv w:val="1"/>
      <w:marLeft w:val="0"/>
      <w:marRight w:val="0"/>
      <w:marTop w:val="0"/>
      <w:marBottom w:val="0"/>
      <w:divBdr>
        <w:top w:val="none" w:sz="0" w:space="0" w:color="auto"/>
        <w:left w:val="none" w:sz="0" w:space="0" w:color="auto"/>
        <w:bottom w:val="none" w:sz="0" w:space="0" w:color="auto"/>
        <w:right w:val="none" w:sz="0" w:space="0" w:color="auto"/>
      </w:divBdr>
    </w:div>
    <w:div w:id="134358055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f-hw.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56</TotalTime>
  <Pages>7</Pages>
  <Words>3422</Words>
  <Characters>19510</Characters>
  <Application>Microsoft Office Word</Application>
  <DocSecurity>0</DocSecurity>
  <Lines>162</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Francisco Viana</cp:lastModifiedBy>
  <cp:revision>4</cp:revision>
  <cp:lastPrinted>2013-10-03T12:51:00Z</cp:lastPrinted>
  <dcterms:created xsi:type="dcterms:W3CDTF">2023-08-14T12:25:00Z</dcterms:created>
  <dcterms:modified xsi:type="dcterms:W3CDTF">2023-08-14T13:22:00Z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zotero-version="6.0.26"&gt;&lt;session id="ax7LllDM"/&gt;&lt;style id="http://www.zotero.org/styles/chicago-author-date" locale="en-GB" hasBibliography="1" bibliographyStyleHasBeenSet="1"/&gt;&lt;prefs&gt;&lt;pref name="fieldType" value="Field"/&gt;&lt;/prefs&gt;&lt;/</vt:lpwstr>
  </property>
  <property fmtid="{D5CDD505-2E9C-101B-9397-08002B2CF9AE}" pid="11" name="ZOTERO_PREF_2">
    <vt:lpwstr>data&gt;</vt:lpwstr>
  </property>
</Properties>
</file>