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CB8D5C" w14:textId="2DFACC61" w:rsidR="00AC467B" w:rsidRPr="00AC467B" w:rsidRDefault="00654E8F" w:rsidP="00AC467B">
      <w:pPr>
        <w:pStyle w:val="SupplementaryMaterial"/>
      </w:pPr>
      <w:r w:rsidRPr="001549D3">
        <w:t>Supplementa</w:t>
      </w:r>
      <w:r w:rsidR="00AC467B">
        <w:t>l figures</w:t>
      </w:r>
    </w:p>
    <w:p w14:paraId="4778F5FD" w14:textId="38FBC73A" w:rsidR="002852D0" w:rsidRDefault="002852D0" w:rsidP="002852D0">
      <w:r>
        <w:rPr>
          <w:noProof/>
          <w:lang w:eastAsia="zh-CN"/>
        </w:rPr>
        <w:drawing>
          <wp:inline distT="0" distB="0" distL="0" distR="0" wp14:anchorId="2E16D922" wp14:editId="17ADDDCA">
            <wp:extent cx="6208395" cy="3603625"/>
            <wp:effectExtent l="0" t="0" r="190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igureS1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8395" cy="360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2CE2CC" w14:textId="11B166F6" w:rsidR="002852D0" w:rsidRPr="00817B57" w:rsidRDefault="002852D0" w:rsidP="006530E4">
      <w:pPr>
        <w:autoSpaceDE w:val="0"/>
        <w:autoSpaceDN w:val="0"/>
        <w:adjustRightInd w:val="0"/>
        <w:snapToGrid w:val="0"/>
        <w:spacing w:line="360" w:lineRule="auto"/>
        <w:jc w:val="both"/>
        <w:rPr>
          <w:rFonts w:cs="Times New Roman"/>
          <w:color w:val="000000"/>
          <w:szCs w:val="24"/>
        </w:rPr>
      </w:pPr>
      <w:r w:rsidRPr="0001436A">
        <w:rPr>
          <w:rFonts w:cs="Times New Roman"/>
          <w:b/>
          <w:szCs w:val="24"/>
        </w:rPr>
        <w:t>Supplementary Figure</w:t>
      </w:r>
      <w:r w:rsidR="00AC467B">
        <w:rPr>
          <w:rFonts w:cs="Times New Roman"/>
          <w:b/>
          <w:szCs w:val="24"/>
        </w:rPr>
        <w:t xml:space="preserve"> 1</w:t>
      </w:r>
      <w:r w:rsidRPr="00817B57">
        <w:rPr>
          <w:rFonts w:cs="Times New Roman"/>
          <w:color w:val="000000"/>
          <w:szCs w:val="24"/>
        </w:rPr>
        <w:t xml:space="preserve">. Evaluation of the PRFG signature for the GSE71074 cohort. </w:t>
      </w:r>
      <w:r w:rsidRPr="00ED2292">
        <w:rPr>
          <w:rFonts w:cs="Times New Roman"/>
          <w:color w:val="000000"/>
          <w:szCs w:val="24"/>
        </w:rPr>
        <w:t>(</w:t>
      </w:r>
      <w:r w:rsidRPr="00817B57">
        <w:rPr>
          <w:rFonts w:cs="Times New Roman"/>
          <w:color w:val="000000"/>
          <w:szCs w:val="24"/>
        </w:rPr>
        <w:t>A</w:t>
      </w:r>
      <w:r w:rsidRPr="00ED2292">
        <w:rPr>
          <w:rFonts w:cs="Times New Roman"/>
          <w:color w:val="000000"/>
          <w:szCs w:val="24"/>
        </w:rPr>
        <w:t>)</w:t>
      </w:r>
      <w:r w:rsidRPr="00817B57">
        <w:rPr>
          <w:rFonts w:cs="Times New Roman"/>
          <w:color w:val="000000"/>
          <w:szCs w:val="24"/>
        </w:rPr>
        <w:t xml:space="preserve"> PCA plot for AML patients according to the expression levels of the signature genes in both risk score groups. </w:t>
      </w:r>
      <w:r w:rsidRPr="00ED2292">
        <w:rPr>
          <w:rFonts w:cs="Times New Roman"/>
          <w:color w:val="000000"/>
          <w:szCs w:val="24"/>
        </w:rPr>
        <w:t>(</w:t>
      </w:r>
      <w:r w:rsidRPr="00817B57">
        <w:rPr>
          <w:rFonts w:cs="Times New Roman"/>
          <w:color w:val="000000"/>
          <w:szCs w:val="24"/>
        </w:rPr>
        <w:t>B</w:t>
      </w:r>
      <w:r w:rsidRPr="00ED2292">
        <w:rPr>
          <w:rFonts w:cs="Times New Roman"/>
          <w:color w:val="000000"/>
          <w:szCs w:val="24"/>
        </w:rPr>
        <w:t>)</w:t>
      </w:r>
      <w:r w:rsidRPr="00817B57">
        <w:rPr>
          <w:rFonts w:cs="Times New Roman"/>
          <w:color w:val="000000"/>
          <w:szCs w:val="24"/>
        </w:rPr>
        <w:t xml:space="preserve"> </w:t>
      </w:r>
      <w:proofErr w:type="spellStart"/>
      <w:r w:rsidRPr="00817B57">
        <w:rPr>
          <w:rFonts w:cs="Times New Roman"/>
          <w:color w:val="000000"/>
          <w:szCs w:val="24"/>
        </w:rPr>
        <w:t>Heatmap</w:t>
      </w:r>
      <w:proofErr w:type="spellEnd"/>
      <w:r w:rsidRPr="00817B57">
        <w:rPr>
          <w:rFonts w:cs="Times New Roman"/>
          <w:color w:val="000000"/>
          <w:szCs w:val="24"/>
        </w:rPr>
        <w:t xml:space="preserve"> showing the mRNA levels of the signature genes for both risk score groups. </w:t>
      </w:r>
      <w:r w:rsidRPr="00ED2292">
        <w:rPr>
          <w:rFonts w:cs="Times New Roman"/>
          <w:color w:val="000000"/>
          <w:szCs w:val="24"/>
        </w:rPr>
        <w:t>(</w:t>
      </w:r>
      <w:r w:rsidRPr="00817B57">
        <w:rPr>
          <w:rFonts w:cs="Times New Roman"/>
          <w:color w:val="000000"/>
          <w:szCs w:val="24"/>
        </w:rPr>
        <w:t>C</w:t>
      </w:r>
      <w:r w:rsidRPr="00ED2292">
        <w:rPr>
          <w:rFonts w:cs="Times New Roman"/>
          <w:color w:val="000000"/>
          <w:szCs w:val="24"/>
        </w:rPr>
        <w:t>)</w:t>
      </w:r>
      <w:r w:rsidRPr="00817B57">
        <w:rPr>
          <w:rFonts w:cs="Times New Roman"/>
          <w:color w:val="000000"/>
          <w:szCs w:val="24"/>
        </w:rPr>
        <w:t xml:space="preserve"> Kaplan–Meier survival curves suggest increased OS of the low</w:t>
      </w:r>
      <w:r>
        <w:rPr>
          <w:rFonts w:cs="Times New Roman"/>
          <w:color w:val="000000"/>
          <w:szCs w:val="24"/>
        </w:rPr>
        <w:t>-</w:t>
      </w:r>
      <w:r w:rsidRPr="00817B57">
        <w:rPr>
          <w:rFonts w:cs="Times New Roman"/>
          <w:color w:val="000000"/>
          <w:szCs w:val="24"/>
        </w:rPr>
        <w:t>risk score group as compared to that of the high</w:t>
      </w:r>
      <w:r>
        <w:rPr>
          <w:rFonts w:cs="Times New Roman"/>
          <w:color w:val="000000"/>
          <w:szCs w:val="24"/>
        </w:rPr>
        <w:t>-</w:t>
      </w:r>
      <w:r w:rsidRPr="00817B57">
        <w:rPr>
          <w:rFonts w:cs="Times New Roman"/>
          <w:color w:val="000000"/>
          <w:szCs w:val="24"/>
        </w:rPr>
        <w:t xml:space="preserve">risk score group. </w:t>
      </w:r>
      <w:r w:rsidRPr="00ED2292">
        <w:rPr>
          <w:rFonts w:cs="Times New Roman"/>
          <w:color w:val="000000"/>
          <w:szCs w:val="24"/>
        </w:rPr>
        <w:t>(</w:t>
      </w:r>
      <w:r w:rsidRPr="00817B57">
        <w:rPr>
          <w:rFonts w:cs="Times New Roman"/>
          <w:color w:val="000000"/>
          <w:szCs w:val="24"/>
        </w:rPr>
        <w:t>D-E</w:t>
      </w:r>
      <w:r w:rsidRPr="00ED2292">
        <w:rPr>
          <w:rFonts w:cs="Times New Roman"/>
          <w:color w:val="000000"/>
          <w:szCs w:val="24"/>
        </w:rPr>
        <w:t>)</w:t>
      </w:r>
      <w:r w:rsidRPr="00817B57">
        <w:rPr>
          <w:rFonts w:cs="Times New Roman"/>
          <w:color w:val="000000"/>
          <w:szCs w:val="24"/>
        </w:rPr>
        <w:t xml:space="preserve"> Risk score-based ROC curves to predict 1-</w:t>
      </w:r>
      <w:r w:rsidRPr="00ED2292">
        <w:rPr>
          <w:rFonts w:cs="Times New Roman" w:hint="eastAsia"/>
          <w:color w:val="000000"/>
          <w:szCs w:val="24"/>
        </w:rPr>
        <w:t>,</w:t>
      </w:r>
      <w:r w:rsidRPr="00817B57">
        <w:rPr>
          <w:rFonts w:cs="Times New Roman"/>
          <w:color w:val="000000"/>
          <w:szCs w:val="24"/>
        </w:rPr>
        <w:t xml:space="preserve"> 2-</w:t>
      </w:r>
      <w:r w:rsidRPr="00ED2292">
        <w:rPr>
          <w:rFonts w:cs="Times New Roman"/>
          <w:color w:val="000000"/>
          <w:szCs w:val="24"/>
        </w:rPr>
        <w:t>,</w:t>
      </w:r>
      <w:r w:rsidRPr="00817B57">
        <w:rPr>
          <w:rFonts w:cs="Times New Roman"/>
          <w:color w:val="000000"/>
          <w:szCs w:val="24"/>
        </w:rPr>
        <w:t xml:space="preserve"> and 3-year OS of AML patients.</w:t>
      </w:r>
    </w:p>
    <w:p w14:paraId="424595FE" w14:textId="77777777" w:rsidR="002852D0" w:rsidRPr="002852D0" w:rsidRDefault="002852D0" w:rsidP="002852D0"/>
    <w:p w14:paraId="58F1AED1" w14:textId="346482A4" w:rsidR="00DE23E8" w:rsidRDefault="002852D0" w:rsidP="00FF5C1C">
      <w:pPr>
        <w:spacing w:before="240"/>
        <w:jc w:val="center"/>
      </w:pPr>
      <w:r>
        <w:rPr>
          <w:noProof/>
          <w:lang w:eastAsia="zh-CN"/>
        </w:rPr>
        <w:lastRenderedPageBreak/>
        <w:drawing>
          <wp:inline distT="0" distB="0" distL="0" distR="0" wp14:anchorId="0EF4AC37" wp14:editId="1882E1AC">
            <wp:extent cx="6208395" cy="3603625"/>
            <wp:effectExtent l="0" t="0" r="190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igureS2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8395" cy="360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90B4BF" w14:textId="66B2126E" w:rsidR="002852D0" w:rsidRPr="00817B57" w:rsidRDefault="00FF5C1C" w:rsidP="006530E4">
      <w:pPr>
        <w:autoSpaceDE w:val="0"/>
        <w:autoSpaceDN w:val="0"/>
        <w:adjustRightInd w:val="0"/>
        <w:snapToGrid w:val="0"/>
        <w:spacing w:line="360" w:lineRule="auto"/>
        <w:jc w:val="both"/>
        <w:rPr>
          <w:rFonts w:cs="Times New Roman"/>
          <w:color w:val="000000"/>
          <w:szCs w:val="24"/>
        </w:rPr>
      </w:pPr>
      <w:r w:rsidRPr="0001436A">
        <w:rPr>
          <w:rFonts w:cs="Times New Roman"/>
          <w:b/>
          <w:szCs w:val="24"/>
        </w:rPr>
        <w:t xml:space="preserve">Supplementary Figure </w:t>
      </w:r>
      <w:r>
        <w:rPr>
          <w:rFonts w:cs="Times New Roman"/>
          <w:b/>
          <w:szCs w:val="24"/>
        </w:rPr>
        <w:t>2</w:t>
      </w:r>
      <w:r w:rsidRPr="0001436A">
        <w:rPr>
          <w:rFonts w:cs="Times New Roman"/>
          <w:b/>
          <w:szCs w:val="24"/>
        </w:rPr>
        <w:t>.</w:t>
      </w:r>
      <w:r w:rsidRPr="001549D3">
        <w:rPr>
          <w:rFonts w:cs="Times New Roman"/>
          <w:szCs w:val="24"/>
        </w:rPr>
        <w:t xml:space="preserve"> </w:t>
      </w:r>
      <w:r w:rsidR="002852D0" w:rsidRPr="00817B57">
        <w:rPr>
          <w:rFonts w:cs="Times New Roman"/>
          <w:color w:val="000000"/>
          <w:szCs w:val="24"/>
        </w:rPr>
        <w:t xml:space="preserve">Evaluation of the PRFGs signature for the GSE37642 cohort.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A</w:t>
      </w:r>
      <w:r w:rsidR="002852D0" w:rsidRPr="00ED2292">
        <w:rPr>
          <w:rFonts w:cs="Times New Roman"/>
          <w:color w:val="000000"/>
          <w:szCs w:val="24"/>
        </w:rPr>
        <w:t>)</w:t>
      </w:r>
      <w:r w:rsidR="002852D0" w:rsidRPr="00817B57">
        <w:rPr>
          <w:rFonts w:cs="Times New Roman"/>
          <w:color w:val="000000"/>
          <w:szCs w:val="24"/>
        </w:rPr>
        <w:t xml:space="preserve"> PCA plot for AML patients cases on the basis of the expression levels of the signature genes in both risk score groups.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B</w:t>
      </w:r>
      <w:r w:rsidR="002852D0" w:rsidRPr="00ED2292">
        <w:rPr>
          <w:rFonts w:cs="Times New Roman"/>
          <w:color w:val="000000"/>
          <w:szCs w:val="24"/>
        </w:rPr>
        <w:t>)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proofErr w:type="spellStart"/>
      <w:r w:rsidR="002852D0" w:rsidRPr="00817B57">
        <w:rPr>
          <w:rFonts w:cs="Times New Roman"/>
          <w:color w:val="000000"/>
          <w:szCs w:val="24"/>
        </w:rPr>
        <w:t>Heatmap</w:t>
      </w:r>
      <w:proofErr w:type="spellEnd"/>
      <w:r w:rsidR="002852D0" w:rsidRPr="00817B57">
        <w:rPr>
          <w:rFonts w:cs="Times New Roman"/>
          <w:color w:val="000000"/>
          <w:szCs w:val="24"/>
        </w:rPr>
        <w:t xml:space="preserve"> showing the mRNA levels of the signature genes in both risk score groups.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C</w:t>
      </w:r>
      <w:r w:rsidR="002852D0" w:rsidRPr="00ED2292">
        <w:rPr>
          <w:rFonts w:cs="Times New Roman"/>
          <w:color w:val="000000"/>
          <w:szCs w:val="24"/>
        </w:rPr>
        <w:t>)</w:t>
      </w:r>
      <w:r w:rsidR="002852D0" w:rsidRPr="00817B57">
        <w:rPr>
          <w:rFonts w:cs="Times New Roman"/>
          <w:color w:val="000000"/>
          <w:szCs w:val="24"/>
        </w:rPr>
        <w:t xml:space="preserve"> Kaplan–Meier survival curves suggest increased OS of the low</w:t>
      </w:r>
      <w:r w:rsidR="002852D0">
        <w:rPr>
          <w:rFonts w:cs="Times New Roman"/>
          <w:color w:val="000000"/>
          <w:szCs w:val="24"/>
        </w:rPr>
        <w:t>-</w:t>
      </w:r>
      <w:r w:rsidR="002852D0" w:rsidRPr="00817B57">
        <w:rPr>
          <w:rFonts w:cs="Times New Roman"/>
          <w:color w:val="000000"/>
          <w:szCs w:val="24"/>
        </w:rPr>
        <w:t>risk score group as compared to that of the high</w:t>
      </w:r>
      <w:r w:rsidR="002852D0">
        <w:rPr>
          <w:rFonts w:cs="Times New Roman"/>
          <w:color w:val="000000"/>
          <w:szCs w:val="24"/>
        </w:rPr>
        <w:t>-</w:t>
      </w:r>
      <w:r w:rsidR="002852D0" w:rsidRPr="00817B57">
        <w:rPr>
          <w:rFonts w:cs="Times New Roman"/>
          <w:color w:val="000000"/>
          <w:szCs w:val="24"/>
        </w:rPr>
        <w:t xml:space="preserve">risk score group.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D-E</w:t>
      </w:r>
      <w:r w:rsidR="002852D0" w:rsidRPr="00ED2292">
        <w:rPr>
          <w:rFonts w:cs="Times New Roman"/>
          <w:color w:val="000000"/>
          <w:szCs w:val="24"/>
        </w:rPr>
        <w:t>)</w:t>
      </w:r>
      <w:r w:rsidR="002852D0" w:rsidRPr="00817B57">
        <w:rPr>
          <w:rFonts w:cs="Times New Roman"/>
          <w:color w:val="000000"/>
          <w:szCs w:val="24"/>
        </w:rPr>
        <w:t xml:space="preserve"> Risk score-based ROC curves to predict 1-</w:t>
      </w:r>
      <w:r w:rsidR="002852D0" w:rsidRPr="00ED2292">
        <w:rPr>
          <w:rFonts w:cs="Times New Roman" w:hint="eastAsia"/>
          <w:color w:val="000000"/>
          <w:szCs w:val="24"/>
        </w:rPr>
        <w:t>,</w:t>
      </w:r>
      <w:r w:rsidR="002852D0" w:rsidRPr="00817B57">
        <w:rPr>
          <w:rFonts w:cs="Times New Roman"/>
          <w:color w:val="000000"/>
          <w:szCs w:val="24"/>
        </w:rPr>
        <w:t xml:space="preserve"> 2-</w:t>
      </w:r>
      <w:r w:rsidR="002852D0" w:rsidRPr="00ED2292">
        <w:rPr>
          <w:rFonts w:cs="Times New Roman"/>
          <w:color w:val="000000"/>
          <w:szCs w:val="24"/>
        </w:rPr>
        <w:t>,</w:t>
      </w:r>
      <w:r w:rsidR="002852D0" w:rsidRPr="00817B57">
        <w:rPr>
          <w:rFonts w:cs="Times New Roman"/>
          <w:color w:val="000000"/>
          <w:szCs w:val="24"/>
        </w:rPr>
        <w:t xml:space="preserve"> and 3-year OS of AML patients.</w:t>
      </w:r>
    </w:p>
    <w:p w14:paraId="1DDF9A57" w14:textId="4018A8F5" w:rsidR="0040184A" w:rsidRDefault="00C77AA8" w:rsidP="00233062">
      <w:pPr>
        <w:jc w:val="center"/>
        <w:rPr>
          <w:rFonts w:cs="Times New Roman"/>
          <w:szCs w:val="24"/>
          <w:lang w:val="en-GB"/>
        </w:rPr>
      </w:pPr>
      <w:r>
        <w:rPr>
          <w:rFonts w:cs="Times New Roman"/>
          <w:noProof/>
          <w:szCs w:val="24"/>
          <w:lang w:eastAsia="zh-CN"/>
        </w:rPr>
        <w:lastRenderedPageBreak/>
        <w:drawing>
          <wp:inline distT="0" distB="0" distL="0" distR="0" wp14:anchorId="0D16A5BD" wp14:editId="6AF2B457">
            <wp:extent cx="6216650" cy="718185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lasso基因在高低风险组的表达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6989" cy="7182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876D8F" w14:textId="7D320EC4" w:rsidR="00233062" w:rsidRDefault="00233062" w:rsidP="006530E4">
      <w:pPr>
        <w:jc w:val="both"/>
        <w:rPr>
          <w:rFonts w:cs="Times New Roman"/>
          <w:color w:val="000000"/>
          <w:szCs w:val="24"/>
        </w:rPr>
      </w:pPr>
      <w:r w:rsidRPr="0001436A">
        <w:rPr>
          <w:rFonts w:cs="Times New Roman"/>
          <w:b/>
          <w:szCs w:val="24"/>
        </w:rPr>
        <w:t xml:space="preserve">Supplementary Figure </w:t>
      </w:r>
      <w:r>
        <w:rPr>
          <w:rFonts w:cs="Times New Roman"/>
          <w:b/>
          <w:szCs w:val="24"/>
        </w:rPr>
        <w:t>3</w:t>
      </w:r>
      <w:r w:rsidRPr="0001436A">
        <w:rPr>
          <w:rFonts w:cs="Times New Roman"/>
          <w:b/>
          <w:szCs w:val="24"/>
        </w:rPr>
        <w:t>.</w:t>
      </w:r>
      <w:r>
        <w:rPr>
          <w:rFonts w:cs="Times New Roman"/>
          <w:color w:val="000000"/>
          <w:szCs w:val="24"/>
        </w:rPr>
        <w:t xml:space="preserve"> </w:t>
      </w:r>
      <w:r w:rsidR="006530E4">
        <w:rPr>
          <w:rFonts w:cs="Times New Roman" w:hint="eastAsia"/>
          <w:color w:val="000000"/>
          <w:szCs w:val="24"/>
          <w:lang w:eastAsia="zh-CN"/>
        </w:rPr>
        <w:t>C</w:t>
      </w:r>
      <w:r>
        <w:rPr>
          <w:rFonts w:cs="Times New Roman"/>
          <w:color w:val="000000"/>
          <w:szCs w:val="24"/>
        </w:rPr>
        <w:t>omparison of risk genes expression levels base on risk score grouping</w:t>
      </w:r>
      <w:r w:rsidRPr="00817B57">
        <w:rPr>
          <w:rFonts w:cs="Times New Roman"/>
          <w:color w:val="000000"/>
          <w:szCs w:val="24"/>
        </w:rPr>
        <w:t xml:space="preserve">. </w:t>
      </w:r>
      <w:r w:rsidR="006530E4">
        <w:rPr>
          <w:rFonts w:cs="Times New Roman"/>
          <w:color w:val="000000"/>
          <w:szCs w:val="24"/>
        </w:rPr>
        <w:t xml:space="preserve">(A-C) </w:t>
      </w:r>
      <w:r>
        <w:rPr>
          <w:rFonts w:cs="Times New Roman"/>
          <w:color w:val="000000"/>
          <w:szCs w:val="24"/>
        </w:rPr>
        <w:t>Box</w:t>
      </w:r>
      <w:r w:rsidRPr="00817B57">
        <w:rPr>
          <w:rFonts w:cs="Times New Roman"/>
          <w:color w:val="000000"/>
          <w:szCs w:val="24"/>
        </w:rPr>
        <w:t xml:space="preserve"> plot for</w:t>
      </w:r>
      <w:r w:rsidR="006530E4">
        <w:rPr>
          <w:rFonts w:cs="Times New Roman"/>
          <w:color w:val="000000"/>
          <w:szCs w:val="24"/>
        </w:rPr>
        <w:t xml:space="preserve"> comparison of risk gene</w:t>
      </w:r>
      <w:r>
        <w:rPr>
          <w:rFonts w:cs="Times New Roman"/>
          <w:color w:val="000000"/>
          <w:szCs w:val="24"/>
        </w:rPr>
        <w:t xml:space="preserve"> expression levels </w:t>
      </w:r>
      <w:r w:rsidR="006530E4">
        <w:rPr>
          <w:rFonts w:cs="Times New Roman" w:hint="eastAsia"/>
          <w:color w:val="000000"/>
          <w:szCs w:val="24"/>
          <w:lang w:eastAsia="zh-CN"/>
        </w:rPr>
        <w:t>of</w:t>
      </w:r>
      <w:r w:rsidRPr="00817B57">
        <w:rPr>
          <w:rFonts w:cs="Times New Roman"/>
          <w:color w:val="000000"/>
          <w:szCs w:val="24"/>
        </w:rPr>
        <w:t xml:space="preserve"> AML patients </w:t>
      </w:r>
      <w:r>
        <w:rPr>
          <w:rFonts w:cs="Times New Roman"/>
          <w:color w:val="000000"/>
          <w:szCs w:val="24"/>
        </w:rPr>
        <w:t>in TGCA (A), GSE71014 (B) and GSE 37642 (C)</w:t>
      </w:r>
      <w:r w:rsidR="00E2600A">
        <w:rPr>
          <w:rFonts w:cs="Times New Roman"/>
          <w:color w:val="000000"/>
          <w:szCs w:val="24"/>
        </w:rPr>
        <w:t xml:space="preserve"> cohorts</w:t>
      </w:r>
      <w:r>
        <w:rPr>
          <w:rFonts w:cs="Times New Roman"/>
          <w:color w:val="000000"/>
          <w:szCs w:val="24"/>
        </w:rPr>
        <w:t>. ns, not significant;* p&lt; 0.05, **p&lt;</w:t>
      </w:r>
      <w:r w:rsidR="004332C3">
        <w:rPr>
          <w:rFonts w:cs="Times New Roman"/>
          <w:color w:val="000000"/>
          <w:szCs w:val="24"/>
        </w:rPr>
        <w:t>0.01,***p&lt;0.001,****p&lt;0.0001.</w:t>
      </w:r>
    </w:p>
    <w:p w14:paraId="4CEC7650" w14:textId="6D855B94" w:rsidR="00FF5C1C" w:rsidRDefault="002852D0" w:rsidP="0040184A">
      <w:pPr>
        <w:keepNext/>
        <w:jc w:val="center"/>
        <w:rPr>
          <w:lang w:val="en-GB"/>
        </w:rPr>
      </w:pPr>
      <w:r>
        <w:rPr>
          <w:noProof/>
          <w:lang w:eastAsia="zh-CN"/>
        </w:rPr>
        <w:lastRenderedPageBreak/>
        <w:drawing>
          <wp:inline distT="0" distB="0" distL="0" distR="0" wp14:anchorId="30172957" wp14:editId="5284C2B1">
            <wp:extent cx="6208395" cy="3700780"/>
            <wp:effectExtent l="0" t="0" r="190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igureS3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8395" cy="3700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D90E3C" w14:textId="53639D45" w:rsidR="0040184A" w:rsidRDefault="0040184A" w:rsidP="006530E4">
      <w:pPr>
        <w:autoSpaceDE w:val="0"/>
        <w:autoSpaceDN w:val="0"/>
        <w:adjustRightInd w:val="0"/>
        <w:snapToGrid w:val="0"/>
        <w:spacing w:line="360" w:lineRule="auto"/>
        <w:jc w:val="both"/>
        <w:rPr>
          <w:rFonts w:cs="Times New Roman"/>
          <w:color w:val="000000"/>
          <w:szCs w:val="24"/>
        </w:rPr>
      </w:pPr>
      <w:r w:rsidRPr="0001436A">
        <w:rPr>
          <w:rFonts w:cs="Times New Roman"/>
          <w:b/>
          <w:szCs w:val="24"/>
        </w:rPr>
        <w:t xml:space="preserve">Supplementary Figure </w:t>
      </w:r>
      <w:r w:rsidR="00E2600A">
        <w:rPr>
          <w:rFonts w:cs="Times New Roman"/>
          <w:b/>
          <w:szCs w:val="24"/>
        </w:rPr>
        <w:t>4</w:t>
      </w:r>
      <w:r w:rsidRPr="0001436A">
        <w:rPr>
          <w:rFonts w:cs="Times New Roman"/>
          <w:b/>
          <w:szCs w:val="24"/>
        </w:rPr>
        <w:t>.</w:t>
      </w:r>
      <w:r w:rsidR="002852D0" w:rsidRPr="002852D0">
        <w:rPr>
          <w:rFonts w:cs="Times New Roman"/>
          <w:color w:val="000000"/>
          <w:szCs w:val="24"/>
        </w:rPr>
        <w:t xml:space="preserve"> </w:t>
      </w:r>
      <w:r w:rsidR="002852D0" w:rsidRPr="00817B57">
        <w:rPr>
          <w:rFonts w:cs="Times New Roman"/>
          <w:color w:val="000000"/>
          <w:szCs w:val="24"/>
        </w:rPr>
        <w:t xml:space="preserve">Correlation between the expression levels of immune checkpoint molecules and overall survival.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A-F</w:t>
      </w:r>
      <w:r w:rsidR="002852D0" w:rsidRPr="00ED2292">
        <w:rPr>
          <w:rFonts w:cs="Times New Roman"/>
          <w:color w:val="000000"/>
          <w:szCs w:val="24"/>
        </w:rPr>
        <w:t>)</w:t>
      </w:r>
      <w:r w:rsidR="002852D0" w:rsidRPr="00817B57">
        <w:rPr>
          <w:rFonts w:cs="Times New Roman"/>
          <w:color w:val="000000"/>
          <w:szCs w:val="24"/>
        </w:rPr>
        <w:t xml:space="preserve"> Kaplan–Meier survival curves suggest increased OS of the low</w:t>
      </w:r>
      <w:r w:rsidR="002852D0">
        <w:rPr>
          <w:rFonts w:cs="Times New Roman"/>
          <w:color w:val="000000"/>
          <w:szCs w:val="24"/>
        </w:rPr>
        <w:t>-</w:t>
      </w:r>
      <w:r w:rsidR="002852D0" w:rsidRPr="00817B57">
        <w:rPr>
          <w:rFonts w:cs="Times New Roman"/>
          <w:color w:val="000000"/>
          <w:szCs w:val="24"/>
        </w:rPr>
        <w:t xml:space="preserve">risk score patients showing a low expression of </w:t>
      </w:r>
      <w:r w:rsidR="002852D0" w:rsidRPr="00817B57">
        <w:rPr>
          <w:rFonts w:cs="Times New Roman"/>
          <w:i/>
          <w:iCs/>
          <w:color w:val="000000"/>
          <w:szCs w:val="24"/>
        </w:rPr>
        <w:t>LAIR1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A</w:t>
      </w:r>
      <w:r w:rsidR="002852D0" w:rsidRPr="00ED2292">
        <w:rPr>
          <w:rFonts w:cs="Times New Roman"/>
          <w:color w:val="000000"/>
          <w:szCs w:val="24"/>
        </w:rPr>
        <w:t>),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817B57">
        <w:rPr>
          <w:rFonts w:cs="Times New Roman"/>
          <w:i/>
          <w:iCs/>
          <w:color w:val="000000"/>
          <w:szCs w:val="24"/>
        </w:rPr>
        <w:t>CD276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B</w:t>
      </w:r>
      <w:r w:rsidR="002852D0" w:rsidRPr="00ED2292">
        <w:rPr>
          <w:rFonts w:cs="Times New Roman"/>
          <w:color w:val="000000"/>
          <w:szCs w:val="24"/>
        </w:rPr>
        <w:t>),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817B57">
        <w:rPr>
          <w:rFonts w:cs="Times New Roman"/>
          <w:i/>
          <w:iCs/>
          <w:color w:val="000000"/>
          <w:szCs w:val="24"/>
        </w:rPr>
        <w:t>LGALS9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C</w:t>
      </w:r>
      <w:r w:rsidR="002852D0" w:rsidRPr="00ED2292">
        <w:rPr>
          <w:rFonts w:cs="Times New Roman"/>
          <w:color w:val="000000"/>
          <w:szCs w:val="24"/>
        </w:rPr>
        <w:t>),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817B57">
        <w:rPr>
          <w:rFonts w:cs="Times New Roman"/>
          <w:i/>
          <w:iCs/>
          <w:color w:val="000000"/>
          <w:szCs w:val="24"/>
        </w:rPr>
        <w:t>PDCD1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D</w:t>
      </w:r>
      <w:r w:rsidR="002852D0" w:rsidRPr="00ED2292">
        <w:rPr>
          <w:rFonts w:cs="Times New Roman"/>
          <w:color w:val="000000"/>
          <w:szCs w:val="24"/>
        </w:rPr>
        <w:t>),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817B57">
        <w:rPr>
          <w:rFonts w:cs="Times New Roman"/>
          <w:i/>
          <w:iCs/>
          <w:color w:val="000000"/>
          <w:szCs w:val="24"/>
        </w:rPr>
        <w:t>PDCD1LG2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E</w:t>
      </w:r>
      <w:r w:rsidR="002852D0" w:rsidRPr="00ED2292">
        <w:rPr>
          <w:rFonts w:cs="Times New Roman"/>
          <w:color w:val="000000"/>
          <w:szCs w:val="24"/>
        </w:rPr>
        <w:t>),</w:t>
      </w:r>
      <w:r w:rsidR="002852D0" w:rsidRPr="00817B57">
        <w:rPr>
          <w:rFonts w:cs="Times New Roman"/>
          <w:color w:val="000000"/>
          <w:szCs w:val="24"/>
        </w:rPr>
        <w:t xml:space="preserve"> and </w:t>
      </w:r>
      <w:r w:rsidR="002852D0" w:rsidRPr="00817B57">
        <w:rPr>
          <w:rFonts w:cs="Times New Roman"/>
          <w:i/>
          <w:iCs/>
          <w:color w:val="000000"/>
          <w:szCs w:val="24"/>
        </w:rPr>
        <w:t>TNFSF14</w:t>
      </w:r>
      <w:r w:rsidR="002852D0" w:rsidRPr="00817B57">
        <w:rPr>
          <w:rFonts w:cs="Times New Roman"/>
          <w:color w:val="000000"/>
          <w:szCs w:val="24"/>
        </w:rPr>
        <w:t xml:space="preserve"> </w:t>
      </w:r>
      <w:r w:rsidR="002852D0" w:rsidRPr="00ED2292">
        <w:rPr>
          <w:rFonts w:cs="Times New Roman"/>
          <w:color w:val="000000"/>
          <w:szCs w:val="24"/>
        </w:rPr>
        <w:t>(</w:t>
      </w:r>
      <w:r w:rsidR="002852D0" w:rsidRPr="00817B57">
        <w:rPr>
          <w:rFonts w:cs="Times New Roman"/>
          <w:color w:val="000000"/>
          <w:szCs w:val="24"/>
        </w:rPr>
        <w:t>F</w:t>
      </w:r>
      <w:r w:rsidR="002852D0" w:rsidRPr="00ED2292">
        <w:rPr>
          <w:rFonts w:cs="Times New Roman"/>
          <w:color w:val="000000"/>
          <w:szCs w:val="24"/>
        </w:rPr>
        <w:t>)</w:t>
      </w:r>
      <w:r w:rsidR="002852D0" w:rsidRPr="00817B57">
        <w:rPr>
          <w:rFonts w:cs="Times New Roman"/>
          <w:color w:val="000000"/>
          <w:szCs w:val="24"/>
        </w:rPr>
        <w:t xml:space="preserve"> as compared to those in the high</w:t>
      </w:r>
      <w:r w:rsidR="002852D0">
        <w:rPr>
          <w:rFonts w:cs="Times New Roman"/>
          <w:color w:val="000000"/>
          <w:szCs w:val="24"/>
        </w:rPr>
        <w:t>-</w:t>
      </w:r>
      <w:r w:rsidR="002852D0" w:rsidRPr="00817B57">
        <w:rPr>
          <w:rFonts w:cs="Times New Roman"/>
          <w:color w:val="000000"/>
          <w:szCs w:val="24"/>
        </w:rPr>
        <w:t>risk score group.</w:t>
      </w:r>
    </w:p>
    <w:p w14:paraId="2F954CF0" w14:textId="03B45C43" w:rsidR="00E2600A" w:rsidRDefault="00E2600A" w:rsidP="00E2600A">
      <w:pPr>
        <w:autoSpaceDE w:val="0"/>
        <w:autoSpaceDN w:val="0"/>
        <w:adjustRightInd w:val="0"/>
        <w:snapToGrid w:val="0"/>
        <w:spacing w:line="360" w:lineRule="auto"/>
        <w:jc w:val="center"/>
        <w:rPr>
          <w:rFonts w:cs="Times New Roman"/>
          <w:color w:val="000000"/>
          <w:szCs w:val="24"/>
        </w:rPr>
      </w:pPr>
      <w:r>
        <w:rPr>
          <w:rFonts w:cs="Times New Roman"/>
          <w:noProof/>
          <w:color w:val="000000"/>
          <w:szCs w:val="24"/>
          <w:lang w:eastAsia="zh-CN"/>
        </w:rPr>
        <w:lastRenderedPageBreak/>
        <w:drawing>
          <wp:inline distT="0" distB="0" distL="0" distR="0" wp14:anchorId="394430A3" wp14:editId="4751A7DB">
            <wp:extent cx="6209665" cy="4337050"/>
            <wp:effectExtent l="0" t="0" r="635" b="6350"/>
            <wp:docPr id="6" name="图片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migration.tif"/>
                    <pic:cNvPicPr preferRelativeResize="0"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0001" cy="4337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EB933F" w14:textId="5E96944C" w:rsidR="00E2600A" w:rsidRDefault="00E2600A" w:rsidP="006530E4">
      <w:pPr>
        <w:autoSpaceDE w:val="0"/>
        <w:autoSpaceDN w:val="0"/>
        <w:adjustRightInd w:val="0"/>
        <w:snapToGrid w:val="0"/>
        <w:spacing w:line="360" w:lineRule="auto"/>
        <w:jc w:val="both"/>
        <w:rPr>
          <w:rFonts w:cs="Times New Roman"/>
          <w:color w:val="000000"/>
          <w:szCs w:val="24"/>
        </w:rPr>
      </w:pPr>
      <w:r w:rsidRPr="0001436A">
        <w:rPr>
          <w:rFonts w:cs="Times New Roman"/>
          <w:b/>
          <w:szCs w:val="24"/>
        </w:rPr>
        <w:t xml:space="preserve">Supplementary Figure </w:t>
      </w:r>
      <w:r>
        <w:rPr>
          <w:rFonts w:cs="Times New Roman"/>
          <w:b/>
          <w:szCs w:val="24"/>
        </w:rPr>
        <w:t>5</w:t>
      </w:r>
      <w:r w:rsidRPr="0001436A">
        <w:rPr>
          <w:rFonts w:cs="Times New Roman"/>
          <w:b/>
          <w:szCs w:val="24"/>
        </w:rPr>
        <w:t>.</w:t>
      </w:r>
      <w:r>
        <w:rPr>
          <w:rFonts w:cs="Times New Roman"/>
          <w:color w:val="000000"/>
          <w:szCs w:val="24"/>
        </w:rPr>
        <w:t xml:space="preserve"> The migration assay of AML cell lines</w:t>
      </w:r>
      <w:r w:rsidRPr="00817B57">
        <w:rPr>
          <w:rFonts w:cs="Times New Roman"/>
          <w:color w:val="000000"/>
          <w:szCs w:val="24"/>
        </w:rPr>
        <w:t>.</w:t>
      </w:r>
      <w:r w:rsidR="006530E4">
        <w:rPr>
          <w:rFonts w:cs="Times New Roman"/>
          <w:color w:val="000000"/>
          <w:szCs w:val="24"/>
        </w:rPr>
        <w:t xml:space="preserve"> </w:t>
      </w:r>
      <w:r w:rsidR="006530E4">
        <w:rPr>
          <w:rFonts w:cs="Times New Roman"/>
          <w:color w:val="000000"/>
          <w:szCs w:val="24"/>
          <w:lang w:eastAsia="zh-CN"/>
        </w:rPr>
        <w:t>(</w:t>
      </w:r>
      <w:r w:rsidR="006530E4">
        <w:rPr>
          <w:rFonts w:cs="Times New Roman"/>
          <w:color w:val="000000"/>
          <w:szCs w:val="24"/>
        </w:rPr>
        <w:t>A</w:t>
      </w:r>
      <w:r w:rsidR="006530E4">
        <w:rPr>
          <w:rFonts w:cs="Times New Roman" w:hint="eastAsia"/>
          <w:color w:val="000000"/>
          <w:szCs w:val="24"/>
          <w:lang w:eastAsia="zh-CN"/>
        </w:rPr>
        <w:t>-</w:t>
      </w:r>
      <w:r w:rsidR="006530E4">
        <w:rPr>
          <w:rFonts w:cs="Times New Roman"/>
          <w:color w:val="000000"/>
          <w:szCs w:val="24"/>
        </w:rPr>
        <w:t>C)</w:t>
      </w:r>
      <w:r>
        <w:rPr>
          <w:rFonts w:cs="Times New Roman"/>
          <w:color w:val="000000"/>
          <w:szCs w:val="24"/>
        </w:rPr>
        <w:t>The bright filed images of migrated MOLM-13</w:t>
      </w:r>
      <w:r w:rsidR="00B04B84">
        <w:rPr>
          <w:rFonts w:cs="Times New Roman"/>
          <w:color w:val="000000"/>
          <w:szCs w:val="24"/>
        </w:rPr>
        <w:t>(A), U937 (B)</w:t>
      </w:r>
      <w:r>
        <w:rPr>
          <w:rFonts w:cs="Times New Roman"/>
          <w:color w:val="000000"/>
          <w:szCs w:val="24"/>
        </w:rPr>
        <w:t xml:space="preserve"> </w:t>
      </w:r>
      <w:r w:rsidR="00B04B84">
        <w:rPr>
          <w:rFonts w:cs="Times New Roman"/>
          <w:color w:val="000000"/>
          <w:szCs w:val="24"/>
        </w:rPr>
        <w:t xml:space="preserve">and KG-1a (C) </w:t>
      </w:r>
      <w:r>
        <w:rPr>
          <w:rFonts w:cs="Times New Roman"/>
          <w:color w:val="000000"/>
          <w:szCs w:val="24"/>
        </w:rPr>
        <w:t>cells after indicated drugs treatments</w:t>
      </w:r>
      <w:r w:rsidR="00B04B84">
        <w:rPr>
          <w:rFonts w:cs="Times New Roman"/>
          <w:color w:val="000000"/>
          <w:szCs w:val="24"/>
        </w:rPr>
        <w:t xml:space="preserve">. Bar represent 400 </w:t>
      </w:r>
      <w:proofErr w:type="spellStart"/>
      <w:r w:rsidR="00B04B84">
        <w:rPr>
          <w:rFonts w:cs="Times New Roman"/>
          <w:color w:val="000000"/>
          <w:szCs w:val="24"/>
        </w:rPr>
        <w:t>μ</w:t>
      </w:r>
      <w:r w:rsidR="002E602A">
        <w:rPr>
          <w:rFonts w:cs="Times New Roman" w:hint="eastAsia"/>
          <w:color w:val="000000"/>
          <w:szCs w:val="24"/>
          <w:lang w:eastAsia="zh-CN"/>
        </w:rPr>
        <w:t>m</w:t>
      </w:r>
      <w:proofErr w:type="spellEnd"/>
      <w:r w:rsidR="00B04B84">
        <w:rPr>
          <w:rFonts w:cs="Times New Roman" w:hint="eastAsia"/>
          <w:color w:val="000000"/>
          <w:szCs w:val="24"/>
          <w:lang w:eastAsia="zh-CN"/>
        </w:rPr>
        <w:t>.</w:t>
      </w:r>
    </w:p>
    <w:p w14:paraId="3B815FE2" w14:textId="2E39A1D0" w:rsidR="00E2600A" w:rsidRPr="002852D0" w:rsidRDefault="00E2600A" w:rsidP="00E2600A">
      <w:pPr>
        <w:autoSpaceDE w:val="0"/>
        <w:autoSpaceDN w:val="0"/>
        <w:adjustRightInd w:val="0"/>
        <w:snapToGrid w:val="0"/>
        <w:spacing w:line="360" w:lineRule="auto"/>
        <w:jc w:val="center"/>
        <w:rPr>
          <w:rFonts w:cs="Times New Roman"/>
          <w:color w:val="000000"/>
          <w:szCs w:val="24"/>
        </w:rPr>
      </w:pPr>
      <w:bookmarkStart w:id="0" w:name="_GoBack"/>
      <w:bookmarkEnd w:id="0"/>
    </w:p>
    <w:sectPr w:rsidR="00E2600A" w:rsidRPr="002852D0" w:rsidSect="0093429D">
      <w:headerReference w:type="even" r:id="rId17"/>
      <w:footerReference w:type="even" r:id="rId18"/>
      <w:footerReference w:type="default" r:id="rId19"/>
      <w:headerReference w:type="first" r:id="rId20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16EE95" w14:textId="77777777" w:rsidR="00F64AFE" w:rsidRDefault="00F64AFE" w:rsidP="00117666">
      <w:pPr>
        <w:spacing w:after="0"/>
      </w:pPr>
      <w:r>
        <w:separator/>
      </w:r>
    </w:p>
  </w:endnote>
  <w:endnote w:type="continuationSeparator" w:id="0">
    <w:p w14:paraId="37D3088E" w14:textId="77777777" w:rsidR="00F64AFE" w:rsidRDefault="00F64AFE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14AB28" w14:textId="77777777" w:rsidR="00995F6A" w:rsidRPr="00577C4C" w:rsidRDefault="00C52A7B">
    <w:pPr>
      <w:rPr>
        <w:color w:val="C0000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1746F3DD" w:rsidR="00995F6A" w:rsidRPr="00577C4C" w:rsidRDefault="00F64AFE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14:paraId="4D054D26" w14:textId="1746F3DD" w:rsidR="00995F6A" w:rsidRPr="00577C4C" w:rsidRDefault="00C41129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22FF27" w14:textId="77777777" w:rsidR="00995F6A" w:rsidRPr="00577C4C" w:rsidRDefault="00C52A7B">
    <w:pPr>
      <w:rPr>
        <w:b/>
        <w:sz w:val="20"/>
        <w:szCs w:val="24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18B604F5" w:rsidR="00995F6A" w:rsidRPr="00577C4C" w:rsidRDefault="00F64AFE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14:paraId="085E15EB" w14:textId="18B604F5" w:rsidR="00995F6A" w:rsidRPr="00577C4C" w:rsidRDefault="00C41129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7FE08C7" w14:textId="77777777" w:rsidR="00F64AFE" w:rsidRDefault="00F64AFE" w:rsidP="00117666">
      <w:pPr>
        <w:spacing w:after="0"/>
      </w:pPr>
      <w:r>
        <w:separator/>
      </w:r>
    </w:p>
  </w:footnote>
  <w:footnote w:type="continuationSeparator" w:id="0">
    <w:p w14:paraId="46B66DB5" w14:textId="77777777" w:rsidR="00F64AFE" w:rsidRDefault="00F64AFE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31EDBA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711A5B" w14:textId="77777777" w:rsidR="00995F6A" w:rsidRDefault="0093429D" w:rsidP="0093429D">
    <w:r w:rsidRPr="005A1D84">
      <w:rPr>
        <w:b/>
        <w:noProof/>
        <w:color w:val="A6A6A6" w:themeColor="background1" w:themeShade="A6"/>
        <w:lang w:eastAsia="zh-CN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3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D24"/>
    <w:rsid w:val="0001436A"/>
    <w:rsid w:val="00034304"/>
    <w:rsid w:val="00035434"/>
    <w:rsid w:val="00052A14"/>
    <w:rsid w:val="00077D53"/>
    <w:rsid w:val="00105FD9"/>
    <w:rsid w:val="001121DD"/>
    <w:rsid w:val="00117666"/>
    <w:rsid w:val="001549D3"/>
    <w:rsid w:val="00160065"/>
    <w:rsid w:val="00177D84"/>
    <w:rsid w:val="001853C8"/>
    <w:rsid w:val="001F1905"/>
    <w:rsid w:val="00233062"/>
    <w:rsid w:val="00267D18"/>
    <w:rsid w:val="002852D0"/>
    <w:rsid w:val="002868E2"/>
    <w:rsid w:val="002869C3"/>
    <w:rsid w:val="002936E4"/>
    <w:rsid w:val="002B4A57"/>
    <w:rsid w:val="002C74CA"/>
    <w:rsid w:val="002E602A"/>
    <w:rsid w:val="003544FB"/>
    <w:rsid w:val="00360EF9"/>
    <w:rsid w:val="003D2F2D"/>
    <w:rsid w:val="00401590"/>
    <w:rsid w:val="0040184A"/>
    <w:rsid w:val="004332C3"/>
    <w:rsid w:val="004416AB"/>
    <w:rsid w:val="00447801"/>
    <w:rsid w:val="00452E9C"/>
    <w:rsid w:val="004735C8"/>
    <w:rsid w:val="004961FF"/>
    <w:rsid w:val="004E6A95"/>
    <w:rsid w:val="00517A89"/>
    <w:rsid w:val="005250F2"/>
    <w:rsid w:val="00593EEA"/>
    <w:rsid w:val="005A5EEE"/>
    <w:rsid w:val="00603361"/>
    <w:rsid w:val="006375C7"/>
    <w:rsid w:val="006530E4"/>
    <w:rsid w:val="00654E8F"/>
    <w:rsid w:val="00660D05"/>
    <w:rsid w:val="006820B1"/>
    <w:rsid w:val="006B5E42"/>
    <w:rsid w:val="006B7D14"/>
    <w:rsid w:val="006E6270"/>
    <w:rsid w:val="00701727"/>
    <w:rsid w:val="0070566C"/>
    <w:rsid w:val="00714C50"/>
    <w:rsid w:val="00725A7D"/>
    <w:rsid w:val="007501BE"/>
    <w:rsid w:val="00790BB3"/>
    <w:rsid w:val="007C206C"/>
    <w:rsid w:val="007D6304"/>
    <w:rsid w:val="00803D24"/>
    <w:rsid w:val="00817DD6"/>
    <w:rsid w:val="00830F27"/>
    <w:rsid w:val="00885156"/>
    <w:rsid w:val="008A65FE"/>
    <w:rsid w:val="009151AA"/>
    <w:rsid w:val="0093429D"/>
    <w:rsid w:val="00943573"/>
    <w:rsid w:val="00970F7D"/>
    <w:rsid w:val="00994A3D"/>
    <w:rsid w:val="009C2B12"/>
    <w:rsid w:val="009C70F3"/>
    <w:rsid w:val="00A174D9"/>
    <w:rsid w:val="00A34078"/>
    <w:rsid w:val="00A42808"/>
    <w:rsid w:val="00A569CD"/>
    <w:rsid w:val="00A9034F"/>
    <w:rsid w:val="00AB6715"/>
    <w:rsid w:val="00AC467B"/>
    <w:rsid w:val="00B04B84"/>
    <w:rsid w:val="00B1671E"/>
    <w:rsid w:val="00B25EB8"/>
    <w:rsid w:val="00B354E1"/>
    <w:rsid w:val="00B37F4D"/>
    <w:rsid w:val="00C41129"/>
    <w:rsid w:val="00C52A7B"/>
    <w:rsid w:val="00C56BAF"/>
    <w:rsid w:val="00C679AA"/>
    <w:rsid w:val="00C75972"/>
    <w:rsid w:val="00C77AA8"/>
    <w:rsid w:val="00CC0A3A"/>
    <w:rsid w:val="00CD066B"/>
    <w:rsid w:val="00CE4FEE"/>
    <w:rsid w:val="00CE7123"/>
    <w:rsid w:val="00D1464D"/>
    <w:rsid w:val="00D808DC"/>
    <w:rsid w:val="00DB59C3"/>
    <w:rsid w:val="00DC259A"/>
    <w:rsid w:val="00DE23E8"/>
    <w:rsid w:val="00E03A3D"/>
    <w:rsid w:val="00E2600A"/>
    <w:rsid w:val="00E52377"/>
    <w:rsid w:val="00E64E17"/>
    <w:rsid w:val="00E866C9"/>
    <w:rsid w:val="00EA3D3C"/>
    <w:rsid w:val="00EC5349"/>
    <w:rsid w:val="00F02671"/>
    <w:rsid w:val="00F46900"/>
    <w:rsid w:val="00F61D89"/>
    <w:rsid w:val="00F64AFE"/>
    <w:rsid w:val="00FF5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Char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Char">
    <w:name w:val="标题 1 Char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Char">
    <w:name w:val="标题 2 Char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Char">
    <w:name w:val="副标题 Char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5">
    <w:name w:val="Balloon Text"/>
    <w:basedOn w:val="a0"/>
    <w:link w:val="Char0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Char0">
    <w:name w:val="批注框文本 Char"/>
    <w:basedOn w:val="a1"/>
    <w:link w:val="a5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6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7">
    <w:name w:val="caption"/>
    <w:basedOn w:val="a0"/>
    <w:next w:val="a8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8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9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a">
    <w:name w:val="annotation text"/>
    <w:basedOn w:val="a0"/>
    <w:link w:val="Char1"/>
    <w:uiPriority w:val="99"/>
    <w:semiHidden/>
    <w:unhideWhenUsed/>
    <w:rsid w:val="00AB6715"/>
    <w:rPr>
      <w:sz w:val="20"/>
      <w:szCs w:val="20"/>
    </w:rPr>
  </w:style>
  <w:style w:type="character" w:customStyle="1" w:styleId="Char1">
    <w:name w:val="批注文字 Char"/>
    <w:basedOn w:val="a1"/>
    <w:link w:val="aa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b">
    <w:name w:val="annotation subject"/>
    <w:basedOn w:val="aa"/>
    <w:next w:val="aa"/>
    <w:link w:val="Char2"/>
    <w:uiPriority w:val="99"/>
    <w:semiHidden/>
    <w:unhideWhenUsed/>
    <w:rsid w:val="00AB6715"/>
    <w:rPr>
      <w:b/>
      <w:bCs/>
    </w:rPr>
  </w:style>
  <w:style w:type="character" w:customStyle="1" w:styleId="Char2">
    <w:name w:val="批注主题 Char"/>
    <w:basedOn w:val="Char1"/>
    <w:link w:val="ab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c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d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e">
    <w:name w:val="endnote text"/>
    <w:basedOn w:val="a0"/>
    <w:link w:val="Char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Char3">
    <w:name w:val="尾注文本 Char"/>
    <w:basedOn w:val="a1"/>
    <w:link w:val="ae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0">
    <w:name w:val="footer"/>
    <w:basedOn w:val="a0"/>
    <w:link w:val="Char4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Char4">
    <w:name w:val="页脚 Char"/>
    <w:basedOn w:val="a1"/>
    <w:link w:val="af0"/>
    <w:uiPriority w:val="99"/>
    <w:rsid w:val="00AB6715"/>
    <w:rPr>
      <w:rFonts w:ascii="Times New Roman" w:hAnsi="Times New Roman"/>
      <w:sz w:val="24"/>
    </w:rPr>
  </w:style>
  <w:style w:type="character" w:styleId="af1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footnote text"/>
    <w:basedOn w:val="a0"/>
    <w:link w:val="Char5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Char5">
    <w:name w:val="脚注文本 Char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3">
    <w:name w:val="header"/>
    <w:basedOn w:val="a0"/>
    <w:link w:val="Char6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Char6">
    <w:name w:val="页眉 Char"/>
    <w:basedOn w:val="a1"/>
    <w:link w:val="af3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4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5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6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7">
    <w:name w:val="line number"/>
    <w:basedOn w:val="a1"/>
    <w:uiPriority w:val="99"/>
    <w:semiHidden/>
    <w:unhideWhenUsed/>
    <w:rsid w:val="00AB6715"/>
  </w:style>
  <w:style w:type="character" w:customStyle="1" w:styleId="3Char">
    <w:name w:val="标题 3 Char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Char">
    <w:name w:val="标题 4 Char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Char">
    <w:name w:val="标题 5 Char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8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9">
    <w:name w:val="Quote"/>
    <w:basedOn w:val="a0"/>
    <w:next w:val="a0"/>
    <w:link w:val="Char7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har7">
    <w:name w:val="引用 Char"/>
    <w:basedOn w:val="a1"/>
    <w:link w:val="af9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a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b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c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d">
    <w:name w:val="Title"/>
    <w:basedOn w:val="a0"/>
    <w:next w:val="a0"/>
    <w:link w:val="Char8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Char8">
    <w:name w:val="标题 Char"/>
    <w:basedOn w:val="a1"/>
    <w:link w:val="afd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d"/>
    <w:next w:val="afd"/>
    <w:qFormat/>
    <w:rsid w:val="0001436A"/>
    <w:pPr>
      <w:spacing w:after="120"/>
    </w:pPr>
    <w:rPr>
      <w:i/>
    </w:rPr>
  </w:style>
  <w:style w:type="paragraph" w:styleId="afe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  <w:style w:type="table" w:styleId="20">
    <w:name w:val="Plain Table 2"/>
    <w:basedOn w:val="a2"/>
    <w:uiPriority w:val="42"/>
    <w:rsid w:val="00D808DC"/>
    <w:pPr>
      <w:spacing w:after="0" w:line="240" w:lineRule="auto"/>
    </w:pPr>
    <w:rPr>
      <w:kern w:val="2"/>
      <w:sz w:val="21"/>
      <w:lang w:eastAsia="zh-CN"/>
    </w:r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aff">
    <w:name w:val="Light Shading"/>
    <w:basedOn w:val="a2"/>
    <w:uiPriority w:val="60"/>
    <w:rsid w:val="00D808DC"/>
    <w:pPr>
      <w:spacing w:after="0" w:line="240" w:lineRule="auto"/>
    </w:pPr>
    <w:rPr>
      <w:color w:val="000000" w:themeColor="text1" w:themeShade="BF"/>
      <w:kern w:val="2"/>
      <w:sz w:val="21"/>
      <w:lang w:eastAsia="zh-CN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tiff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image" Target="media/image1.tiff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5.tiff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image" Target="media/image4.tiff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tiff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3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0A3F117-82F4-4B34-AE53-2CE7EBC62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</Template>
  <TotalTime>243</TotalTime>
  <Pages>5</Pages>
  <Words>282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Microsoft 帐户</cp:lastModifiedBy>
  <cp:revision>19</cp:revision>
  <cp:lastPrinted>2013-10-03T12:51:00Z</cp:lastPrinted>
  <dcterms:created xsi:type="dcterms:W3CDTF">2023-04-11T02:20:00Z</dcterms:created>
  <dcterms:modified xsi:type="dcterms:W3CDTF">2023-11-16T00:51:00Z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