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36432" w14:textId="77777777" w:rsidR="00DB771E" w:rsidRPr="00DB771E" w:rsidRDefault="00DB771E" w:rsidP="00DB771E">
      <w:pPr>
        <w:pStyle w:val="SupplementaryMaterial"/>
        <w:jc w:val="left"/>
        <w:rPr>
          <w:b w:val="0"/>
          <w:i w:val="0"/>
          <w:iCs/>
        </w:rPr>
      </w:pPr>
      <w:r w:rsidRPr="00DB771E">
        <w:rPr>
          <w:i w:val="0"/>
          <w:iCs/>
        </w:rPr>
        <w:t>Supplementary Material</w:t>
      </w:r>
    </w:p>
    <w:p w14:paraId="262551F8" w14:textId="77777777" w:rsidR="00DB771E" w:rsidRDefault="00DB771E" w:rsidP="00DB771E">
      <w:pPr>
        <w:spacing w:before="0" w:after="160"/>
        <w:jc w:val="both"/>
        <w:rPr>
          <w:rFonts w:cs="Times New Roman"/>
          <w:b/>
          <w:bCs/>
          <w:szCs w:val="24"/>
          <w:lang w:val="en-ZA"/>
        </w:rPr>
      </w:pPr>
    </w:p>
    <w:p w14:paraId="02168ABD" w14:textId="2C17BFC9" w:rsidR="00DB771E" w:rsidRPr="00D00586" w:rsidRDefault="00DB771E" w:rsidP="00DB771E">
      <w:pPr>
        <w:spacing w:before="0" w:after="160"/>
        <w:jc w:val="both"/>
        <w:rPr>
          <w:rFonts w:cs="Times New Roman"/>
          <w:szCs w:val="24"/>
          <w:lang w:val="en-ZA"/>
        </w:rPr>
      </w:pPr>
      <w:r w:rsidRPr="00D00586">
        <w:rPr>
          <w:rFonts w:cs="Times New Roman"/>
          <w:b/>
          <w:bCs/>
          <w:szCs w:val="24"/>
          <w:lang w:val="en-ZA"/>
        </w:rPr>
        <w:t>Table S1</w:t>
      </w:r>
      <w:r w:rsidRPr="00D00586">
        <w:rPr>
          <w:rFonts w:cs="Times New Roman"/>
          <w:szCs w:val="24"/>
          <w:lang w:val="en-ZA"/>
        </w:rPr>
        <w:t>:</w:t>
      </w:r>
      <w:r w:rsidRPr="00D00586">
        <w:rPr>
          <w:rFonts w:cs="Times New Roman"/>
          <w:b/>
          <w:bCs/>
          <w:szCs w:val="24"/>
          <w:lang w:val="en-ZA"/>
        </w:rPr>
        <w:t xml:space="preserve"> </w:t>
      </w:r>
      <w:r w:rsidRPr="00D00586">
        <w:rPr>
          <w:rFonts w:cs="Times New Roman"/>
          <w:szCs w:val="24"/>
          <w:lang w:val="en-ZA"/>
        </w:rPr>
        <w:t xml:space="preserve">The effects of the chitosan and aminochitosan variants on disease progression in </w:t>
      </w:r>
      <w:r w:rsidRPr="00D00586">
        <w:rPr>
          <w:rFonts w:cs="Times New Roman"/>
          <w:i/>
          <w:iCs/>
          <w:szCs w:val="24"/>
          <w:lang w:val="en-ZA"/>
        </w:rPr>
        <w:t xml:space="preserve">B. cinerea </w:t>
      </w:r>
      <w:r w:rsidRPr="00D00586">
        <w:rPr>
          <w:rFonts w:cs="Times New Roman"/>
          <w:szCs w:val="24"/>
          <w:lang w:val="en-ZA"/>
        </w:rPr>
        <w:t>inoculated leaf discs measured as the percentage of resistant lesions at 4, 8, 12, 16, 20, 24, 48 and 72 hpi.</w:t>
      </w:r>
    </w:p>
    <w:tbl>
      <w:tblPr>
        <w:tblpPr w:leftFromText="180" w:rightFromText="180" w:vertAnchor="page" w:horzAnchor="margin" w:tblpY="4105"/>
        <w:tblW w:w="8992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90"/>
        <w:gridCol w:w="1592"/>
        <w:gridCol w:w="725"/>
        <w:gridCol w:w="725"/>
        <w:gridCol w:w="725"/>
        <w:gridCol w:w="725"/>
        <w:gridCol w:w="725"/>
        <w:gridCol w:w="725"/>
        <w:gridCol w:w="725"/>
        <w:gridCol w:w="725"/>
        <w:gridCol w:w="10"/>
      </w:tblGrid>
      <w:tr w:rsidR="00DB771E" w:rsidRPr="00D00586" w14:paraId="778910C2" w14:textId="77777777" w:rsidTr="00DB771E">
        <w:trPr>
          <w:trHeight w:val="295"/>
        </w:trPr>
        <w:tc>
          <w:tcPr>
            <w:tcW w:w="1590" w:type="dxa"/>
            <w:vMerge w:val="restart"/>
            <w:tcBorders>
              <w:top w:val="single" w:sz="8" w:space="0" w:color="000000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E3EBC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Treatment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nil"/>
              <w:bottom w:val="single" w:sz="8" w:space="0" w:color="AFABAB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D91339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Concentration (mg/mL)</w:t>
            </w:r>
          </w:p>
        </w:tc>
        <w:tc>
          <w:tcPr>
            <w:tcW w:w="5810" w:type="dxa"/>
            <w:gridSpan w:val="9"/>
            <w:tcBorders>
              <w:top w:val="single" w:sz="8" w:space="0" w:color="000000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C35B0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% Resistant lesions</w:t>
            </w:r>
          </w:p>
        </w:tc>
      </w:tr>
      <w:tr w:rsidR="00DB771E" w:rsidRPr="00D00586" w14:paraId="637BCF3F" w14:textId="77777777" w:rsidTr="00DB771E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FABAB"/>
              <w:right w:val="nil"/>
            </w:tcBorders>
            <w:vAlign w:val="center"/>
            <w:hideMark/>
          </w:tcPr>
          <w:p w14:paraId="6054D929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FABAB"/>
              <w:right w:val="single" w:sz="8" w:space="0" w:color="AFABAB"/>
            </w:tcBorders>
            <w:vAlign w:val="center"/>
            <w:hideMark/>
          </w:tcPr>
          <w:p w14:paraId="321BEF4F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5810" w:type="dxa"/>
            <w:gridSpan w:val="9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B8756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Time (hpi)</w:t>
            </w:r>
          </w:p>
        </w:tc>
      </w:tr>
      <w:tr w:rsidR="00DB771E" w:rsidRPr="00D00586" w14:paraId="7F95C252" w14:textId="77777777" w:rsidTr="00DB771E">
        <w:trPr>
          <w:gridAfter w:val="1"/>
          <w:wAfter w:w="10" w:type="dxa"/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FABAB"/>
              <w:right w:val="nil"/>
            </w:tcBorders>
            <w:vAlign w:val="center"/>
            <w:hideMark/>
          </w:tcPr>
          <w:p w14:paraId="1FCA88F8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FABAB"/>
              <w:right w:val="single" w:sz="8" w:space="0" w:color="AFABAB"/>
            </w:tcBorders>
            <w:vAlign w:val="center"/>
            <w:hideMark/>
          </w:tcPr>
          <w:p w14:paraId="37F546D8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ABA183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5FFEA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B8FAE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12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7E263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16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8DE68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20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D17FE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24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24262B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48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D91F6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val="en-ZA" w:eastAsia="en-ZA"/>
              </w:rPr>
              <w:t>72</w:t>
            </w:r>
          </w:p>
        </w:tc>
      </w:tr>
      <w:tr w:rsidR="00DB771E" w:rsidRPr="00D00586" w14:paraId="60C15122" w14:textId="77777777" w:rsidTr="00DB771E">
        <w:trPr>
          <w:gridAfter w:val="1"/>
          <w:wAfter w:w="10" w:type="dxa"/>
          <w:trHeight w:val="322"/>
        </w:trPr>
        <w:tc>
          <w:tcPr>
            <w:tcW w:w="1590" w:type="dxa"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4CCE2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Water</w:t>
            </w:r>
          </w:p>
        </w:tc>
        <w:tc>
          <w:tcPr>
            <w:tcW w:w="1592" w:type="dxa"/>
            <w:tcBorders>
              <w:top w:val="single" w:sz="8" w:space="0" w:color="AFABAB"/>
              <w:left w:val="nil"/>
              <w:bottom w:val="single" w:sz="8" w:space="0" w:color="AFABAB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8EA76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BA164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F6850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5A3D86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F731AB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394DD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6C9123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08F01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F060E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1DEA2F5E" w14:textId="77777777" w:rsidTr="00DB771E">
        <w:trPr>
          <w:gridAfter w:val="1"/>
          <w:wAfter w:w="10" w:type="dxa"/>
          <w:trHeight w:val="322"/>
        </w:trPr>
        <w:tc>
          <w:tcPr>
            <w:tcW w:w="1590" w:type="dxa"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52646F" w14:textId="77777777" w:rsidR="00DB771E" w:rsidRPr="00D00586" w:rsidRDefault="00DB771E" w:rsidP="00DB771E">
            <w:pPr>
              <w:spacing w:before="0" w:after="0"/>
              <w:jc w:val="center"/>
              <w:textAlignment w:val="center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0.1% acetic acid</w:t>
            </w:r>
          </w:p>
        </w:tc>
        <w:tc>
          <w:tcPr>
            <w:tcW w:w="1592" w:type="dxa"/>
            <w:tcBorders>
              <w:top w:val="single" w:sz="8" w:space="0" w:color="AFABAB"/>
              <w:left w:val="nil"/>
              <w:bottom w:val="single" w:sz="8" w:space="0" w:color="AFABAB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E3E36C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0.1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986BB1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684DC1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7BA08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CA5CD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57AED9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DB640B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99D01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D0D0E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277FB37D" w14:textId="77777777" w:rsidTr="00DB771E">
        <w:trPr>
          <w:gridAfter w:val="1"/>
          <w:wAfter w:w="10" w:type="dxa"/>
          <w:trHeight w:val="322"/>
        </w:trPr>
        <w:tc>
          <w:tcPr>
            <w:tcW w:w="1590" w:type="dxa"/>
            <w:vMerge w:val="restart"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27E4A4" w14:textId="77777777" w:rsidR="00DB771E" w:rsidRPr="00D00586" w:rsidRDefault="00DB771E" w:rsidP="00DB771E">
            <w:pPr>
              <w:spacing w:before="0" w:after="0"/>
              <w:jc w:val="center"/>
              <w:textAlignment w:val="center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Chitosan</w:t>
            </w:r>
          </w:p>
        </w:tc>
        <w:tc>
          <w:tcPr>
            <w:tcW w:w="1592" w:type="dxa"/>
            <w:tcBorders>
              <w:top w:val="single" w:sz="8" w:space="0" w:color="AFABAB"/>
              <w:left w:val="nil"/>
              <w:bottom w:val="nil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7B49F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0.5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D128C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17106B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DDD1C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C6AC1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C5E47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38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DACD2C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FDFB4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9ED5D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7D180372" w14:textId="77777777" w:rsidTr="00DB771E">
        <w:trPr>
          <w:gridAfter w:val="1"/>
          <w:wAfter w:w="10" w:type="dxa"/>
          <w:trHeight w:val="322"/>
        </w:trPr>
        <w:tc>
          <w:tcPr>
            <w:tcW w:w="0" w:type="auto"/>
            <w:vMerge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vAlign w:val="center"/>
            <w:hideMark/>
          </w:tcPr>
          <w:p w14:paraId="69159654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34FF23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2CCDC4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DE88FC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39E88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9ACA6C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549EB3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50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59107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25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D9A47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8706A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3A62494A" w14:textId="77777777" w:rsidTr="00DB771E">
        <w:trPr>
          <w:gridAfter w:val="1"/>
          <w:wAfter w:w="10" w:type="dxa"/>
          <w:trHeight w:val="322"/>
        </w:trPr>
        <w:tc>
          <w:tcPr>
            <w:tcW w:w="0" w:type="auto"/>
            <w:vMerge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vAlign w:val="center"/>
            <w:hideMark/>
          </w:tcPr>
          <w:p w14:paraId="1D491C22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FABAB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C9179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2.5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9B1AD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6207F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D888C9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048319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264E7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88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9E0DB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88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810C7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25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C6DEE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590D83ED" w14:textId="77777777" w:rsidTr="00DB771E">
        <w:trPr>
          <w:gridAfter w:val="1"/>
          <w:wAfter w:w="10" w:type="dxa"/>
          <w:trHeight w:val="322"/>
        </w:trPr>
        <w:tc>
          <w:tcPr>
            <w:tcW w:w="1590" w:type="dxa"/>
            <w:tcBorders>
              <w:top w:val="single" w:sz="8" w:space="0" w:color="AFABAB"/>
              <w:left w:val="nil"/>
              <w:bottom w:val="single" w:sz="8" w:space="0" w:color="AFABAB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A2820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Water</w:t>
            </w:r>
          </w:p>
        </w:tc>
        <w:tc>
          <w:tcPr>
            <w:tcW w:w="1592" w:type="dxa"/>
            <w:tcBorders>
              <w:top w:val="single" w:sz="8" w:space="0" w:color="AFABAB"/>
              <w:left w:val="nil"/>
              <w:bottom w:val="single" w:sz="8" w:space="0" w:color="AFABAB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6276AB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6F663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B0717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FDD24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77A9E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BEF0A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22B40C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61FC7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single" w:sz="8" w:space="0" w:color="AFABAB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200FD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556792FE" w14:textId="77777777" w:rsidTr="00DB771E">
        <w:trPr>
          <w:gridAfter w:val="1"/>
          <w:wAfter w:w="10" w:type="dxa"/>
          <w:trHeight w:val="322"/>
        </w:trPr>
        <w:tc>
          <w:tcPr>
            <w:tcW w:w="1590" w:type="dxa"/>
            <w:vMerge w:val="restart"/>
            <w:tcBorders>
              <w:top w:val="single" w:sz="8" w:space="0" w:color="AFABAB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8AF17D" w14:textId="77777777" w:rsidR="00DB771E" w:rsidRPr="00D00586" w:rsidRDefault="00DB771E" w:rsidP="00DB771E">
            <w:pPr>
              <w:spacing w:before="0" w:after="0"/>
              <w:jc w:val="center"/>
              <w:textAlignment w:val="center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Diamino 1</w:t>
            </w:r>
          </w:p>
        </w:tc>
        <w:tc>
          <w:tcPr>
            <w:tcW w:w="1592" w:type="dxa"/>
            <w:tcBorders>
              <w:top w:val="single" w:sz="8" w:space="0" w:color="AFABAB"/>
              <w:left w:val="nil"/>
              <w:bottom w:val="nil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5F32C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0.5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2D065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591AF6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6C23A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A0F18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5D6C95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1B42A1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63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D804AA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50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37AFF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25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</w:tr>
      <w:tr w:rsidR="00DB771E" w:rsidRPr="00D00586" w14:paraId="38262DEA" w14:textId="77777777" w:rsidTr="00DB771E">
        <w:trPr>
          <w:gridAfter w:val="1"/>
          <w:wAfter w:w="10" w:type="dxa"/>
          <w:trHeight w:val="322"/>
        </w:trPr>
        <w:tc>
          <w:tcPr>
            <w:tcW w:w="0" w:type="auto"/>
            <w:vMerge/>
            <w:tcBorders>
              <w:top w:val="single" w:sz="8" w:space="0" w:color="AFABAB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7EED73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67F9B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E3D061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BDD1A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21119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ADB05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52E0A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807766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71680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75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AFFA6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</w:tr>
      <w:tr w:rsidR="00DB771E" w:rsidRPr="00D00586" w14:paraId="313F91E0" w14:textId="77777777" w:rsidTr="00DB771E">
        <w:trPr>
          <w:gridAfter w:val="1"/>
          <w:wAfter w:w="10" w:type="dxa"/>
          <w:trHeight w:val="322"/>
        </w:trPr>
        <w:tc>
          <w:tcPr>
            <w:tcW w:w="0" w:type="auto"/>
            <w:vMerge/>
            <w:tcBorders>
              <w:top w:val="single" w:sz="8" w:space="0" w:color="AFABAB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BC4473" w14:textId="77777777" w:rsidR="00DB771E" w:rsidRPr="00D00586" w:rsidRDefault="00DB771E" w:rsidP="00DB771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ZA" w:eastAsia="en-ZA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000000"/>
              <w:right w:val="single" w:sz="8" w:space="0" w:color="AFABAB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9AAC77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2.5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c</w:t>
            </w:r>
          </w:p>
        </w:tc>
        <w:tc>
          <w:tcPr>
            <w:tcW w:w="725" w:type="dxa"/>
            <w:tcBorders>
              <w:top w:val="nil"/>
              <w:left w:val="single" w:sz="8" w:space="0" w:color="AFABAB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D75660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99888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FD9CC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7381FE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4E93A3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82AE0F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5C20C2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618BDD" w14:textId="77777777" w:rsidR="00DB771E" w:rsidRPr="00D00586" w:rsidRDefault="00DB771E" w:rsidP="00DB771E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24"/>
                <w:lang w:val="en-ZA" w:eastAsia="en-ZA"/>
              </w:rPr>
            </w:pPr>
            <w:r w:rsidRPr="00D00586">
              <w:rPr>
                <w:rFonts w:eastAsia="Times New Roman" w:cs="Times New Roman"/>
                <w:color w:val="000000"/>
                <w:kern w:val="24"/>
                <w:szCs w:val="24"/>
                <w:lang w:val="en-ZA" w:eastAsia="en-ZA"/>
              </w:rPr>
              <w:t>100</w:t>
            </w:r>
            <w:r w:rsidRPr="00D00586">
              <w:rPr>
                <w:rFonts w:eastAsia="Times New Roman" w:cs="Times New Roman"/>
                <w:color w:val="000000"/>
                <w:kern w:val="24"/>
                <w:position w:val="7"/>
                <w:szCs w:val="24"/>
                <w:vertAlign w:val="superscript"/>
                <w:lang w:val="en-ZA" w:eastAsia="en-ZA"/>
              </w:rPr>
              <w:t>b</w:t>
            </w:r>
          </w:p>
        </w:tc>
      </w:tr>
    </w:tbl>
    <w:p w14:paraId="56D07F0A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24AD5FF8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1064864D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19F841EC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47F0AB30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29790001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3C81D99B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1687FCEA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2C28F94F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4B4929B5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1FCAEE15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24360EEE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0A07D547" w14:textId="10DEB5F7" w:rsidR="00DB771E" w:rsidRDefault="00DB771E" w:rsidP="00DB771E">
      <w:pPr>
        <w:spacing w:after="120"/>
        <w:jc w:val="both"/>
        <w:rPr>
          <w:rFonts w:cs="Times New Roman"/>
          <w:szCs w:val="24"/>
        </w:rPr>
      </w:pPr>
      <w:r w:rsidRPr="00D00586">
        <w:rPr>
          <w:rFonts w:cs="Times New Roman"/>
          <w:szCs w:val="24"/>
        </w:rPr>
        <w:t>The data shows the average of two experiments</w:t>
      </w:r>
      <w:r w:rsidR="004C498C">
        <w:rPr>
          <w:rFonts w:cs="Times New Roman"/>
          <w:szCs w:val="24"/>
        </w:rPr>
        <w:t xml:space="preserve"> with </w:t>
      </w:r>
      <w:r w:rsidRPr="00D00586">
        <w:rPr>
          <w:rFonts w:cs="Times New Roman"/>
          <w:szCs w:val="24"/>
        </w:rPr>
        <w:t xml:space="preserve">5 leaflets per time point. </w:t>
      </w:r>
      <w:r w:rsidR="004C498C">
        <w:rPr>
          <w:rFonts w:cs="Times New Roman"/>
          <w:szCs w:val="24"/>
        </w:rPr>
        <w:t>The significance</w:t>
      </w:r>
      <w:r w:rsidRPr="00D00586">
        <w:rPr>
          <w:rFonts w:cs="Times New Roman"/>
          <w:szCs w:val="24"/>
        </w:rPr>
        <w:t xml:space="preserve"> between concentrations for each polymer </w:t>
      </w:r>
      <w:r w:rsidR="004C498C">
        <w:rPr>
          <w:rFonts w:cs="Times New Roman"/>
          <w:szCs w:val="24"/>
        </w:rPr>
        <w:t>is</w:t>
      </w:r>
      <w:r w:rsidRPr="00D00586">
        <w:rPr>
          <w:rFonts w:cs="Times New Roman"/>
          <w:szCs w:val="24"/>
        </w:rPr>
        <w:t xml:space="preserve"> denoted with letters; </w:t>
      </w:r>
      <w:r w:rsidR="004C498C">
        <w:rPr>
          <w:rFonts w:cs="Times New Roman"/>
          <w:szCs w:val="24"/>
        </w:rPr>
        <w:t xml:space="preserve">the </w:t>
      </w:r>
      <w:r w:rsidRPr="00D00586">
        <w:rPr>
          <w:rFonts w:cs="Times New Roman"/>
          <w:szCs w:val="24"/>
        </w:rPr>
        <w:t>same letters are not statistically different from each other (Kruskal Wallis test followed by Dunn’s post-hoc test, p &lt; 0.05).</w:t>
      </w:r>
    </w:p>
    <w:p w14:paraId="765CA18F" w14:textId="77777777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77F311D8" w14:textId="2FBADB12" w:rsidR="00DB771E" w:rsidRDefault="00DB771E" w:rsidP="00DB771E">
      <w:pPr>
        <w:spacing w:after="120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86EA021" wp14:editId="4B61DC47">
            <wp:extent cx="6208395" cy="3104515"/>
            <wp:effectExtent l="0" t="0" r="1905" b="635"/>
            <wp:docPr id="478079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E1B8" w14:textId="77777777" w:rsidR="00DB771E" w:rsidRPr="00D00586" w:rsidRDefault="00DB771E" w:rsidP="00DB771E">
      <w:pPr>
        <w:jc w:val="both"/>
        <w:rPr>
          <w:lang w:val="en-ZA"/>
        </w:rPr>
      </w:pPr>
      <w:r w:rsidRPr="00D00586">
        <w:rPr>
          <w:b/>
          <w:bCs/>
          <w:lang w:val="en-ZA"/>
        </w:rPr>
        <w:t>Figure S1</w:t>
      </w:r>
      <w:r w:rsidRPr="00D00586">
        <w:rPr>
          <w:lang w:val="en-ZA"/>
        </w:rPr>
        <w:t>: The fractionation process applied to obtain the diamino 3 (D3) MW fractions. The representative monomer structures are not drawn to true MW sizes. Created with BioRender.com.</w:t>
      </w:r>
    </w:p>
    <w:p w14:paraId="1D46CE50" w14:textId="77777777" w:rsidR="00DB771E" w:rsidRDefault="00DB771E" w:rsidP="00DB771E">
      <w:pPr>
        <w:jc w:val="both"/>
        <w:rPr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2270698A" wp14:editId="117B643D">
            <wp:extent cx="6208395" cy="5744210"/>
            <wp:effectExtent l="0" t="0" r="1905" b="8890"/>
            <wp:docPr id="967751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4C27" w14:textId="2827266A" w:rsidR="00DB771E" w:rsidRDefault="00DB771E" w:rsidP="00DB771E">
      <w:pPr>
        <w:jc w:val="both"/>
        <w:rPr>
          <w:lang w:val="en-GB"/>
        </w:rPr>
      </w:pPr>
      <w:r w:rsidRPr="00D00586">
        <w:rPr>
          <w:b/>
          <w:bCs/>
          <w:lang w:val="en-GB"/>
        </w:rPr>
        <w:t>Figure S2</w:t>
      </w:r>
      <w:r w:rsidRPr="00D00586">
        <w:rPr>
          <w:lang w:val="en-GB"/>
        </w:rPr>
        <w:t xml:space="preserve">: </w:t>
      </w:r>
      <w:r w:rsidRPr="00D00586">
        <w:rPr>
          <w:b/>
          <w:bCs/>
          <w:lang w:val="en-GB"/>
        </w:rPr>
        <w:t xml:space="preserve">(A) </w:t>
      </w:r>
      <w:r w:rsidRPr="00D00586">
        <w:rPr>
          <w:lang w:val="en-GB"/>
        </w:rPr>
        <w:t xml:space="preserve">Schematic of the experimental set-up used for the </w:t>
      </w:r>
      <w:r w:rsidRPr="00D00586">
        <w:rPr>
          <w:i/>
          <w:iCs/>
          <w:lang w:val="en-GB"/>
        </w:rPr>
        <w:t xml:space="preserve">in vivo </w:t>
      </w:r>
      <w:r w:rsidRPr="00D00586">
        <w:rPr>
          <w:lang w:val="en-GB"/>
        </w:rPr>
        <w:t xml:space="preserve">experiments. 5-week-old tomato plants were treated with a foliar spray of </w:t>
      </w:r>
      <w:r w:rsidR="004C498C">
        <w:rPr>
          <w:lang w:val="en-GB"/>
        </w:rPr>
        <w:t>chitosan or aminochitosan</w:t>
      </w:r>
      <w:r w:rsidRPr="00D00586">
        <w:rPr>
          <w:lang w:val="en-GB"/>
        </w:rPr>
        <w:t xml:space="preserve"> at a concentration of 0.5, 1 or 2.5 mg/mL or control (water or 0.1% (v/v) acetic acid). After 24h, leaves were excised and inoculated with either a solution of </w:t>
      </w:r>
      <w:r w:rsidRPr="00D00586">
        <w:rPr>
          <w:i/>
          <w:iCs/>
          <w:lang w:val="en-GB"/>
        </w:rPr>
        <w:t>B. cinerea</w:t>
      </w:r>
      <w:r w:rsidRPr="00D00586">
        <w:rPr>
          <w:lang w:val="en-GB"/>
        </w:rPr>
        <w:t xml:space="preserve"> spore suspension </w:t>
      </w:r>
      <w:r w:rsidRPr="00D00586">
        <w:t>(1 x 10</w:t>
      </w:r>
      <w:r w:rsidRPr="00D00586">
        <w:rPr>
          <w:vertAlign w:val="superscript"/>
        </w:rPr>
        <w:t>6</w:t>
      </w:r>
      <w:r w:rsidRPr="00D00586">
        <w:t xml:space="preserve"> spores/mL containing 0.01 M glucose and 6.7 mM K</w:t>
      </w:r>
      <w:r w:rsidR="005B3B26">
        <w:t>H</w:t>
      </w:r>
      <w:r w:rsidRPr="00D00586">
        <w:rPr>
          <w:vertAlign w:val="subscript"/>
        </w:rPr>
        <w:t>2</w:t>
      </w:r>
      <w:r w:rsidRPr="00D00586">
        <w:t>PO</w:t>
      </w:r>
      <w:r w:rsidRPr="00D00586">
        <w:rPr>
          <w:vertAlign w:val="subscript"/>
        </w:rPr>
        <w:t>4</w:t>
      </w:r>
      <w:r w:rsidRPr="00D00586">
        <w:t>)</w:t>
      </w:r>
      <w:r w:rsidRPr="00D00586">
        <w:rPr>
          <w:i/>
          <w:iCs/>
        </w:rPr>
        <w:t xml:space="preserve"> </w:t>
      </w:r>
      <w:r w:rsidRPr="00D00586">
        <w:t>or mock solution (water containing 0.01 M glucose and 6.7 mM K</w:t>
      </w:r>
      <w:r w:rsidR="005B3B26">
        <w:t>H</w:t>
      </w:r>
      <w:r w:rsidRPr="00D00586">
        <w:rPr>
          <w:vertAlign w:val="subscript"/>
        </w:rPr>
        <w:t>2</w:t>
      </w:r>
      <w:r w:rsidRPr="00D00586">
        <w:t>PO</w:t>
      </w:r>
      <w:r w:rsidRPr="00D00586">
        <w:rPr>
          <w:vertAlign w:val="subscript"/>
        </w:rPr>
        <w:t>4</w:t>
      </w:r>
      <w:r w:rsidRPr="00D00586">
        <w:t>)</w:t>
      </w:r>
      <w:r w:rsidRPr="00D00586">
        <w:rPr>
          <w:lang w:val="en-GB"/>
        </w:rPr>
        <w:t>. Leaves or leaflets were harvested at varying time points for phenotyping, gene expression or proteomics analysis. Disease progression is measured by the presence or absence of necrotic/resistant lesions. This figure was created with BioRender.com</w:t>
      </w:r>
      <w:r w:rsidR="005B3B26">
        <w:rPr>
          <w:lang w:val="en-GB"/>
        </w:rPr>
        <w:t>.</w:t>
      </w:r>
      <w:r w:rsidRPr="00D00586">
        <w:rPr>
          <w:lang w:val="en-GB"/>
        </w:rPr>
        <w:t xml:space="preserve"> </w:t>
      </w:r>
      <w:r w:rsidRPr="00D00586">
        <w:rPr>
          <w:b/>
          <w:bCs/>
          <w:lang w:val="en-GB"/>
        </w:rPr>
        <w:t xml:space="preserve">(B) </w:t>
      </w:r>
      <w:r w:rsidRPr="00D00586">
        <w:rPr>
          <w:lang w:val="en-GB"/>
        </w:rPr>
        <w:t xml:space="preserve">The range of phenotypical differences between spreading (susceptible) and resistant lesions. </w:t>
      </w:r>
      <w:r w:rsidR="004C498C">
        <w:rPr>
          <w:lang w:val="en-GB"/>
        </w:rPr>
        <w:t>S</w:t>
      </w:r>
      <w:r w:rsidRPr="00D00586">
        <w:rPr>
          <w:lang w:val="en-GB"/>
        </w:rPr>
        <w:t>preading and necrotic lesion</w:t>
      </w:r>
      <w:r w:rsidR="004C498C">
        <w:rPr>
          <w:lang w:val="en-GB"/>
        </w:rPr>
        <w:t>s</w:t>
      </w:r>
      <w:r w:rsidRPr="00D00586">
        <w:rPr>
          <w:lang w:val="en-GB"/>
        </w:rPr>
        <w:t xml:space="preserve"> </w:t>
      </w:r>
      <w:r w:rsidR="004C498C">
        <w:rPr>
          <w:lang w:val="en-GB"/>
        </w:rPr>
        <w:t>appear</w:t>
      </w:r>
      <w:r w:rsidRPr="00D00586">
        <w:rPr>
          <w:lang w:val="en-GB"/>
        </w:rPr>
        <w:t xml:space="preserve"> as a mixture of “wet”, light brown and with/without grey mycelia typically characterized by the initial appearance of primary dark brown necrotic spots around the edge of the lesion between 24 and 48 hpi. </w:t>
      </w:r>
      <w:r w:rsidR="004C498C">
        <w:rPr>
          <w:lang w:val="en-GB"/>
        </w:rPr>
        <w:t xml:space="preserve">At </w:t>
      </w:r>
      <w:r w:rsidRPr="00D00586">
        <w:rPr>
          <w:lang w:val="en-GB"/>
        </w:rPr>
        <w:t>72 hpi</w:t>
      </w:r>
      <w:r w:rsidR="004C498C">
        <w:rPr>
          <w:lang w:val="en-GB"/>
        </w:rPr>
        <w:t xml:space="preserve"> the lesions</w:t>
      </w:r>
      <w:r w:rsidRPr="00D00586">
        <w:rPr>
          <w:lang w:val="en-GB"/>
        </w:rPr>
        <w:t xml:space="preserve"> vary in size with the defining trait of a “wet” or “water-soaked” lesion.</w:t>
      </w:r>
      <w:r w:rsidRPr="00D00586">
        <w:rPr>
          <w:b/>
          <w:bCs/>
          <w:lang w:val="en-GB"/>
        </w:rPr>
        <w:t xml:space="preserve"> </w:t>
      </w:r>
      <w:r w:rsidR="004C498C">
        <w:rPr>
          <w:lang w:val="en-GB"/>
        </w:rPr>
        <w:t>R</w:t>
      </w:r>
      <w:r w:rsidRPr="00D00586">
        <w:rPr>
          <w:lang w:val="en-GB"/>
        </w:rPr>
        <w:t>esistant lesion</w:t>
      </w:r>
      <w:r w:rsidR="004C498C">
        <w:rPr>
          <w:lang w:val="en-GB"/>
        </w:rPr>
        <w:t>s</w:t>
      </w:r>
      <w:r w:rsidRPr="00D00586">
        <w:rPr>
          <w:lang w:val="en-GB"/>
        </w:rPr>
        <w:t xml:space="preserve"> </w:t>
      </w:r>
      <w:r w:rsidR="004C498C">
        <w:rPr>
          <w:lang w:val="en-GB"/>
        </w:rPr>
        <w:t>are</w:t>
      </w:r>
      <w:r w:rsidRPr="00D00586">
        <w:rPr>
          <w:lang w:val="en-GB"/>
        </w:rPr>
        <w:t xml:space="preserve"> lesion</w:t>
      </w:r>
      <w:r w:rsidR="004C498C">
        <w:rPr>
          <w:lang w:val="en-GB"/>
        </w:rPr>
        <w:t>s</w:t>
      </w:r>
      <w:r w:rsidRPr="00D00586">
        <w:rPr>
          <w:lang w:val="en-GB"/>
        </w:rPr>
        <w:t xml:space="preserve"> that do not progress to a “water-soaked” lesion and instead </w:t>
      </w:r>
      <w:r w:rsidR="004C498C">
        <w:rPr>
          <w:lang w:val="en-GB"/>
        </w:rPr>
        <w:t>remain</w:t>
      </w:r>
      <w:r w:rsidRPr="00D00586">
        <w:rPr>
          <w:lang w:val="en-GB"/>
        </w:rPr>
        <w:t xml:space="preserve"> as dark </w:t>
      </w:r>
      <w:r w:rsidRPr="00D00586">
        <w:rPr>
          <w:lang w:val="en-GB"/>
        </w:rPr>
        <w:lastRenderedPageBreak/>
        <w:t xml:space="preserve">brown spots in </w:t>
      </w:r>
      <w:r w:rsidR="008F29E2">
        <w:rPr>
          <w:lang w:val="en-GB"/>
        </w:rPr>
        <w:t xml:space="preserve">a </w:t>
      </w:r>
      <w:r w:rsidRPr="00D00586">
        <w:rPr>
          <w:lang w:val="en-GB"/>
        </w:rPr>
        <w:t>small contained area. Resistant lesions may appear macroscopically as scatterings of brown or as white, dry, hardened, circular lesions.</w:t>
      </w:r>
    </w:p>
    <w:p w14:paraId="75FD34C1" w14:textId="5CF6942B" w:rsidR="00DB771E" w:rsidRDefault="00DB771E" w:rsidP="00DB771E">
      <w:pPr>
        <w:jc w:val="both"/>
      </w:pPr>
      <w:r>
        <w:rPr>
          <w:noProof/>
        </w:rPr>
        <w:lastRenderedPageBreak/>
        <w:drawing>
          <wp:inline distT="0" distB="0" distL="0" distR="0" wp14:anchorId="6E4BDDC9" wp14:editId="63011344">
            <wp:extent cx="5856605" cy="8613140"/>
            <wp:effectExtent l="0" t="0" r="0" b="0"/>
            <wp:docPr id="208713265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32653" name="Picture 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586">
        <w:rPr>
          <w:b/>
          <w:bCs/>
          <w:lang w:val="en-ZA"/>
        </w:rPr>
        <w:lastRenderedPageBreak/>
        <w:t>Figure S3</w:t>
      </w:r>
      <w:r w:rsidRPr="00D00586">
        <w:rPr>
          <w:lang w:val="en-ZA"/>
        </w:rPr>
        <w:t>: The effects of direct or systemic chitosan</w:t>
      </w:r>
      <w:r w:rsidR="004C498C">
        <w:rPr>
          <w:lang w:val="en-ZA"/>
        </w:rPr>
        <w:t xml:space="preserve"> (CHT)</w:t>
      </w:r>
      <w:r w:rsidRPr="00D00586">
        <w:rPr>
          <w:lang w:val="en-ZA"/>
        </w:rPr>
        <w:t>, diamino 1</w:t>
      </w:r>
      <w:r w:rsidR="004C498C">
        <w:rPr>
          <w:lang w:val="en-ZA"/>
        </w:rPr>
        <w:t xml:space="preserve"> (D1)</w:t>
      </w:r>
      <w:r w:rsidRPr="00D00586">
        <w:rPr>
          <w:lang w:val="en-ZA"/>
        </w:rPr>
        <w:t xml:space="preserve"> and diamino 2 </w:t>
      </w:r>
      <w:r w:rsidR="004C498C">
        <w:rPr>
          <w:lang w:val="en-ZA"/>
        </w:rPr>
        <w:t xml:space="preserve">(D2) </w:t>
      </w:r>
      <w:r w:rsidRPr="00D00586">
        <w:rPr>
          <w:lang w:val="en-ZA"/>
        </w:rPr>
        <w:t xml:space="preserve">treatment on leaf health including photosynthetic parameters after </w:t>
      </w:r>
      <w:r w:rsidRPr="00D00586">
        <w:rPr>
          <w:i/>
          <w:iCs/>
          <w:lang w:val="en-ZA"/>
        </w:rPr>
        <w:t>B. cinerea</w:t>
      </w:r>
      <w:r w:rsidRPr="00D00586">
        <w:rPr>
          <w:lang w:val="en-ZA"/>
        </w:rPr>
        <w:t xml:space="preserve"> inoculation at 4 days post inoculation (dpi). </w:t>
      </w:r>
      <w:r w:rsidRPr="00D00586">
        <w:rPr>
          <w:lang w:val="en"/>
        </w:rPr>
        <w:t>Lesion development and progression are noted by the spreading of dark red/black (F</w:t>
      </w:r>
      <w:r w:rsidRPr="00D00586">
        <w:rPr>
          <w:vertAlign w:val="subscript"/>
          <w:lang w:val="en"/>
        </w:rPr>
        <w:t>v</w:t>
      </w:r>
      <w:r w:rsidRPr="00D00586">
        <w:rPr>
          <w:lang w:val="en"/>
        </w:rPr>
        <w:t>/F</w:t>
      </w:r>
      <w:r w:rsidRPr="00D00586">
        <w:rPr>
          <w:vertAlign w:val="subscript"/>
          <w:lang w:val="en"/>
        </w:rPr>
        <w:t>m</w:t>
      </w:r>
      <w:r w:rsidRPr="00D00586">
        <w:rPr>
          <w:lang w:val="en"/>
        </w:rPr>
        <w:t>, 0-0.5) or yellow/white (ChlIdx, 0-1.8) spots as measured by the false color scales. Healthy leaf tissue is noted as yellow/green (F</w:t>
      </w:r>
      <w:r w:rsidRPr="00D00586">
        <w:rPr>
          <w:vertAlign w:val="subscript"/>
          <w:lang w:val="en"/>
        </w:rPr>
        <w:t>v</w:t>
      </w:r>
      <w:r w:rsidRPr="00D00586">
        <w:rPr>
          <w:lang w:val="en"/>
        </w:rPr>
        <w:t>/F</w:t>
      </w:r>
      <w:r w:rsidRPr="00D00586">
        <w:rPr>
          <w:vertAlign w:val="subscript"/>
          <w:lang w:val="en"/>
        </w:rPr>
        <w:t>m</w:t>
      </w:r>
      <w:r w:rsidRPr="00D00586">
        <w:rPr>
          <w:lang w:val="en"/>
        </w:rPr>
        <w:t xml:space="preserve">,0.7-0.9) or green (ChlIdx, 1.9-2.5) by the false color scales. </w:t>
      </w:r>
      <w:r w:rsidRPr="00D00586">
        <w:rPr>
          <w:b/>
          <w:bCs/>
          <w:lang w:val="en-ZA"/>
        </w:rPr>
        <w:t>(A)</w:t>
      </w:r>
      <w:r w:rsidRPr="00D00586">
        <w:rPr>
          <w:lang w:val="en-ZA"/>
        </w:rPr>
        <w:t xml:space="preserve"> RGB images of leaves treated directly at 4 dpi. </w:t>
      </w:r>
      <w:r w:rsidRPr="00D00586">
        <w:rPr>
          <w:b/>
          <w:bCs/>
          <w:lang w:val="en-ZA"/>
        </w:rPr>
        <w:t>(B)</w:t>
      </w:r>
      <w:r w:rsidRPr="00D00586">
        <w:rPr>
          <w:lang w:val="en-ZA"/>
        </w:rPr>
        <w:t xml:space="preserve"> RGB images of leaves treated systemically at 4 dpi. </w:t>
      </w:r>
      <w:r w:rsidRPr="00D00586">
        <w:t>The images represent the average phenotype of 2 experiments.</w:t>
      </w:r>
      <w:r w:rsidRPr="00D00586">
        <w:rPr>
          <w:lang w:val="en-ZA"/>
        </w:rPr>
        <w:t xml:space="preserve"> </w:t>
      </w:r>
      <w:r w:rsidRPr="00D00586">
        <w:rPr>
          <w:b/>
          <w:bCs/>
          <w:lang w:val="en-ZA"/>
        </w:rPr>
        <w:t>(C)</w:t>
      </w:r>
      <w:r w:rsidRPr="00D00586">
        <w:rPr>
          <w:lang w:val="en-ZA"/>
        </w:rPr>
        <w:t xml:space="preserve"> RGB, F</w:t>
      </w:r>
      <w:r w:rsidRPr="00D00586">
        <w:rPr>
          <w:vertAlign w:val="subscript"/>
          <w:lang w:val="en-ZA"/>
        </w:rPr>
        <w:t>v</w:t>
      </w:r>
      <w:r w:rsidRPr="00D00586">
        <w:rPr>
          <w:lang w:val="en-ZA"/>
        </w:rPr>
        <w:t>/F</w:t>
      </w:r>
      <w:r w:rsidRPr="00D00586">
        <w:rPr>
          <w:vertAlign w:val="subscript"/>
          <w:lang w:val="en-ZA"/>
        </w:rPr>
        <w:t>m</w:t>
      </w:r>
      <w:r w:rsidRPr="00D00586">
        <w:rPr>
          <w:lang w:val="en-ZA"/>
        </w:rPr>
        <w:t xml:space="preserve">, AriIdx and ChlIdx images of direct D1 treatment in mock-inoculated leaflets at 4 dpi with a detailed view of the effects of direct treatment with 1 and 2.5 mg/mL. </w:t>
      </w:r>
      <w:r w:rsidRPr="00D00586">
        <w:rPr>
          <w:b/>
          <w:bCs/>
          <w:lang w:val="en-ZA"/>
        </w:rPr>
        <w:t>(D)</w:t>
      </w:r>
      <w:r w:rsidRPr="00D00586">
        <w:rPr>
          <w:lang w:val="en-ZA"/>
        </w:rPr>
        <w:t xml:space="preserve"> RGB, F</w:t>
      </w:r>
      <w:r w:rsidRPr="00D00586">
        <w:rPr>
          <w:vertAlign w:val="subscript"/>
          <w:lang w:val="en-ZA"/>
        </w:rPr>
        <w:t>v</w:t>
      </w:r>
      <w:r w:rsidRPr="00D00586">
        <w:rPr>
          <w:lang w:val="en-ZA"/>
        </w:rPr>
        <w:t>/F</w:t>
      </w:r>
      <w:r w:rsidRPr="00D00586">
        <w:rPr>
          <w:vertAlign w:val="subscript"/>
          <w:lang w:val="en-ZA"/>
        </w:rPr>
        <w:t>m</w:t>
      </w:r>
      <w:r w:rsidRPr="00D00586">
        <w:rPr>
          <w:lang w:val="en-ZA"/>
        </w:rPr>
        <w:t xml:space="preserve">, AriIdx and ChlIdx images of systemic D1 treatment in mock-inoculated leaflets at 4 dpi with a detailed view of the effects of direct treatment with 1 and 2.5 mg/mL.  Leaves were inoculated 24 hours after polymer spraying with two </w:t>
      </w:r>
      <w:r w:rsidRPr="00D00586">
        <w:rPr>
          <w:lang w:val="en-GB"/>
        </w:rPr>
        <w:t xml:space="preserve">10 µL droplets of a water solution </w:t>
      </w:r>
      <w:r w:rsidRPr="00D00586">
        <w:t>containing 0.01 M glucose and 6.7 mM K</w:t>
      </w:r>
      <w:r w:rsidR="005B3B26">
        <w:t>H</w:t>
      </w:r>
      <w:r w:rsidRPr="00D00586">
        <w:rPr>
          <w:vertAlign w:val="subscript"/>
        </w:rPr>
        <w:t>2</w:t>
      </w:r>
      <w:r w:rsidRPr="00D00586">
        <w:t>PO</w:t>
      </w:r>
      <w:r w:rsidRPr="00D00586">
        <w:rPr>
          <w:vertAlign w:val="subscript"/>
        </w:rPr>
        <w:t>4</w:t>
      </w:r>
      <w:r w:rsidRPr="00D00586">
        <w:t>. The images represent the average phenotype of 2 experiments.</w:t>
      </w:r>
    </w:p>
    <w:p w14:paraId="09C86B5B" w14:textId="77777777" w:rsidR="00DB771E" w:rsidRDefault="00DB771E" w:rsidP="00DB771E">
      <w:pPr>
        <w:jc w:val="both"/>
      </w:pPr>
    </w:p>
    <w:p w14:paraId="590DA0B4" w14:textId="77777777" w:rsidR="00DB771E" w:rsidRDefault="00DB771E" w:rsidP="00DB771E">
      <w:pPr>
        <w:jc w:val="both"/>
      </w:pPr>
    </w:p>
    <w:p w14:paraId="4035A7A0" w14:textId="77777777" w:rsidR="00DB771E" w:rsidRDefault="00DB771E" w:rsidP="00DB771E">
      <w:pPr>
        <w:jc w:val="both"/>
      </w:pPr>
    </w:p>
    <w:p w14:paraId="3A1C948C" w14:textId="77777777" w:rsidR="00DB771E" w:rsidRDefault="00DB771E" w:rsidP="00DB771E">
      <w:pPr>
        <w:jc w:val="both"/>
      </w:pPr>
    </w:p>
    <w:p w14:paraId="678F0B1A" w14:textId="77777777" w:rsidR="00DB771E" w:rsidRPr="00D00586" w:rsidRDefault="00DB771E" w:rsidP="00DB771E">
      <w:pPr>
        <w:jc w:val="both"/>
      </w:pPr>
    </w:p>
    <w:p w14:paraId="0DDDBFFC" w14:textId="292A6F51" w:rsidR="00DB771E" w:rsidRPr="00D00586" w:rsidRDefault="00DB771E" w:rsidP="00DB771E">
      <w:pPr>
        <w:jc w:val="both"/>
      </w:pPr>
      <w:r>
        <w:rPr>
          <w:noProof/>
        </w:rPr>
        <w:lastRenderedPageBreak/>
        <w:drawing>
          <wp:inline distT="0" distB="0" distL="0" distR="0" wp14:anchorId="100B9B8A" wp14:editId="3C283546">
            <wp:extent cx="6208395" cy="4137025"/>
            <wp:effectExtent l="0" t="0" r="1905" b="0"/>
            <wp:docPr id="622398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586">
        <w:rPr>
          <w:b/>
          <w:bCs/>
          <w:lang w:val="en-ZA"/>
        </w:rPr>
        <w:t>Figure S4</w:t>
      </w:r>
      <w:r w:rsidRPr="00D00586">
        <w:rPr>
          <w:lang w:val="en-ZA"/>
        </w:rPr>
        <w:t>:</w:t>
      </w:r>
      <w:r w:rsidRPr="00D00586">
        <w:rPr>
          <w:b/>
          <w:bCs/>
          <w:lang w:val="en-ZA"/>
        </w:rPr>
        <w:t xml:space="preserve"> </w:t>
      </w:r>
      <w:r w:rsidRPr="00D00586">
        <w:rPr>
          <w:lang w:val="en-ZA"/>
        </w:rPr>
        <w:t>The effects of chitosan</w:t>
      </w:r>
      <w:r w:rsidR="005B3B26">
        <w:rPr>
          <w:lang w:val="en-ZA"/>
        </w:rPr>
        <w:t xml:space="preserve"> (CHT)</w:t>
      </w:r>
      <w:r w:rsidRPr="00D00586">
        <w:rPr>
          <w:lang w:val="en-ZA"/>
        </w:rPr>
        <w:t>, diamino 1</w:t>
      </w:r>
      <w:r w:rsidR="005B3B26">
        <w:rPr>
          <w:lang w:val="en-ZA"/>
        </w:rPr>
        <w:t xml:space="preserve"> (D1)</w:t>
      </w:r>
      <w:r w:rsidRPr="00D00586">
        <w:rPr>
          <w:lang w:val="en-ZA"/>
        </w:rPr>
        <w:t xml:space="preserve"> and diamino 2</w:t>
      </w:r>
      <w:r w:rsidR="005B3B26">
        <w:rPr>
          <w:lang w:val="en-ZA"/>
        </w:rPr>
        <w:t xml:space="preserve"> (D2)</w:t>
      </w:r>
      <w:r w:rsidRPr="00D00586">
        <w:rPr>
          <w:lang w:val="en-ZA"/>
        </w:rPr>
        <w:t xml:space="preserve"> on the F</w:t>
      </w:r>
      <w:r w:rsidRPr="00D00586">
        <w:rPr>
          <w:vertAlign w:val="subscript"/>
          <w:lang w:val="en-ZA"/>
        </w:rPr>
        <w:t>v</w:t>
      </w:r>
      <w:r w:rsidRPr="00D00586">
        <w:rPr>
          <w:lang w:val="en-ZA"/>
        </w:rPr>
        <w:t>/F</w:t>
      </w:r>
      <w:r w:rsidRPr="00D00586">
        <w:rPr>
          <w:vertAlign w:val="subscript"/>
          <w:lang w:val="en-ZA"/>
        </w:rPr>
        <w:t>m</w:t>
      </w:r>
      <w:r w:rsidRPr="00D00586">
        <w:rPr>
          <w:lang w:val="en-ZA"/>
        </w:rPr>
        <w:t xml:space="preserve"> of mock and </w:t>
      </w:r>
      <w:r w:rsidRPr="00D00586">
        <w:rPr>
          <w:i/>
          <w:iCs/>
          <w:lang w:val="en-ZA"/>
        </w:rPr>
        <w:t>B. cinerea</w:t>
      </w:r>
      <w:r w:rsidRPr="00D00586">
        <w:rPr>
          <w:lang w:val="en-ZA"/>
        </w:rPr>
        <w:t xml:space="preserve"> inoculated leaves, 4 days post-inoculation</w:t>
      </w:r>
      <w:r w:rsidRPr="00D00586">
        <w:rPr>
          <w:i/>
          <w:iCs/>
          <w:lang w:val="en-ZA"/>
        </w:rPr>
        <w:t xml:space="preserve">. </w:t>
      </w:r>
      <w:r w:rsidRPr="00D00586">
        <w:t xml:space="preserve">Healthy leaf conditions are represented by levels 3, 4 and 5. Infected leaf conditions are represented by levels 1-2 with the highest severity of infection = level 1. n = 9 leaves, 45 leaflets per treatment. </w:t>
      </w:r>
    </w:p>
    <w:p w14:paraId="78240678" w14:textId="77777777" w:rsidR="00DB771E" w:rsidRDefault="00DB771E" w:rsidP="00DB771E">
      <w:pPr>
        <w:jc w:val="both"/>
        <w:rPr>
          <w:b/>
          <w:bCs/>
          <w:lang w:val="en-ZA"/>
        </w:rPr>
      </w:pPr>
      <w:r>
        <w:rPr>
          <w:noProof/>
        </w:rPr>
        <w:lastRenderedPageBreak/>
        <w:drawing>
          <wp:inline distT="0" distB="0" distL="0" distR="0" wp14:anchorId="561E56EF" wp14:editId="2216FEA7">
            <wp:extent cx="4169410" cy="8613140"/>
            <wp:effectExtent l="0" t="0" r="2540" b="0"/>
            <wp:docPr id="1481052755" name="Picture 6" descr="A collage of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52755" name="Picture 6" descr="A collage of green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E15E" w14:textId="34281A46" w:rsidR="00DB771E" w:rsidRPr="00D00586" w:rsidRDefault="00DB771E" w:rsidP="00DB771E">
      <w:pPr>
        <w:jc w:val="both"/>
        <w:rPr>
          <w:lang w:val="en-ZA"/>
        </w:rPr>
      </w:pPr>
      <w:r w:rsidRPr="00D00586">
        <w:rPr>
          <w:b/>
          <w:bCs/>
          <w:lang w:val="en-ZA"/>
        </w:rPr>
        <w:lastRenderedPageBreak/>
        <w:t>Figure S5</w:t>
      </w:r>
      <w:r w:rsidRPr="00D00586">
        <w:rPr>
          <w:lang w:val="en-ZA"/>
        </w:rPr>
        <w:t xml:space="preserve">: The phenotype of </w:t>
      </w:r>
      <w:r w:rsidRPr="00D00586">
        <w:rPr>
          <w:i/>
          <w:iCs/>
          <w:lang w:val="en-ZA"/>
        </w:rPr>
        <w:t xml:space="preserve">B. cinerea </w:t>
      </w:r>
      <w:r w:rsidRPr="00D00586">
        <w:rPr>
          <w:lang w:val="en-ZA"/>
        </w:rPr>
        <w:t xml:space="preserve">infected 5-week-old detached tomato leaves treated with various concentrations of diamino 3 (D3) and D3 MW fractions, at 4- and 6-days post inoculation (dpi). </w:t>
      </w:r>
      <w:r w:rsidRPr="00D00586">
        <w:rPr>
          <w:b/>
          <w:bCs/>
          <w:lang w:val="en-ZA"/>
        </w:rPr>
        <w:t xml:space="preserve">(A) </w:t>
      </w:r>
      <w:r w:rsidRPr="00D00586">
        <w:rPr>
          <w:lang w:val="en-ZA"/>
        </w:rPr>
        <w:t>Direct and systemic application of D3. (</w:t>
      </w:r>
      <w:r w:rsidRPr="00D00586">
        <w:rPr>
          <w:b/>
          <w:bCs/>
          <w:lang w:val="en-ZA"/>
        </w:rPr>
        <w:t xml:space="preserve">B) </w:t>
      </w:r>
      <w:r w:rsidRPr="00D00586">
        <w:rPr>
          <w:lang w:val="en-ZA"/>
        </w:rPr>
        <w:t xml:space="preserve">Direct effects of the MW fractions (F1-F3) </w:t>
      </w:r>
      <w:r w:rsidRPr="00D00586">
        <w:rPr>
          <w:b/>
          <w:bCs/>
          <w:lang w:val="en-ZA"/>
        </w:rPr>
        <w:t xml:space="preserve">(C) </w:t>
      </w:r>
      <w:r w:rsidRPr="00D00586">
        <w:rPr>
          <w:lang w:val="en-ZA"/>
        </w:rPr>
        <w:t xml:space="preserve">Systemic effects of the MW fractions (F1-F3). </w:t>
      </w:r>
      <w:r w:rsidRPr="00D00586">
        <w:rPr>
          <w:b/>
          <w:bCs/>
          <w:lang w:val="en-ZA"/>
        </w:rPr>
        <w:t>(D)</w:t>
      </w:r>
      <w:r w:rsidRPr="00D00586">
        <w:rPr>
          <w:lang w:val="en-ZA"/>
        </w:rPr>
        <w:t xml:space="preserve"> Direct and systemic treatment of 0.5 and 2.5 mg/mL of F2 in </w:t>
      </w:r>
      <w:r w:rsidRPr="00D00586">
        <w:rPr>
          <w:i/>
          <w:iCs/>
          <w:lang w:val="en-ZA"/>
        </w:rPr>
        <w:t>B. cinerea</w:t>
      </w:r>
      <w:r w:rsidRPr="00D00586">
        <w:rPr>
          <w:lang w:val="en-ZA"/>
        </w:rPr>
        <w:t xml:space="preserve"> inoculated leaves at 30 dpi. Leaves were inoculated with two </w:t>
      </w:r>
      <w:r w:rsidRPr="00D00586">
        <w:rPr>
          <w:lang w:val="en-GB"/>
        </w:rPr>
        <w:t xml:space="preserve">10 µL droplets of a </w:t>
      </w:r>
      <w:r w:rsidRPr="00D00586">
        <w:rPr>
          <w:i/>
          <w:iCs/>
          <w:lang w:val="en-GB"/>
        </w:rPr>
        <w:t xml:space="preserve">B. cinerea </w:t>
      </w:r>
      <w:r w:rsidRPr="00D00586">
        <w:rPr>
          <w:lang w:val="en-GB"/>
        </w:rPr>
        <w:t>spore solution (</w:t>
      </w:r>
      <w:r w:rsidRPr="00D00586">
        <w:t>1 x 10</w:t>
      </w:r>
      <w:r w:rsidRPr="00D00586">
        <w:rPr>
          <w:vertAlign w:val="superscript"/>
        </w:rPr>
        <w:t>6</w:t>
      </w:r>
      <w:r w:rsidRPr="00D00586">
        <w:t xml:space="preserve"> spores/mL containing 0.01 M glucose and 6.7 mM KH</w:t>
      </w:r>
      <w:r w:rsidRPr="00D00586">
        <w:rPr>
          <w:vertAlign w:val="subscript"/>
        </w:rPr>
        <w:t>2</w:t>
      </w:r>
      <w:r w:rsidRPr="00D00586">
        <w:t>PO</w:t>
      </w:r>
      <w:r w:rsidRPr="00D00586">
        <w:rPr>
          <w:vertAlign w:val="subscript"/>
        </w:rPr>
        <w:t>4</w:t>
      </w:r>
      <w:r w:rsidR="00C10E51">
        <w:t>)</w:t>
      </w:r>
      <w:r w:rsidRPr="00D00586">
        <w:t xml:space="preserve">. The images represent the average phenotype of 2 experimental repeats. </w:t>
      </w:r>
    </w:p>
    <w:p w14:paraId="00CE27F5" w14:textId="76A16DCB" w:rsidR="00DB771E" w:rsidRDefault="00DB771E" w:rsidP="00DB771E">
      <w:pPr>
        <w:spacing w:after="120"/>
        <w:jc w:val="both"/>
        <w:rPr>
          <w:rFonts w:cs="Times New Roman"/>
          <w:szCs w:val="24"/>
        </w:rPr>
      </w:pPr>
    </w:p>
    <w:p w14:paraId="7B65BC41" w14:textId="2A860FFE" w:rsidR="00DE23E8" w:rsidRPr="00EF0763" w:rsidRDefault="00DE23E8" w:rsidP="00EF0763">
      <w:pPr>
        <w:spacing w:before="0" w:after="200" w:line="276" w:lineRule="auto"/>
        <w:rPr>
          <w:rFonts w:cs="Times New Roman"/>
          <w:szCs w:val="24"/>
        </w:rPr>
      </w:pPr>
    </w:p>
    <w:sectPr w:rsidR="00DE23E8" w:rsidRPr="00EF076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9B5A" w14:textId="77777777" w:rsidR="009E3472" w:rsidRDefault="009E3472" w:rsidP="00117666">
      <w:pPr>
        <w:spacing w:after="0"/>
      </w:pPr>
      <w:r>
        <w:separator/>
      </w:r>
    </w:p>
  </w:endnote>
  <w:endnote w:type="continuationSeparator" w:id="0">
    <w:p w14:paraId="2426C3A9" w14:textId="77777777" w:rsidR="009E3472" w:rsidRDefault="009E34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B54ED8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54ED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B54ED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B54ED8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54ED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B54ED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5517E" w14:textId="77777777" w:rsidR="009E3472" w:rsidRDefault="009E3472" w:rsidP="00117666">
      <w:pPr>
        <w:spacing w:after="0"/>
      </w:pPr>
      <w:r>
        <w:separator/>
      </w:r>
    </w:p>
  </w:footnote>
  <w:footnote w:type="continuationSeparator" w:id="0">
    <w:p w14:paraId="704F4441" w14:textId="77777777" w:rsidR="009E3472" w:rsidRDefault="009E34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B54ED8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B54ED8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25810788">
    <w:abstractNumId w:val="0"/>
  </w:num>
  <w:num w:numId="2" w16cid:durableId="216939242">
    <w:abstractNumId w:val="4"/>
  </w:num>
  <w:num w:numId="3" w16cid:durableId="482627954">
    <w:abstractNumId w:val="1"/>
  </w:num>
  <w:num w:numId="4" w16cid:durableId="1609117875">
    <w:abstractNumId w:val="5"/>
  </w:num>
  <w:num w:numId="5" w16cid:durableId="9904469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0700119">
    <w:abstractNumId w:val="3"/>
  </w:num>
  <w:num w:numId="7" w16cid:durableId="739447484">
    <w:abstractNumId w:val="6"/>
  </w:num>
  <w:num w:numId="8" w16cid:durableId="2041782339">
    <w:abstractNumId w:val="6"/>
  </w:num>
  <w:num w:numId="9" w16cid:durableId="869342416">
    <w:abstractNumId w:val="6"/>
  </w:num>
  <w:num w:numId="10" w16cid:durableId="1281184110">
    <w:abstractNumId w:val="6"/>
  </w:num>
  <w:num w:numId="11" w16cid:durableId="786240336">
    <w:abstractNumId w:val="6"/>
  </w:num>
  <w:num w:numId="12" w16cid:durableId="1078596433">
    <w:abstractNumId w:val="6"/>
  </w:num>
  <w:num w:numId="13" w16cid:durableId="611862753">
    <w:abstractNumId w:val="3"/>
  </w:num>
  <w:num w:numId="14" w16cid:durableId="758215464">
    <w:abstractNumId w:val="2"/>
  </w:num>
  <w:num w:numId="15" w16cid:durableId="1389186709">
    <w:abstractNumId w:val="2"/>
  </w:num>
  <w:num w:numId="16" w16cid:durableId="471487137">
    <w:abstractNumId w:val="2"/>
  </w:num>
  <w:num w:numId="17" w16cid:durableId="491409014">
    <w:abstractNumId w:val="2"/>
  </w:num>
  <w:num w:numId="18" w16cid:durableId="375933229">
    <w:abstractNumId w:val="2"/>
  </w:num>
  <w:num w:numId="19" w16cid:durableId="1413695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63F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498C"/>
    <w:rsid w:val="005120B8"/>
    <w:rsid w:val="00517A89"/>
    <w:rsid w:val="005250F2"/>
    <w:rsid w:val="00593EEA"/>
    <w:rsid w:val="005A5EEE"/>
    <w:rsid w:val="005B3B26"/>
    <w:rsid w:val="006375C7"/>
    <w:rsid w:val="00646E85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F29E2"/>
    <w:rsid w:val="009151AA"/>
    <w:rsid w:val="0093429D"/>
    <w:rsid w:val="00943573"/>
    <w:rsid w:val="00964134"/>
    <w:rsid w:val="00970F7D"/>
    <w:rsid w:val="00994A3D"/>
    <w:rsid w:val="009C2B12"/>
    <w:rsid w:val="009E3472"/>
    <w:rsid w:val="00A174D9"/>
    <w:rsid w:val="00AA4D24"/>
    <w:rsid w:val="00AB6715"/>
    <w:rsid w:val="00AE6DD1"/>
    <w:rsid w:val="00B1671E"/>
    <w:rsid w:val="00B25EB8"/>
    <w:rsid w:val="00B37F4D"/>
    <w:rsid w:val="00B54ED8"/>
    <w:rsid w:val="00C10E51"/>
    <w:rsid w:val="00C52A7B"/>
    <w:rsid w:val="00C56BAF"/>
    <w:rsid w:val="00C679AA"/>
    <w:rsid w:val="00C75972"/>
    <w:rsid w:val="00CD066B"/>
    <w:rsid w:val="00CE4FEE"/>
    <w:rsid w:val="00D060CF"/>
    <w:rsid w:val="00DB59C3"/>
    <w:rsid w:val="00DB771E"/>
    <w:rsid w:val="00DC259A"/>
    <w:rsid w:val="00DE23E8"/>
    <w:rsid w:val="00E52377"/>
    <w:rsid w:val="00E53075"/>
    <w:rsid w:val="00E537AD"/>
    <w:rsid w:val="00E64E17"/>
    <w:rsid w:val="00E866C9"/>
    <w:rsid w:val="00EA3D3C"/>
    <w:rsid w:val="00EC090A"/>
    <w:rsid w:val="00ED20B5"/>
    <w:rsid w:val="00EF076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5B3B2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</TotalTime>
  <Pages>9</Pages>
  <Words>822</Words>
  <Characters>4076</Characters>
  <Application>Microsoft Office Word</Application>
  <DocSecurity>0</DocSecurity>
  <Lines>181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Naadirah Moola</cp:lastModifiedBy>
  <cp:revision>6</cp:revision>
  <cp:lastPrinted>2013-10-03T12:51:00Z</cp:lastPrinted>
  <dcterms:created xsi:type="dcterms:W3CDTF">2023-09-18T08:53:00Z</dcterms:created>
  <dcterms:modified xsi:type="dcterms:W3CDTF">2023-10-04T08:40:00Z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d420dc4a1df2f0cee535e9d5fd4069fc72a417985932bc740e4d8c6d1415faab</vt:lpwstr>
  </property>
</Properties>
</file>