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0947" w14:textId="6546CAED" w:rsidR="009E4D4B" w:rsidRPr="00D11AAE" w:rsidRDefault="00D11AAE" w:rsidP="009E4D4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D11AAE">
        <w:rPr>
          <w:rFonts w:ascii="Times New Roman" w:hAnsi="Times New Roman" w:cs="Times New Roman"/>
          <w:b/>
          <w:bCs/>
          <w:sz w:val="22"/>
          <w:szCs w:val="22"/>
        </w:rPr>
        <w:t>Appendix 1</w:t>
      </w:r>
      <w:r w:rsidR="00570106">
        <w:rPr>
          <w:rFonts w:ascii="Times New Roman" w:hAnsi="Times New Roman" w:cs="Times New Roman"/>
          <w:b/>
          <w:bCs/>
          <w:sz w:val="22"/>
          <w:szCs w:val="22"/>
        </w:rPr>
        <w:t>. Causation</w:t>
      </w:r>
    </w:p>
    <w:p w14:paraId="050F551E" w14:textId="77777777" w:rsidR="00D11AAE" w:rsidRDefault="00D11AAE" w:rsidP="009E4D4B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634"/>
        <w:gridCol w:w="2595"/>
        <w:gridCol w:w="1345"/>
      </w:tblGrid>
      <w:tr w:rsidR="009548BA" w:rsidRPr="00570106" w14:paraId="63497933" w14:textId="77777777" w:rsidTr="009548BA">
        <w:trPr>
          <w:trHeight w:val="566"/>
        </w:trPr>
        <w:tc>
          <w:tcPr>
            <w:tcW w:w="0" w:type="auto"/>
            <w:vAlign w:val="center"/>
          </w:tcPr>
          <w:p w14:paraId="7D9582B8" w14:textId="711784BF" w:rsidR="009548BA" w:rsidRPr="00570106" w:rsidRDefault="009548BA" w:rsidP="009548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0106">
              <w:rPr>
                <w:rFonts w:ascii="Arial" w:hAnsi="Arial" w:cs="Arial"/>
                <w:b/>
                <w:bCs/>
                <w:sz w:val="20"/>
                <w:szCs w:val="20"/>
              </w:rPr>
              <w:t>DAG</w:t>
            </w:r>
          </w:p>
        </w:tc>
        <w:tc>
          <w:tcPr>
            <w:tcW w:w="0" w:type="auto"/>
            <w:vAlign w:val="center"/>
          </w:tcPr>
          <w:p w14:paraId="6BC4D1C4" w14:textId="0473C36D" w:rsidR="009548BA" w:rsidRPr="00570106" w:rsidRDefault="009548BA" w:rsidP="009548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01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SCC model equivalent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 DAG</w:t>
            </w:r>
          </w:p>
        </w:tc>
        <w:tc>
          <w:tcPr>
            <w:tcW w:w="2595" w:type="dxa"/>
            <w:vAlign w:val="center"/>
          </w:tcPr>
          <w:p w14:paraId="395C07B6" w14:textId="77777777" w:rsidR="00E050AA" w:rsidRDefault="009548BA" w:rsidP="009548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01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Parameter inputs </w:t>
            </w:r>
          </w:p>
          <w:p w14:paraId="2F79B0DA" w14:textId="27350DB8" w:rsidR="009548BA" w:rsidRPr="00570106" w:rsidRDefault="009548BA" w:rsidP="009548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0106">
              <w:rPr>
                <w:rFonts w:ascii="Arial" w:hAnsi="Arial" w:cs="Arial"/>
                <w:b/>
                <w:bCs/>
                <w:sz w:val="20"/>
                <w:szCs w:val="20"/>
              </w:rPr>
              <w:t>from simulation</w:t>
            </w:r>
          </w:p>
        </w:tc>
        <w:tc>
          <w:tcPr>
            <w:tcW w:w="1345" w:type="dxa"/>
            <w:vAlign w:val="center"/>
          </w:tcPr>
          <w:p w14:paraId="287673E9" w14:textId="56D08156" w:rsidR="009548BA" w:rsidRPr="00570106" w:rsidRDefault="009548BA" w:rsidP="009548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True effects</w:t>
            </w:r>
          </w:p>
        </w:tc>
      </w:tr>
      <w:tr w:rsidR="009548BA" w:rsidRPr="00AB0F12" w14:paraId="1FFAE0CC" w14:textId="77777777" w:rsidTr="009548BA">
        <w:tc>
          <w:tcPr>
            <w:tcW w:w="0" w:type="auto"/>
          </w:tcPr>
          <w:p w14:paraId="682BBCC4" w14:textId="77777777" w:rsidR="009548BA" w:rsidRDefault="009548BA" w:rsidP="009548B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945169" w14:textId="5F234C1C" w:rsidR="009548BA" w:rsidRPr="00AB0F12" w:rsidRDefault="009548BA" w:rsidP="009548BA">
            <w:pPr>
              <w:rPr>
                <w:rFonts w:ascii="Arial" w:hAnsi="Arial" w:cs="Arial"/>
                <w:sz w:val="20"/>
                <w:szCs w:val="20"/>
              </w:rPr>
            </w:pPr>
            <w:r w:rsidRPr="003D0DDF">
              <w:rPr>
                <w:noProof/>
              </w:rPr>
              <w:drawing>
                <wp:inline distT="0" distB="0" distL="0" distR="0" wp14:anchorId="768EB012" wp14:editId="35546256">
                  <wp:extent cx="1801368" cy="390974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47" b="12586"/>
                          <a:stretch/>
                        </pic:blipFill>
                        <pic:spPr bwMode="auto">
                          <a:xfrm>
                            <a:off x="0" y="0"/>
                            <a:ext cx="1801368" cy="390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E03E29E" w14:textId="77777777" w:rsidR="009548BA" w:rsidRPr="00AB0F12" w:rsidRDefault="009548BA" w:rsidP="009548BA">
            <w:pPr>
              <w:rPr>
                <w:rFonts w:ascii="Arial" w:hAnsi="Arial" w:cs="Arial"/>
                <w:sz w:val="20"/>
                <w:szCs w:val="20"/>
              </w:rPr>
            </w:pPr>
            <w:r w:rsidRPr="003D0DDF">
              <w:rPr>
                <w:noProof/>
              </w:rPr>
              <w:drawing>
                <wp:inline distT="0" distB="0" distL="0" distR="0" wp14:anchorId="0380367E" wp14:editId="0F56B690">
                  <wp:extent cx="2170632" cy="172430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632" cy="17243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5" w:type="dxa"/>
          </w:tcPr>
          <w:p w14:paraId="383A7B56" w14:textId="77777777" w:rsidR="009548BA" w:rsidRDefault="009548BA" w:rsidP="009548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260375D" w14:textId="0A33A3E2" w:rsidR="009548BA" w:rsidRPr="008A3B77" w:rsidRDefault="009548BA" w:rsidP="009548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Prevalence of exogenous variables</w:t>
            </w:r>
            <w:r w:rsidR="001117DF">
              <w:rPr>
                <w:rFonts w:ascii="Arial" w:hAnsi="Arial" w:cs="Arial"/>
                <w:sz w:val="20"/>
                <w:szCs w:val="20"/>
              </w:rPr>
              <w:t xml:space="preserve"> from simulation</w:t>
            </w:r>
            <w:r w:rsidRPr="008A3B7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38DE06" w14:textId="77777777" w:rsidR="009548BA" w:rsidRPr="008A3B77" w:rsidRDefault="009548BA" w:rsidP="009548BA">
            <w:pPr>
              <w:autoSpaceDE w:val="0"/>
              <w:autoSpaceDN w:val="0"/>
              <w:adjustRightInd w:val="0"/>
              <w:ind w:left="151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pZ1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.06</w:t>
            </w:r>
          </w:p>
          <w:p w14:paraId="30AA73F5" w14:textId="77777777" w:rsidR="009548BA" w:rsidRPr="008A3B77" w:rsidRDefault="009548BA" w:rsidP="009548BA">
            <w:pPr>
              <w:autoSpaceDE w:val="0"/>
              <w:autoSpaceDN w:val="0"/>
              <w:adjustRightInd w:val="0"/>
              <w:ind w:left="151"/>
              <w:rPr>
                <w:rFonts w:ascii="Arial" w:hAnsi="Arial" w:cs="Arial"/>
                <w:sz w:val="20"/>
                <w:szCs w:val="20"/>
              </w:rPr>
            </w:pPr>
            <w:r w:rsidRPr="008A3B77">
              <w:rPr>
                <w:rFonts w:ascii="Arial" w:hAnsi="Arial" w:cs="Arial"/>
                <w:sz w:val="20"/>
                <w:szCs w:val="20"/>
              </w:rPr>
              <w:t>pZ</w:t>
            </w:r>
            <w:r>
              <w:rPr>
                <w:rFonts w:ascii="Arial" w:hAnsi="Arial" w:cs="Arial"/>
                <w:sz w:val="20"/>
                <w:szCs w:val="20"/>
              </w:rPr>
              <w:t>2=0.1</w:t>
            </w:r>
          </w:p>
          <w:p w14:paraId="25FC780B" w14:textId="162F4770" w:rsidR="009548BA" w:rsidRPr="008A3B77" w:rsidRDefault="009548BA" w:rsidP="009548BA">
            <w:pPr>
              <w:autoSpaceDE w:val="0"/>
              <w:autoSpaceDN w:val="0"/>
              <w:adjustRightInd w:val="0"/>
              <w:ind w:left="15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3B77">
              <w:rPr>
                <w:rFonts w:ascii="Arial" w:hAnsi="Arial" w:cs="Arial"/>
                <w:sz w:val="20"/>
                <w:szCs w:val="20"/>
              </w:rPr>
              <w:t>pLowEd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=</w:t>
            </w:r>
            <w:r w:rsidRPr="008A3B77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345" w:type="dxa"/>
          </w:tcPr>
          <w:p w14:paraId="5D03355E" w14:textId="77777777" w:rsidR="009548BA" w:rsidRDefault="009548BA" w:rsidP="009548B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89A7DD" w14:textId="369A6AE2" w:rsidR="009548BA" w:rsidRDefault="009548BA" w:rsidP="009548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 = 1.54</w:t>
            </w:r>
          </w:p>
          <w:p w14:paraId="7CE2B306" w14:textId="0B1C46B0" w:rsidR="009548BA" w:rsidRPr="008A3B77" w:rsidRDefault="009548BA" w:rsidP="009548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RD = 0.054</w:t>
            </w:r>
          </w:p>
        </w:tc>
      </w:tr>
    </w:tbl>
    <w:p w14:paraId="30D69AF9" w14:textId="77777777" w:rsidR="00D11AAE" w:rsidRDefault="00D11AAE" w:rsidP="009E4D4B">
      <w:pPr>
        <w:rPr>
          <w:rFonts w:ascii="Times New Roman" w:hAnsi="Times New Roman" w:cs="Times New Roman"/>
          <w:sz w:val="22"/>
          <w:szCs w:val="22"/>
        </w:rPr>
      </w:pPr>
    </w:p>
    <w:p w14:paraId="27BAE4E3" w14:textId="72A0CD5D" w:rsidR="00A67F3E" w:rsidRPr="00605D32" w:rsidRDefault="00474600" w:rsidP="009E4D4B">
      <w:pPr>
        <w:rPr>
          <w:rFonts w:ascii="Times New Roman" w:hAnsi="Times New Roman" w:cs="Times New Roman"/>
          <w:sz w:val="22"/>
          <w:szCs w:val="22"/>
        </w:rPr>
      </w:pPr>
      <w:r w:rsidRPr="00605D32">
        <w:rPr>
          <w:rFonts w:ascii="Times New Roman" w:hAnsi="Times New Roman" w:cs="Times New Roman"/>
          <w:sz w:val="22"/>
          <w:szCs w:val="22"/>
        </w:rPr>
        <w:t>In the causation example,</w:t>
      </w:r>
      <w:r w:rsidR="00EE1CD0" w:rsidRPr="00605D32">
        <w:rPr>
          <w:rFonts w:ascii="Times New Roman" w:hAnsi="Times New Roman" w:cs="Times New Roman"/>
          <w:sz w:val="22"/>
          <w:szCs w:val="22"/>
        </w:rPr>
        <w:t xml:space="preserve"> </w:t>
      </w:r>
      <w:r w:rsidRPr="00605D32">
        <w:rPr>
          <w:rFonts w:ascii="Times New Roman" w:hAnsi="Times New Roman" w:cs="Times New Roman"/>
          <w:sz w:val="22"/>
          <w:szCs w:val="22"/>
        </w:rPr>
        <w:t>b</w:t>
      </w:r>
      <w:r w:rsidR="00EE1CD0" w:rsidRPr="00605D32">
        <w:rPr>
          <w:rFonts w:ascii="Times New Roman" w:hAnsi="Times New Roman" w:cs="Times New Roman"/>
          <w:sz w:val="22"/>
          <w:szCs w:val="22"/>
        </w:rPr>
        <w:t xml:space="preserve">ecause </w:t>
      </w:r>
      <w:r w:rsidR="00E050AA" w:rsidRPr="00605D32">
        <w:rPr>
          <w:rFonts w:ascii="Times New Roman" w:hAnsi="Times New Roman" w:cs="Times New Roman"/>
          <w:sz w:val="22"/>
          <w:szCs w:val="22"/>
        </w:rPr>
        <w:t>l</w:t>
      </w:r>
      <w:r w:rsidR="00EE1CD0" w:rsidRPr="00605D32">
        <w:rPr>
          <w:rFonts w:ascii="Times New Roman" w:hAnsi="Times New Roman" w:cs="Times New Roman"/>
          <w:sz w:val="22"/>
          <w:szCs w:val="22"/>
        </w:rPr>
        <w:t xml:space="preserve">ow </w:t>
      </w:r>
      <w:r w:rsidR="00E050AA" w:rsidRPr="00605D32">
        <w:rPr>
          <w:rFonts w:ascii="Times New Roman" w:hAnsi="Times New Roman" w:cs="Times New Roman"/>
          <w:sz w:val="22"/>
          <w:szCs w:val="22"/>
        </w:rPr>
        <w:t>e</w:t>
      </w:r>
      <w:r w:rsidR="00EE1CD0" w:rsidRPr="00605D32">
        <w:rPr>
          <w:rFonts w:ascii="Times New Roman" w:hAnsi="Times New Roman" w:cs="Times New Roman"/>
          <w:sz w:val="22"/>
          <w:szCs w:val="22"/>
        </w:rPr>
        <w:t>ducation</w:t>
      </w:r>
      <w:r w:rsidR="00E050AA" w:rsidRPr="00605D32">
        <w:rPr>
          <w:rFonts w:ascii="Times New Roman" w:hAnsi="Times New Roman" w:cs="Times New Roman"/>
          <w:sz w:val="22"/>
          <w:szCs w:val="22"/>
        </w:rPr>
        <w:t xml:space="preserve"> (the exposure)</w:t>
      </w:r>
      <w:r w:rsidR="00EE1CD0" w:rsidRPr="00605D32">
        <w:rPr>
          <w:rFonts w:ascii="Times New Roman" w:hAnsi="Times New Roman" w:cs="Times New Roman"/>
          <w:sz w:val="22"/>
          <w:szCs w:val="22"/>
        </w:rPr>
        <w:t xml:space="preserve"> is independent of other variables, the </w:t>
      </w:r>
      <w:r w:rsidR="00E050AA" w:rsidRPr="00605D32">
        <w:rPr>
          <w:rFonts w:ascii="Times New Roman" w:hAnsi="Times New Roman" w:cs="Times New Roman"/>
          <w:sz w:val="22"/>
          <w:szCs w:val="22"/>
        </w:rPr>
        <w:t>crude</w:t>
      </w:r>
      <w:r w:rsidR="002912DF" w:rsidRPr="00605D32">
        <w:rPr>
          <w:rFonts w:ascii="Times New Roman" w:hAnsi="Times New Roman" w:cs="Times New Roman"/>
          <w:sz w:val="22"/>
          <w:szCs w:val="22"/>
        </w:rPr>
        <w:t xml:space="preserve"> risk ratio </w:t>
      </w:r>
      <w:r w:rsidR="00A201E4" w:rsidRPr="00605D32">
        <w:rPr>
          <w:rFonts w:ascii="Times New Roman" w:hAnsi="Times New Roman" w:cs="Times New Roman"/>
          <w:sz w:val="22"/>
          <w:szCs w:val="22"/>
        </w:rPr>
        <w:t xml:space="preserve">and difference are </w:t>
      </w:r>
      <w:r w:rsidR="002912DF" w:rsidRPr="00605D32">
        <w:rPr>
          <w:rFonts w:ascii="Times New Roman" w:hAnsi="Times New Roman" w:cs="Times New Roman"/>
          <w:sz w:val="22"/>
          <w:szCs w:val="22"/>
        </w:rPr>
        <w:t xml:space="preserve">equal to the </w:t>
      </w:r>
      <w:r w:rsidR="00E050AA" w:rsidRPr="00605D32">
        <w:rPr>
          <w:rFonts w:ascii="Times New Roman" w:hAnsi="Times New Roman" w:cs="Times New Roman"/>
          <w:sz w:val="22"/>
          <w:szCs w:val="22"/>
        </w:rPr>
        <w:t xml:space="preserve">causal quantities (i.e., true effects) specified in the simulation. They can be </w:t>
      </w:r>
      <w:r w:rsidR="00A67F3E" w:rsidRPr="00605D32">
        <w:rPr>
          <w:rFonts w:ascii="Times New Roman" w:hAnsi="Times New Roman" w:cs="Times New Roman"/>
          <w:sz w:val="22"/>
          <w:szCs w:val="22"/>
        </w:rPr>
        <w:t>computed as follows:</w:t>
      </w:r>
      <w:r w:rsidR="00A67F3E" w:rsidRPr="00605D32">
        <w:rPr>
          <w:rFonts w:ascii="Times New Roman" w:hAnsi="Times New Roman" w:cs="Times New Roman"/>
          <w:sz w:val="22"/>
          <w:szCs w:val="22"/>
        </w:rPr>
        <w:br/>
      </w:r>
    </w:p>
    <w:p w14:paraId="4F9266E6" w14:textId="77068DBC" w:rsidR="00A67F3E" w:rsidRPr="00AB0F12" w:rsidRDefault="00000000" w:rsidP="001B4BAD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szCs w:val="20"/>
                </w:rPr>
                <m:t>Risk ratio</m:t>
              </m:r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crude</m:t>
              </m:r>
            </m:sub>
          </m:sSub>
          <m:r>
            <w:rPr>
              <w:rFonts w:ascii="Cambria Math" w:hAnsi="Cambria Math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(Dementia|Low Education)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(Dementia|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Low Education</m:t>
                      </m:r>
                    </m:e>
                  </m:acc>
                </m:e>
              </m:func>
              <m:r>
                <w:rPr>
                  <w:rFonts w:ascii="Cambria Math" w:hAnsi="Cambria Math" w:cs="Times New Roman"/>
                  <w:sz w:val="20"/>
                  <w:szCs w:val="20"/>
                </w:rPr>
                <m:t>)</m:t>
              </m:r>
            </m:den>
          </m:f>
        </m:oMath>
      </m:oMathPara>
    </w:p>
    <w:p w14:paraId="32DD28CB" w14:textId="5EA273C9" w:rsidR="00A67F3E" w:rsidRDefault="00A67F3E" w:rsidP="009E4D4B">
      <w:pPr>
        <w:rPr>
          <w:rFonts w:ascii="Cambria Math" w:hAnsi="Cambria Math" w:cs="Times New Roman"/>
          <w:sz w:val="20"/>
          <w:szCs w:val="20"/>
        </w:rPr>
      </w:pPr>
    </w:p>
    <w:p w14:paraId="66859024" w14:textId="314FF679" w:rsidR="001B4BAD" w:rsidRPr="00AB0F12" w:rsidRDefault="00000000" w:rsidP="001B4BAD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Risk difference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crude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=  </m:t>
        </m:r>
      </m:oMath>
      <w:r w:rsidR="001B4BAD">
        <w:rPr>
          <w:rFonts w:ascii="Cambria Math" w:eastAsiaTheme="minorEastAsia" w:hAnsi="Cambria Math" w:cs="Times New Roman"/>
          <w:sz w:val="20"/>
          <w:szCs w:val="20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(Dementia|Low Education)</m:t>
            </m:r>
          </m:e>
        </m:func>
        <m:r>
          <w:rPr>
            <w:rFonts w:ascii="Cambria Math" w:hAnsi="Cambria Math" w:cs="Times New Roman"/>
            <w:sz w:val="20"/>
            <w:szCs w:val="20"/>
          </w:rPr>
          <m:t>-</m:t>
        </m:r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</m:t>
                </m:r>
              </m:e>
            </m:acc>
          </m:e>
        </m:func>
      </m:oMath>
      <w:r w:rsidR="00982237">
        <w:rPr>
          <w:rFonts w:ascii="Cambria Math" w:eastAsiaTheme="minorEastAsia" w:hAnsi="Cambria Math" w:cs="Times New Roman"/>
          <w:sz w:val="20"/>
          <w:szCs w:val="20"/>
        </w:rPr>
        <w:t>)</w:t>
      </w:r>
    </w:p>
    <w:p w14:paraId="1940D058" w14:textId="08BCDE88" w:rsidR="001B4BAD" w:rsidRDefault="001B4BAD" w:rsidP="009E4D4B">
      <w:pPr>
        <w:rPr>
          <w:rFonts w:ascii="Cambria Math" w:hAnsi="Cambria Math" w:cs="Times New Roman"/>
          <w:sz w:val="20"/>
          <w:szCs w:val="20"/>
        </w:rPr>
      </w:pPr>
    </w:p>
    <w:p w14:paraId="50B1AFB8" w14:textId="77777777" w:rsidR="000F2DA4" w:rsidRDefault="000F2DA4" w:rsidP="009E4D4B">
      <w:pPr>
        <w:rPr>
          <w:rFonts w:ascii="Cambria Math" w:hAnsi="Cambria Math" w:cs="Times New Roman"/>
          <w:sz w:val="20"/>
          <w:szCs w:val="20"/>
        </w:rPr>
      </w:pPr>
    </w:p>
    <w:p w14:paraId="1636F39D" w14:textId="401CA8A5" w:rsidR="00A201E4" w:rsidRPr="00605D32" w:rsidRDefault="001B4BAD" w:rsidP="009E4D4B">
      <w:pPr>
        <w:rPr>
          <w:rFonts w:ascii="Times New Roman" w:hAnsi="Times New Roman" w:cs="Times New Roman"/>
          <w:sz w:val="22"/>
          <w:szCs w:val="22"/>
        </w:rPr>
      </w:pPr>
      <w:r w:rsidRPr="00605D32">
        <w:rPr>
          <w:rFonts w:ascii="Times New Roman" w:hAnsi="Times New Roman" w:cs="Times New Roman"/>
          <w:sz w:val="22"/>
          <w:szCs w:val="22"/>
        </w:rPr>
        <w:t xml:space="preserve">The numerator and denominator quantities can be derived from the relevant causal components in Figure </w:t>
      </w:r>
      <w:r w:rsidR="00474600" w:rsidRPr="00605D32">
        <w:rPr>
          <w:rFonts w:ascii="Times New Roman" w:hAnsi="Times New Roman" w:cs="Times New Roman"/>
          <w:sz w:val="22"/>
          <w:szCs w:val="22"/>
        </w:rPr>
        <w:t>3</w:t>
      </w:r>
      <w:r w:rsidRPr="00605D32">
        <w:rPr>
          <w:rFonts w:ascii="Times New Roman" w:hAnsi="Times New Roman" w:cs="Times New Roman"/>
          <w:sz w:val="22"/>
          <w:szCs w:val="22"/>
        </w:rPr>
        <w:t>B</w:t>
      </w:r>
      <w:r w:rsidR="00A201E4" w:rsidRPr="00605D32">
        <w:rPr>
          <w:rFonts w:ascii="Times New Roman" w:hAnsi="Times New Roman" w:cs="Times New Roman"/>
          <w:sz w:val="22"/>
          <w:szCs w:val="22"/>
        </w:rPr>
        <w:t xml:space="preserve"> and their parameter values specified in the simulation</w:t>
      </w:r>
      <w:r w:rsidR="00474600" w:rsidRPr="00605D32">
        <w:rPr>
          <w:rFonts w:ascii="Times New Roman" w:hAnsi="Times New Roman" w:cs="Times New Roman"/>
          <w:sz w:val="22"/>
          <w:szCs w:val="22"/>
        </w:rPr>
        <w:t xml:space="preserve">. </w:t>
      </w:r>
      <w:r w:rsidR="00A201E4" w:rsidRPr="00605D32">
        <w:rPr>
          <w:rFonts w:ascii="Times New Roman" w:hAnsi="Times New Roman" w:cs="Times New Roman"/>
          <w:sz w:val="22"/>
          <w:szCs w:val="22"/>
        </w:rPr>
        <w:t>For example</w:t>
      </w:r>
      <w:r w:rsidR="00474600" w:rsidRPr="00605D32">
        <w:rPr>
          <w:rFonts w:ascii="Times New Roman" w:hAnsi="Times New Roman" w:cs="Times New Roman"/>
          <w:sz w:val="22"/>
          <w:szCs w:val="22"/>
        </w:rPr>
        <w:t>, given an individual has low education, they will get dementia if they have either components Z1 or Z2</w:t>
      </w:r>
      <w:r w:rsidR="00A201E4" w:rsidRPr="00605D32">
        <w:rPr>
          <w:rFonts w:ascii="Times New Roman" w:hAnsi="Times New Roman" w:cs="Times New Roman"/>
          <w:sz w:val="22"/>
          <w:szCs w:val="22"/>
        </w:rPr>
        <w:t xml:space="preserve">. Likewise, </w:t>
      </w:r>
      <w:r w:rsidR="00474600" w:rsidRPr="00605D32">
        <w:rPr>
          <w:rFonts w:ascii="Times New Roman" w:hAnsi="Times New Roman" w:cs="Times New Roman"/>
          <w:sz w:val="22"/>
          <w:szCs w:val="22"/>
        </w:rPr>
        <w:t xml:space="preserve">given an individual does not have low education, they will get dementia only if they have component Z2. </w:t>
      </w:r>
      <w:r w:rsidR="00A201E4" w:rsidRPr="00605D32">
        <w:rPr>
          <w:rFonts w:ascii="Times New Roman" w:hAnsi="Times New Roman" w:cs="Times New Roman"/>
          <w:sz w:val="22"/>
          <w:szCs w:val="22"/>
        </w:rPr>
        <w:t xml:space="preserve">The </w:t>
      </w:r>
      <w:proofErr w:type="spellStart"/>
      <w:r w:rsidR="00130741">
        <w:rPr>
          <w:rFonts w:ascii="Times New Roman" w:hAnsi="Times New Roman" w:cs="Times New Roman"/>
          <w:sz w:val="22"/>
          <w:szCs w:val="22"/>
        </w:rPr>
        <w:t>prevalences</w:t>
      </w:r>
      <w:proofErr w:type="spellEnd"/>
      <w:r w:rsidR="00130741" w:rsidRPr="00605D32">
        <w:rPr>
          <w:rFonts w:ascii="Times New Roman" w:hAnsi="Times New Roman" w:cs="Times New Roman"/>
          <w:sz w:val="22"/>
          <w:szCs w:val="22"/>
        </w:rPr>
        <w:t xml:space="preserve"> </w:t>
      </w:r>
      <w:r w:rsidR="00A201E4" w:rsidRPr="00605D32">
        <w:rPr>
          <w:rFonts w:ascii="Times New Roman" w:hAnsi="Times New Roman" w:cs="Times New Roman"/>
          <w:sz w:val="22"/>
          <w:szCs w:val="22"/>
        </w:rPr>
        <w:t xml:space="preserve">of Z1 and Z2 are specified above as 0.06 and 0.10, respectively. </w:t>
      </w:r>
    </w:p>
    <w:p w14:paraId="287F841B" w14:textId="77777777" w:rsidR="00A201E4" w:rsidRPr="00605D32" w:rsidRDefault="00A201E4" w:rsidP="009E4D4B">
      <w:pPr>
        <w:rPr>
          <w:rFonts w:ascii="Times New Roman" w:hAnsi="Times New Roman" w:cs="Times New Roman"/>
          <w:sz w:val="22"/>
          <w:szCs w:val="22"/>
        </w:rPr>
      </w:pPr>
    </w:p>
    <w:p w14:paraId="4336DE7B" w14:textId="552C888E" w:rsidR="001B4BAD" w:rsidRPr="00605D32" w:rsidRDefault="00A201E4" w:rsidP="009E4D4B">
      <w:pPr>
        <w:rPr>
          <w:rFonts w:ascii="Times New Roman" w:hAnsi="Times New Roman" w:cs="Times New Roman"/>
          <w:sz w:val="22"/>
          <w:szCs w:val="22"/>
        </w:rPr>
      </w:pPr>
      <w:r w:rsidRPr="00605D32">
        <w:rPr>
          <w:rFonts w:ascii="Times New Roman" w:hAnsi="Times New Roman" w:cs="Times New Roman"/>
          <w:i/>
          <w:iCs/>
          <w:sz w:val="22"/>
          <w:szCs w:val="22"/>
        </w:rPr>
        <w:t>Thus</w:t>
      </w:r>
      <w:r w:rsidRPr="00605D32">
        <w:rPr>
          <w:rFonts w:ascii="Times New Roman" w:hAnsi="Times New Roman" w:cs="Times New Roman"/>
          <w:sz w:val="22"/>
          <w:szCs w:val="22"/>
        </w:rPr>
        <w:t>:</w:t>
      </w:r>
    </w:p>
    <w:p w14:paraId="0175ADE8" w14:textId="53E6566F" w:rsidR="00052FF0" w:rsidRDefault="00000000" w:rsidP="00052FF0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(Dementia|Low Education)</m:t>
            </m:r>
          </m:e>
        </m:func>
      </m:oMath>
      <w:r w:rsidR="001B4BAD">
        <w:rPr>
          <w:rFonts w:ascii="Cambria Math" w:eastAsiaTheme="minorEastAsia" w:hAnsi="Cambria Math" w:cs="Times New Roman"/>
          <w:sz w:val="20"/>
          <w:szCs w:val="20"/>
        </w:rPr>
        <w:t xml:space="preserve"> =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P((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∪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 xml:space="preserve"> 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)|Low Education)</m:t>
        </m:r>
      </m:oMath>
      <w:r w:rsidR="00052FF0">
        <w:rPr>
          <w:rFonts w:ascii="Cambria Math" w:eastAsiaTheme="minorEastAsia" w:hAnsi="Cambria Math" w:cs="Times New Roman"/>
          <w:sz w:val="20"/>
          <w:szCs w:val="20"/>
        </w:rPr>
        <w:t xml:space="preserve"> = 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P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∪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 xml:space="preserve"> 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because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⊥Low Education</m:t>
        </m:r>
      </m:oMath>
    </w:p>
    <w:p w14:paraId="1FF9DBB2" w14:textId="5F3B2713" w:rsidR="004F663A" w:rsidRDefault="004F663A" w:rsidP="004F663A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*P(Z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</m:t>
        </m:r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 </w:t>
      </w:r>
    </w:p>
    <w:p w14:paraId="19DACAA0" w14:textId="4B51E638" w:rsidR="004F663A" w:rsidRPr="004F663A" w:rsidRDefault="004F663A" w:rsidP="004F663A">
      <w:pPr>
        <w:ind w:left="3600"/>
        <w:rPr>
          <w:rFonts w:ascii="Cambria Math" w:eastAsiaTheme="minorEastAsia" w:hAnsi="Cambria Math" w:cs="Times New Roman"/>
          <w:i/>
          <w:iCs/>
          <w:sz w:val="18"/>
          <w:szCs w:val="18"/>
        </w:rPr>
      </w:pPr>
      <w:r w:rsidRPr="004F663A">
        <w:rPr>
          <w:rFonts w:ascii="Cambria Math" w:eastAsiaTheme="minorEastAsia" w:hAnsi="Cambria Math" w:cs="Times New Roman"/>
          <w:i/>
          <w:iCs/>
          <w:sz w:val="18"/>
          <w:szCs w:val="18"/>
        </w:rPr>
        <w:t>note, the intersection is subtracted to account for redundancy i.e., a person completing multiple sufficient causes by the end of the study period when their outcome status is ascertained</w:t>
      </w:r>
    </w:p>
    <w:p w14:paraId="56A7F542" w14:textId="40B028BE" w:rsid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= 0.</w:t>
      </w:r>
      <w:r w:rsidR="00474600">
        <w:rPr>
          <w:rFonts w:ascii="Cambria Math" w:eastAsiaTheme="minorEastAsia" w:hAnsi="Cambria Math" w:cs="Times New Roman"/>
          <w:sz w:val="20"/>
          <w:szCs w:val="20"/>
        </w:rPr>
        <w:t>06</w:t>
      </w:r>
      <w:r>
        <w:rPr>
          <w:rFonts w:ascii="Cambria Math" w:eastAsiaTheme="minorEastAsia" w:hAnsi="Cambria Math" w:cs="Times New Roman"/>
          <w:sz w:val="20"/>
          <w:szCs w:val="20"/>
        </w:rPr>
        <w:t xml:space="preserve"> + </w:t>
      </w:r>
      <w:r w:rsidR="00474600">
        <w:rPr>
          <w:rFonts w:ascii="Cambria Math" w:eastAsiaTheme="minorEastAsia" w:hAnsi="Cambria Math" w:cs="Times New Roman"/>
          <w:sz w:val="20"/>
          <w:szCs w:val="20"/>
        </w:rPr>
        <w:t>0.10</w:t>
      </w:r>
      <w:r>
        <w:rPr>
          <w:rFonts w:ascii="Cambria Math" w:eastAsiaTheme="minorEastAsia" w:hAnsi="Cambria Math" w:cs="Times New Roman"/>
          <w:sz w:val="20"/>
          <w:szCs w:val="20"/>
        </w:rPr>
        <w:t xml:space="preserve"> – (0.1*</w:t>
      </w:r>
      <w:r w:rsidR="004F663A">
        <w:rPr>
          <w:rFonts w:ascii="Cambria Math" w:eastAsiaTheme="minorEastAsia" w:hAnsi="Cambria Math" w:cs="Times New Roman"/>
          <w:sz w:val="20"/>
          <w:szCs w:val="20"/>
        </w:rPr>
        <w:t>0.06</w:t>
      </w:r>
      <w:r>
        <w:rPr>
          <w:rFonts w:ascii="Cambria Math" w:eastAsiaTheme="minorEastAsia" w:hAnsi="Cambria Math" w:cs="Times New Roman"/>
          <w:sz w:val="20"/>
          <w:szCs w:val="20"/>
        </w:rPr>
        <w:t>)</w:t>
      </w:r>
      <w:r w:rsidR="004F663A">
        <w:rPr>
          <w:rFonts w:ascii="Cambria Math" w:eastAsiaTheme="minorEastAsia" w:hAnsi="Cambria Math" w:cs="Times New Roman"/>
          <w:sz w:val="20"/>
          <w:szCs w:val="20"/>
        </w:rPr>
        <w:t xml:space="preserve">  </w:t>
      </w:r>
    </w:p>
    <w:p w14:paraId="70D4B3AB" w14:textId="73A03E11" w:rsid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>= 0.1</w:t>
      </w:r>
      <w:r w:rsidR="004F663A">
        <w:rPr>
          <w:rFonts w:ascii="Cambria Math" w:eastAsiaTheme="minorEastAsia" w:hAnsi="Cambria Math" w:cs="Times New Roman"/>
          <w:sz w:val="20"/>
          <w:szCs w:val="20"/>
        </w:rPr>
        <w:t>54</w:t>
      </w:r>
    </w:p>
    <w:p w14:paraId="451D8BAA" w14:textId="77777777" w:rsidR="001B4BAD" w:rsidRP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</w:p>
    <w:p w14:paraId="5EF9B32F" w14:textId="4B311736" w:rsidR="001B4BAD" w:rsidRDefault="00000000" w:rsidP="001B4BAD">
      <w:pPr>
        <w:ind w:left="720"/>
        <w:rPr>
          <w:rFonts w:ascii="Cambria Math" w:eastAsiaTheme="minorEastAsia" w:hAnsi="Cambria Math" w:cs="Times New Roman"/>
          <w:sz w:val="20"/>
          <w:szCs w:val="20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uncPr>
          <m:fName>
            <m:r>
              <w:rPr>
                <w:rFonts w:ascii="Cambria Math" w:hAnsi="Cambria Math" w:cs="Times New Roman"/>
                <w:sz w:val="20"/>
                <w:szCs w:val="20"/>
              </w:rPr>
              <m:t>P</m:t>
            </m:r>
          </m:fName>
          <m:e>
            <m:r>
              <w:rPr>
                <w:rFonts w:ascii="Cambria Math" w:hAnsi="Cambria Math" w:cs="Times New Roman"/>
                <w:sz w:val="20"/>
                <w:szCs w:val="20"/>
              </w:rPr>
              <m:t>(Dementia|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Low Education)</m:t>
                </m:r>
              </m:e>
            </m:acc>
          </m:e>
        </m:func>
      </m:oMath>
      <w:r w:rsidR="001B4BAD">
        <w:rPr>
          <w:rFonts w:ascii="Cambria Math" w:eastAsiaTheme="minorEastAsia" w:hAnsi="Cambria Math" w:cs="Times New Roman"/>
          <w:sz w:val="20"/>
          <w:szCs w:val="20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d>
          <m:dPr>
            <m:begChr m:val="|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Low Education</m:t>
                </m:r>
              </m:e>
            </m:acc>
          </m:e>
        </m:d>
        <m:r>
          <w:rPr>
            <w:rFonts w:ascii="Cambria Math" w:eastAsiaTheme="minorEastAsia" w:hAnsi="Cambria Math" w:cs="Times New Roman"/>
            <w:sz w:val="20"/>
            <w:szCs w:val="20"/>
          </w:rPr>
          <m:t>=P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0"/>
            <w:szCs w:val="20"/>
          </w:rPr>
          <m:t xml:space="preserve">, because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⊥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Low Education</m:t>
            </m:r>
          </m:e>
        </m:acc>
      </m:oMath>
    </w:p>
    <w:p w14:paraId="4FC28C1C" w14:textId="18F05700" w:rsidR="001B4BAD" w:rsidRDefault="001B4BAD" w:rsidP="004F663A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 xml:space="preserve">= 0.1 </w:t>
      </w:r>
    </w:p>
    <w:p w14:paraId="7585FFD6" w14:textId="77777777" w:rsidR="001B4BAD" w:rsidRPr="001B4BAD" w:rsidRDefault="001B4BAD" w:rsidP="001B4BAD">
      <w:pPr>
        <w:ind w:left="3330"/>
        <w:rPr>
          <w:rFonts w:ascii="Cambria Math" w:eastAsiaTheme="minorEastAsia" w:hAnsi="Cambria Math" w:cs="Times New Roman"/>
          <w:sz w:val="20"/>
          <w:szCs w:val="20"/>
        </w:rPr>
      </w:pPr>
    </w:p>
    <w:p w14:paraId="7CB2CC53" w14:textId="4642A07D" w:rsidR="001B4BAD" w:rsidRPr="00605D32" w:rsidRDefault="00A201E4" w:rsidP="009E4D4B">
      <w:pPr>
        <w:rPr>
          <w:rFonts w:ascii="Times New Roman" w:hAnsi="Times New Roman" w:cs="Times New Roman"/>
          <w:sz w:val="22"/>
          <w:szCs w:val="22"/>
        </w:rPr>
      </w:pPr>
      <w:r w:rsidRPr="00605D32">
        <w:rPr>
          <w:rFonts w:ascii="Times New Roman" w:hAnsi="Times New Roman" w:cs="Times New Roman"/>
          <w:i/>
          <w:iCs/>
          <w:sz w:val="22"/>
          <w:szCs w:val="22"/>
        </w:rPr>
        <w:t>And</w:t>
      </w:r>
      <w:r w:rsidR="00EF196C" w:rsidRPr="00605D32">
        <w:rPr>
          <w:rFonts w:ascii="Times New Roman" w:hAnsi="Times New Roman" w:cs="Times New Roman"/>
          <w:sz w:val="22"/>
          <w:szCs w:val="22"/>
        </w:rPr>
        <w:t>:</w:t>
      </w:r>
    </w:p>
    <w:p w14:paraId="21BDB04C" w14:textId="76D30F0E" w:rsidR="00EF196C" w:rsidRPr="00EF196C" w:rsidRDefault="00EF196C" w:rsidP="009E4D4B">
      <w:pPr>
        <w:rPr>
          <w:rFonts w:ascii="Cambria Math" w:hAnsi="Cambria Math" w:cs="Times New Roman"/>
          <w:i/>
          <w:iCs/>
          <w:sz w:val="20"/>
          <w:szCs w:val="20"/>
        </w:rPr>
      </w:pPr>
      <w:r w:rsidRPr="00EF196C">
        <w:rPr>
          <w:rFonts w:ascii="Cambria Math" w:hAnsi="Cambria Math" w:cs="Times New Roman"/>
          <w:i/>
          <w:iCs/>
          <w:sz w:val="20"/>
          <w:szCs w:val="20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Risk ratio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crude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 xml:space="preserve"> =</m:t>
        </m:r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0.154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0.1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>=1.54</m:t>
        </m:r>
      </m:oMath>
    </w:p>
    <w:p w14:paraId="7E854242" w14:textId="77777777" w:rsidR="00EF196C" w:rsidRPr="00EF196C" w:rsidRDefault="00EF196C" w:rsidP="009E4D4B">
      <w:pPr>
        <w:rPr>
          <w:rFonts w:ascii="Cambria Math" w:hAnsi="Cambria Math" w:cs="Times New Roman"/>
          <w:i/>
          <w:iCs/>
          <w:sz w:val="20"/>
          <w:szCs w:val="20"/>
        </w:rPr>
      </w:pPr>
    </w:p>
    <w:p w14:paraId="432814C2" w14:textId="1CB9A298" w:rsidR="00EF196C" w:rsidRPr="00EF196C" w:rsidRDefault="00EF196C" w:rsidP="009E4D4B">
      <w:pPr>
        <w:rPr>
          <w:rFonts w:ascii="Cambria Math" w:hAnsi="Cambria Math" w:cs="Times New Roman"/>
          <w:i/>
          <w:iCs/>
          <w:sz w:val="20"/>
          <w:szCs w:val="20"/>
          <w:vertAlign w:val="subscript"/>
        </w:rPr>
      </w:pPr>
      <w:r w:rsidRPr="00EF196C">
        <w:rPr>
          <w:rFonts w:ascii="Cambria Math" w:hAnsi="Cambria Math" w:cs="Times New Roman"/>
          <w:i/>
          <w:iCs/>
          <w:sz w:val="20"/>
          <w:szCs w:val="20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</w:rPr>
              <m:t>Risk difference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crude</m:t>
            </m:r>
          </m:sub>
        </m:sSub>
        <m:r>
          <w:rPr>
            <w:rFonts w:ascii="Cambria Math" w:hAnsi="Cambria Math" w:cs="Times New Roman"/>
            <w:sz w:val="20"/>
            <w:szCs w:val="20"/>
          </w:rPr>
          <m:t>= 0.154-0.1=0.054</m:t>
        </m:r>
      </m:oMath>
    </w:p>
    <w:p w14:paraId="56B5559B" w14:textId="327C3F74" w:rsidR="00FD2410" w:rsidRDefault="00FD2410" w:rsidP="009E4D4B">
      <w:pPr>
        <w:rPr>
          <w:rFonts w:ascii="Cambria Math" w:hAnsi="Cambria Math" w:cs="Times New Roman"/>
          <w:color w:val="BFBFBF" w:themeColor="background1" w:themeShade="BF"/>
          <w:sz w:val="20"/>
          <w:szCs w:val="20"/>
        </w:rPr>
      </w:pPr>
    </w:p>
    <w:p w14:paraId="50DDD668" w14:textId="77777777" w:rsidR="00FD2410" w:rsidRDefault="00FD2410" w:rsidP="009E4D4B">
      <w:pPr>
        <w:rPr>
          <w:rFonts w:ascii="Cambria Math" w:hAnsi="Cambria Math" w:cs="Times New Roman"/>
          <w:color w:val="BFBFBF" w:themeColor="background1" w:themeShade="BF"/>
          <w:sz w:val="20"/>
          <w:szCs w:val="20"/>
        </w:rPr>
      </w:pPr>
    </w:p>
    <w:p w14:paraId="38FF2FF0" w14:textId="38FDC085" w:rsidR="00727E7C" w:rsidRPr="00605D32" w:rsidRDefault="00FD2410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Again, the values for the RR and RD obtained here </w:t>
      </w:r>
      <w:r w:rsidR="00591DEB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are unbiased (i.e., equal to the </w:t>
      </w:r>
      <w:r w:rsidR="00E050AA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tru</w:t>
      </w:r>
      <w:r w:rsidR="0077757B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="00E050AA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effects</w:t>
      </w:r>
      <w:r w:rsidR="00591DEB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specified in the simulation)</w:t>
      </w:r>
      <w:r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because we created a data generating mechanism where Low Education is independent of other variables in the </w:t>
      </w:r>
      <w:r w:rsidR="0077757B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sample</w:t>
      </w:r>
      <w:r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Thus, we expect </w:t>
      </w:r>
      <w:r w:rsidR="00813BD6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there to be </w:t>
      </w:r>
      <w:r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exchangeability between </w:t>
      </w:r>
      <w:r w:rsidR="00AB0EA5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</w:t>
      </w:r>
      <w:r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exposed and unexposed on other causes of disease</w:t>
      </w:r>
      <w:r w:rsidR="00EE55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(i.e., response types)</w:t>
      </w:r>
      <w:r w:rsidR="00591DEB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Consistent with this, </w:t>
      </w:r>
      <w:r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 </w:t>
      </w:r>
      <w:r w:rsidR="00727E7C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Table </w:t>
      </w:r>
      <w:r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135410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we see that in our simulations, the population prevalence of doomed </w:t>
      </w:r>
      <w:r w:rsidR="004C035B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response</w:t>
      </w:r>
      <w:r w:rsidR="00135410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types is 0.1</w:t>
      </w:r>
      <w:r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0</w:t>
      </w:r>
      <w:r w:rsidR="00135410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among individuals exposed and unexposed to </w:t>
      </w:r>
      <w:r w:rsidR="0098223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L</w:t>
      </w:r>
      <w:r w:rsidR="00135410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ow </w:t>
      </w:r>
      <w:r w:rsidR="0098223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="00135410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ducation.</w:t>
      </w:r>
      <w:r w:rsidR="0098223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4439D9BB" w14:textId="77777777" w:rsidR="00EC0907" w:rsidRPr="00605D32" w:rsidRDefault="00EC0907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198672" w14:textId="77777777" w:rsidR="00EC0907" w:rsidRDefault="00EC0907" w:rsidP="009E4D4B">
      <w:pPr>
        <w:rPr>
          <w:rFonts w:ascii="Cambria Math" w:hAnsi="Cambria Math" w:cs="Times New Roman"/>
          <w:color w:val="000000" w:themeColor="text1"/>
          <w:sz w:val="20"/>
          <w:szCs w:val="20"/>
        </w:rPr>
      </w:pPr>
    </w:p>
    <w:p w14:paraId="282CFFF5" w14:textId="77777777" w:rsidR="00EC0907" w:rsidRPr="00605D32" w:rsidRDefault="00EC0907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4E77DC" w14:textId="529B8F1D" w:rsidR="00EC0907" w:rsidRPr="00605D32" w:rsidRDefault="00487EFC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We note that w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hen specifying the parameters of the simulation, if a certain effect size is desired it can be derived by setting a value for, say, the RR and then either setting </w:t>
      </w:r>
      <w:r w:rsidR="00EB17C0">
        <w:rPr>
          <w:rFonts w:ascii="Times New Roman" w:hAnsi="Times New Roman" w:cs="Times New Roman"/>
          <w:color w:val="000000" w:themeColor="text1"/>
          <w:sz w:val="22"/>
          <w:szCs w:val="22"/>
        </w:rPr>
        <w:t>P(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Z1</w:t>
      </w:r>
      <w:r w:rsidR="00EB17C0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 </w:t>
      </w:r>
      <w:r w:rsidR="00EB17C0">
        <w:rPr>
          <w:rFonts w:ascii="Times New Roman" w:hAnsi="Times New Roman" w:cs="Times New Roman"/>
          <w:color w:val="000000" w:themeColor="text1"/>
          <w:sz w:val="22"/>
          <w:szCs w:val="22"/>
        </w:rPr>
        <w:t>P(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Z2</w:t>
      </w:r>
      <w:r w:rsidR="00EB17C0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B17C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(i.e., parameters pZ1 and pZ2 in the simulation code, respectively) 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to a fixed value and solving for the other. For example, if an RR of 2.5 was desired and the prevalence of all other causes of some outcome (i.e., </w:t>
      </w:r>
      <w:r w:rsidR="00C20AA6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Z2</w:t>
      </w:r>
      <w:r w:rsidR="00763497">
        <w:rPr>
          <w:rFonts w:ascii="Times New Roman" w:hAnsi="Times New Roman" w:cs="Times New Roman"/>
          <w:color w:val="000000" w:themeColor="text1"/>
          <w:sz w:val="22"/>
          <w:szCs w:val="22"/>
        </w:rPr>
        <w:t>, or the prevalence of the outcome in the unexposed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A400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was </w:t>
      </w:r>
      <w:r w:rsidR="00F72FEB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assumed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to be 15%</w:t>
      </w:r>
      <w:r w:rsidR="00A400EA">
        <w:rPr>
          <w:rFonts w:ascii="Times New Roman" w:hAnsi="Times New Roman" w:cs="Times New Roman"/>
          <w:color w:val="000000" w:themeColor="text1"/>
          <w:sz w:val="22"/>
          <w:szCs w:val="22"/>
        </w:rPr>
        <w:t>, then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the </w:t>
      </w:r>
      <w:r w:rsidR="00EB17C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input 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value of </w:t>
      </w:r>
      <w:r w:rsidR="00EB17C0">
        <w:rPr>
          <w:rFonts w:ascii="Times New Roman" w:hAnsi="Times New Roman" w:cs="Times New Roman"/>
          <w:color w:val="000000" w:themeColor="text1"/>
          <w:sz w:val="22"/>
          <w:szCs w:val="22"/>
        </w:rPr>
        <w:t>the simulation parameter pZ1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should be specified as </w:t>
      </w:r>
      <w:r w:rsidR="00073FEA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0.2647</w:t>
      </w:r>
      <w:r w:rsidR="00EC0907"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6AE825D3" w14:textId="37C8D446" w:rsidR="00EC0907" w:rsidRPr="00135410" w:rsidRDefault="00EC0907" w:rsidP="009E4D4B">
      <w:pPr>
        <w:rPr>
          <w:rFonts w:ascii="Cambria Math" w:hAnsi="Cambria Math" w:cs="Times New Roman"/>
          <w:color w:val="000000" w:themeColor="text1"/>
          <w:sz w:val="20"/>
          <w:szCs w:val="20"/>
        </w:rPr>
      </w:pPr>
      <w:r>
        <w:rPr>
          <w:rFonts w:ascii="Cambria Math" w:hAnsi="Cambria Math" w:cs="Times New Roman"/>
          <w:color w:val="000000" w:themeColor="text1"/>
          <w:sz w:val="20"/>
          <w:szCs w:val="20"/>
        </w:rPr>
        <w:t xml:space="preserve">i.e., </w:t>
      </w:r>
      <w:r>
        <w:rPr>
          <w:rFonts w:ascii="Cambria Math" w:hAnsi="Cambria Math" w:cs="Times New Roman"/>
          <w:color w:val="000000" w:themeColor="text1"/>
          <w:sz w:val="20"/>
          <w:szCs w:val="20"/>
        </w:rPr>
        <w:tab/>
        <w:t xml:space="preserve">RR 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)-P(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*P(Z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</m:t>
        </m:r>
      </m:oMath>
      <w:r w:rsidR="00EB17C0">
        <w:rPr>
          <w:rFonts w:ascii="Cambria Math" w:eastAsiaTheme="minorEastAsia" w:hAnsi="Cambria Math" w:cs="Times New Roman"/>
          <w:sz w:val="20"/>
          <w:szCs w:val="20"/>
        </w:rPr>
        <w:t>)</w:t>
      </w:r>
      <w:r>
        <w:rPr>
          <w:rFonts w:ascii="Cambria Math" w:eastAsiaTheme="minorEastAsia" w:hAnsi="Cambria Math" w:cs="Times New Roman"/>
          <w:sz w:val="20"/>
          <w:szCs w:val="20"/>
        </w:rPr>
        <w:t xml:space="preserve"> / </w:t>
      </w:r>
      <w:r w:rsidR="00EB17C0">
        <w:rPr>
          <w:rFonts w:ascii="Cambria Math" w:eastAsiaTheme="minorEastAsia" w:hAnsi="Cambria Math" w:cs="Times New Roman"/>
          <w:sz w:val="20"/>
          <w:szCs w:val="20"/>
        </w:rPr>
        <w:t>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</m:t>
        </m:r>
      </m:oMath>
    </w:p>
    <w:p w14:paraId="350E3832" w14:textId="6AC354F6" w:rsidR="00EC0907" w:rsidRDefault="00EC0907" w:rsidP="00EC0907">
      <w:pPr>
        <w:ind w:firstLine="72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hAnsi="Cambria Math" w:cs="Times New Roman"/>
          <w:color w:val="000000" w:themeColor="text1"/>
          <w:sz w:val="20"/>
          <w:szCs w:val="20"/>
        </w:rPr>
        <w:t xml:space="preserve">2.5 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)+0.15-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)*0.15)</m:t>
        </m:r>
      </m:oMath>
      <w:r>
        <w:rPr>
          <w:rFonts w:ascii="Cambria Math" w:eastAsiaTheme="minorEastAsia" w:hAnsi="Cambria Math" w:cs="Times New Roman"/>
          <w:sz w:val="20"/>
          <w:szCs w:val="20"/>
        </w:rPr>
        <w:t xml:space="preserve"> /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0.15</m:t>
        </m:r>
      </m:oMath>
    </w:p>
    <w:p w14:paraId="720688E4" w14:textId="4CEA214B" w:rsidR="00702B2B" w:rsidRDefault="00702B2B" w:rsidP="00702B2B">
      <w:pPr>
        <w:ind w:firstLine="72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hAnsi="Cambria Math" w:cs="Times New Roman"/>
          <w:color w:val="000000" w:themeColor="text1"/>
          <w:sz w:val="20"/>
          <w:szCs w:val="20"/>
        </w:rPr>
        <w:t xml:space="preserve">0.375 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(P(Z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)+0.15-P(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)*0.15)</m:t>
        </m:r>
      </m:oMath>
    </w:p>
    <w:p w14:paraId="4DBB4842" w14:textId="3E75CB34" w:rsidR="00702B2B" w:rsidRDefault="00702B2B" w:rsidP="00702B2B">
      <w:pPr>
        <w:ind w:firstLine="720"/>
        <w:rPr>
          <w:rFonts w:ascii="Cambria Math" w:eastAsiaTheme="minorEastAsia" w:hAnsi="Cambria Math" w:cs="Times New Roman"/>
          <w:sz w:val="20"/>
          <w:szCs w:val="20"/>
        </w:rPr>
      </w:pPr>
      <w:r>
        <w:rPr>
          <w:rFonts w:ascii="Cambria Math" w:hAnsi="Cambria Math" w:cs="Times New Roman"/>
          <w:color w:val="000000" w:themeColor="text1"/>
          <w:sz w:val="20"/>
          <w:szCs w:val="20"/>
        </w:rPr>
        <w:t xml:space="preserve">0.225 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0.85*P(Z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</m:t>
        </m:r>
      </m:oMath>
    </w:p>
    <w:p w14:paraId="1FC19DE0" w14:textId="313E30BA" w:rsidR="00702B2B" w:rsidRPr="00EB17C0" w:rsidRDefault="00702B2B" w:rsidP="00702B2B">
      <w:pPr>
        <w:ind w:firstLine="720"/>
        <w:rPr>
          <w:rFonts w:ascii="Cambria Math" w:eastAsiaTheme="minorEastAsia" w:hAnsi="Cambria Math" w:cs="Times New Roman"/>
          <w:iCs/>
          <w:sz w:val="20"/>
          <w:szCs w:val="20"/>
        </w:rPr>
      </w:pPr>
      <w:r>
        <w:rPr>
          <w:rFonts w:ascii="Cambria Math" w:eastAsiaTheme="minorEastAsia" w:hAnsi="Cambria Math" w:cs="Times New Roman"/>
          <w:sz w:val="20"/>
          <w:szCs w:val="20"/>
        </w:rPr>
        <w:t xml:space="preserve">0.2647 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P(Z</m:t>
            </m:r>
          </m:e>
          <m:sub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0"/>
            <w:szCs w:val="20"/>
          </w:rPr>
          <m:t>)=</m:t>
        </m:r>
        <m:r>
          <m:rPr>
            <m:sty m:val="p"/>
          </m:rPr>
          <w:rPr>
            <w:rFonts w:ascii="Cambria Math" w:eastAsiaTheme="minorEastAsia" w:hAnsi="Cambria Math" w:cs="Times New Roman"/>
            <w:sz w:val="20"/>
            <w:szCs w:val="20"/>
          </w:rPr>
          <m:t>pZ1</m:t>
        </m:r>
      </m:oMath>
    </w:p>
    <w:p w14:paraId="0F3C0B9D" w14:textId="61D26647" w:rsidR="00702B2B" w:rsidRDefault="00702B2B" w:rsidP="00702B2B">
      <w:pPr>
        <w:ind w:firstLine="720"/>
        <w:rPr>
          <w:rFonts w:ascii="Cambria Math" w:eastAsiaTheme="minorEastAsia" w:hAnsi="Cambria Math" w:cs="Times New Roman"/>
          <w:sz w:val="20"/>
          <w:szCs w:val="20"/>
        </w:rPr>
      </w:pPr>
    </w:p>
    <w:p w14:paraId="2F9A5AF3" w14:textId="62C850F7" w:rsidR="0081491A" w:rsidRDefault="0081491A" w:rsidP="009E4D4B">
      <w:pPr>
        <w:rPr>
          <w:rFonts w:ascii="Cambria Math" w:hAnsi="Cambria Math" w:cs="Times New Roman"/>
          <w:color w:val="BFBFBF" w:themeColor="background1" w:themeShade="BF"/>
          <w:sz w:val="20"/>
          <w:szCs w:val="20"/>
        </w:rPr>
      </w:pPr>
    </w:p>
    <w:p w14:paraId="05E34606" w14:textId="4390F92D" w:rsidR="0081491A" w:rsidRPr="00605D32" w:rsidRDefault="0081491A" w:rsidP="009E4D4B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D3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As the complexity of the data generating mechanism increases, so do the formulae for determining the values of various components to achieve a desired effect size. However, for these simple “toy” examples used for pedagogic purposes, this procedure is fairly straightforward. </w:t>
      </w:r>
      <w:r w:rsidR="00E509B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Instructors wishing to use other substantive examples, or desiring to specifically demonstrate other concepts (e.g. rare vs. common disease outcome) can choose prevalences of causal components accordingly. </w:t>
      </w:r>
    </w:p>
    <w:p w14:paraId="0874F374" w14:textId="2D3CAFF8" w:rsidR="00AB0F12" w:rsidRPr="00605D32" w:rsidRDefault="00AB0F12" w:rsidP="005A7073">
      <w:pPr>
        <w:ind w:left="720"/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sz w:val="22"/>
          <w:szCs w:val="22"/>
        </w:rPr>
      </w:pPr>
    </w:p>
    <w:sectPr w:rsidR="00AB0F12" w:rsidRPr="00605D32" w:rsidSect="00AB0F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2019A"/>
    <w:multiLevelType w:val="hybridMultilevel"/>
    <w:tmpl w:val="609489E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" w15:restartNumberingAfterBreak="0">
    <w:nsid w:val="235770AE"/>
    <w:multiLevelType w:val="hybridMultilevel"/>
    <w:tmpl w:val="1A626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85775"/>
    <w:multiLevelType w:val="hybridMultilevel"/>
    <w:tmpl w:val="7982FE50"/>
    <w:lvl w:ilvl="0" w:tplc="4C6668CA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03181822">
    <w:abstractNumId w:val="2"/>
  </w:num>
  <w:num w:numId="2" w16cid:durableId="635574550">
    <w:abstractNumId w:val="0"/>
  </w:num>
  <w:num w:numId="3" w16cid:durableId="1624842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D4B"/>
    <w:rsid w:val="00001D18"/>
    <w:rsid w:val="00026AD2"/>
    <w:rsid w:val="00047DC5"/>
    <w:rsid w:val="00052FF0"/>
    <w:rsid w:val="00055FB5"/>
    <w:rsid w:val="00073FEA"/>
    <w:rsid w:val="00086449"/>
    <w:rsid w:val="000B263D"/>
    <w:rsid w:val="000C4AF1"/>
    <w:rsid w:val="000F2DA4"/>
    <w:rsid w:val="001079CE"/>
    <w:rsid w:val="001117DF"/>
    <w:rsid w:val="00117138"/>
    <w:rsid w:val="00130741"/>
    <w:rsid w:val="00135410"/>
    <w:rsid w:val="001463B7"/>
    <w:rsid w:val="00163213"/>
    <w:rsid w:val="001854E7"/>
    <w:rsid w:val="00191394"/>
    <w:rsid w:val="001A23A6"/>
    <w:rsid w:val="001A4E30"/>
    <w:rsid w:val="001B4BAD"/>
    <w:rsid w:val="001B4EC1"/>
    <w:rsid w:val="001D53FB"/>
    <w:rsid w:val="001E777F"/>
    <w:rsid w:val="001F771B"/>
    <w:rsid w:val="00227094"/>
    <w:rsid w:val="002421DC"/>
    <w:rsid w:val="002912DF"/>
    <w:rsid w:val="002B3DF0"/>
    <w:rsid w:val="0030292F"/>
    <w:rsid w:val="00337300"/>
    <w:rsid w:val="0034174F"/>
    <w:rsid w:val="003647D8"/>
    <w:rsid w:val="003F29BD"/>
    <w:rsid w:val="0042252F"/>
    <w:rsid w:val="004438CC"/>
    <w:rsid w:val="004539E1"/>
    <w:rsid w:val="00466E9F"/>
    <w:rsid w:val="00474600"/>
    <w:rsid w:val="00487EFC"/>
    <w:rsid w:val="00491FCA"/>
    <w:rsid w:val="00495BC0"/>
    <w:rsid w:val="00495CB2"/>
    <w:rsid w:val="004C035B"/>
    <w:rsid w:val="004E3922"/>
    <w:rsid w:val="004F663A"/>
    <w:rsid w:val="00503481"/>
    <w:rsid w:val="00513756"/>
    <w:rsid w:val="0051464C"/>
    <w:rsid w:val="00546466"/>
    <w:rsid w:val="00570106"/>
    <w:rsid w:val="005801A8"/>
    <w:rsid w:val="00591DEB"/>
    <w:rsid w:val="005A7073"/>
    <w:rsid w:val="005B1B2D"/>
    <w:rsid w:val="005B264C"/>
    <w:rsid w:val="005B7080"/>
    <w:rsid w:val="005C5D30"/>
    <w:rsid w:val="005D0A24"/>
    <w:rsid w:val="005F018D"/>
    <w:rsid w:val="00600186"/>
    <w:rsid w:val="00605D32"/>
    <w:rsid w:val="006546C8"/>
    <w:rsid w:val="006D0368"/>
    <w:rsid w:val="006D4141"/>
    <w:rsid w:val="006E0AD1"/>
    <w:rsid w:val="006F74C2"/>
    <w:rsid w:val="0070079F"/>
    <w:rsid w:val="00702B2B"/>
    <w:rsid w:val="00727E7C"/>
    <w:rsid w:val="00734277"/>
    <w:rsid w:val="00763497"/>
    <w:rsid w:val="0077757B"/>
    <w:rsid w:val="00785422"/>
    <w:rsid w:val="00790695"/>
    <w:rsid w:val="007B490E"/>
    <w:rsid w:val="007C14A8"/>
    <w:rsid w:val="007F12FC"/>
    <w:rsid w:val="00810B7B"/>
    <w:rsid w:val="00813BD6"/>
    <w:rsid w:val="0081491A"/>
    <w:rsid w:val="00824E90"/>
    <w:rsid w:val="008A3B77"/>
    <w:rsid w:val="008A7FD1"/>
    <w:rsid w:val="008B1B95"/>
    <w:rsid w:val="008C707A"/>
    <w:rsid w:val="008D7678"/>
    <w:rsid w:val="00903204"/>
    <w:rsid w:val="00915D47"/>
    <w:rsid w:val="00916999"/>
    <w:rsid w:val="009270BF"/>
    <w:rsid w:val="009541D5"/>
    <w:rsid w:val="009548BA"/>
    <w:rsid w:val="00956CD0"/>
    <w:rsid w:val="0096130C"/>
    <w:rsid w:val="00965FF0"/>
    <w:rsid w:val="009670DA"/>
    <w:rsid w:val="00982237"/>
    <w:rsid w:val="00997A2F"/>
    <w:rsid w:val="009A7240"/>
    <w:rsid w:val="009C606C"/>
    <w:rsid w:val="009D2E9A"/>
    <w:rsid w:val="009E4D4B"/>
    <w:rsid w:val="009E6C8A"/>
    <w:rsid w:val="009F394D"/>
    <w:rsid w:val="009F6DB2"/>
    <w:rsid w:val="00A01844"/>
    <w:rsid w:val="00A201E4"/>
    <w:rsid w:val="00A26723"/>
    <w:rsid w:val="00A400EA"/>
    <w:rsid w:val="00A46D6A"/>
    <w:rsid w:val="00A67F3E"/>
    <w:rsid w:val="00A933C5"/>
    <w:rsid w:val="00AA69CB"/>
    <w:rsid w:val="00AB0EA5"/>
    <w:rsid w:val="00AB0F12"/>
    <w:rsid w:val="00AB31B7"/>
    <w:rsid w:val="00AB628D"/>
    <w:rsid w:val="00B422F7"/>
    <w:rsid w:val="00B61BC0"/>
    <w:rsid w:val="00BB5942"/>
    <w:rsid w:val="00BC23B8"/>
    <w:rsid w:val="00C20AA6"/>
    <w:rsid w:val="00C34E3F"/>
    <w:rsid w:val="00C477C7"/>
    <w:rsid w:val="00D11AAE"/>
    <w:rsid w:val="00D56388"/>
    <w:rsid w:val="00DD2DA7"/>
    <w:rsid w:val="00DE6909"/>
    <w:rsid w:val="00E050AA"/>
    <w:rsid w:val="00E1753F"/>
    <w:rsid w:val="00E24791"/>
    <w:rsid w:val="00E43D43"/>
    <w:rsid w:val="00E509BE"/>
    <w:rsid w:val="00E600B6"/>
    <w:rsid w:val="00EB0D4D"/>
    <w:rsid w:val="00EB17C0"/>
    <w:rsid w:val="00EC0907"/>
    <w:rsid w:val="00EC77B1"/>
    <w:rsid w:val="00EE1CD0"/>
    <w:rsid w:val="00EE55EA"/>
    <w:rsid w:val="00EF196C"/>
    <w:rsid w:val="00EF5F41"/>
    <w:rsid w:val="00F02BBE"/>
    <w:rsid w:val="00F35F08"/>
    <w:rsid w:val="00F72FEB"/>
    <w:rsid w:val="00F86C42"/>
    <w:rsid w:val="00FD0502"/>
    <w:rsid w:val="00FD2410"/>
    <w:rsid w:val="00FF3D4D"/>
    <w:rsid w:val="00FF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AB85"/>
  <w15:chartTrackingRefBased/>
  <w15:docId w15:val="{101EBD7C-25E4-FC42-9AB7-4092831A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D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E4D4B"/>
    <w:rPr>
      <w:color w:val="808080"/>
    </w:rPr>
  </w:style>
  <w:style w:type="table" w:styleId="TableGrid">
    <w:name w:val="Table Grid"/>
    <w:basedOn w:val="TableNormal"/>
    <w:uiPriority w:val="39"/>
    <w:rsid w:val="00AB0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72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2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2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72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724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4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katrina.kezios katrina.kezios</dc:creator>
  <cp:keywords/>
  <dc:description/>
  <cp:lastModifiedBy>Eleanor Hayes-Larson</cp:lastModifiedBy>
  <cp:revision>3</cp:revision>
  <dcterms:created xsi:type="dcterms:W3CDTF">2023-10-04T22:43:00Z</dcterms:created>
  <dcterms:modified xsi:type="dcterms:W3CDTF">2023-10-05T15:07:00Z</dcterms:modified>
</cp:coreProperties>
</file>