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pStyle w:val="18"/>
      </w:pPr>
      <w:r>
        <w:rPr>
          <w:rFonts w:hint="eastAsia"/>
        </w:rPr>
        <w:t>Life cycle exposure to 2-phenylbenzimidazole-5-sulfonic acid (PBSA) impairs reproductive endocrine functions and induces adverse transgenerational effects</w:t>
      </w:r>
    </w:p>
    <w:p>
      <w:pPr>
        <w:pStyle w:val="34"/>
        <w:rPr>
          <w:rFonts w:hint="default" w:eastAsia="宋体"/>
          <w:vertAlign w:val="superscript"/>
          <w:lang w:val="en-US" w:eastAsia="zh-CN"/>
        </w:rPr>
      </w:pPr>
      <w:r>
        <w:rPr>
          <w:rFonts w:hint="eastAsia"/>
        </w:rPr>
        <w:t>Junyan Tao</w:t>
      </w:r>
      <w:r>
        <w:rPr>
          <w:rFonts w:hint="eastAsia" w:eastAsia="宋体"/>
          <w:vertAlign w:val="superscript"/>
          <w:lang w:val="en-US" w:eastAsia="zh-CN"/>
        </w:rPr>
        <w:t>1</w:t>
      </w:r>
      <w:r>
        <w:rPr>
          <w:rFonts w:hint="eastAsia"/>
          <w:vertAlign w:val="superscript"/>
        </w:rPr>
        <w:t>,</w:t>
      </w:r>
      <w:r>
        <w:rPr>
          <w:rFonts w:hint="eastAsia" w:ascii="微软雅黑" w:hAnsi="微软雅黑" w:eastAsia="微软雅黑" w:cs="微软雅黑"/>
          <w:b/>
          <w:bCs w:val="0"/>
          <w:vertAlign w:val="superscript"/>
          <w:lang w:val="en-US" w:eastAsia="zh-CN"/>
        </w:rPr>
        <w:t>✝</w:t>
      </w:r>
      <w:r>
        <w:rPr>
          <w:rFonts w:hint="eastAsia"/>
          <w:vertAlign w:val="superscript"/>
        </w:rPr>
        <w:t>,*</w:t>
      </w:r>
      <w:r>
        <w:rPr>
          <w:rFonts w:hint="eastAsia"/>
        </w:rPr>
        <w:t>, Qinyuan Yang</w:t>
      </w:r>
      <w:r>
        <w:rPr>
          <w:rFonts w:hint="eastAsia" w:eastAsia="宋体"/>
          <w:vertAlign w:val="superscript"/>
          <w:lang w:val="en-US" w:eastAsia="zh-CN"/>
        </w:rPr>
        <w:t>1</w:t>
      </w:r>
      <w:r>
        <w:rPr>
          <w:rFonts w:hint="eastAsia"/>
          <w:vertAlign w:val="superscript"/>
        </w:rPr>
        <w:t>,</w:t>
      </w:r>
      <w:r>
        <w:rPr>
          <w:rFonts w:hint="eastAsia" w:ascii="微软雅黑" w:hAnsi="微软雅黑" w:eastAsia="微软雅黑" w:cs="微软雅黑"/>
          <w:b/>
          <w:bCs w:val="0"/>
          <w:vertAlign w:val="superscript"/>
          <w:lang w:val="en-US" w:eastAsia="zh-CN"/>
        </w:rPr>
        <w:t>✝</w:t>
      </w:r>
      <w:r>
        <w:rPr>
          <w:rFonts w:hint="eastAsia"/>
        </w:rPr>
        <w:t>, Xiaowei Sun</w:t>
      </w:r>
      <w:r>
        <w:rPr>
          <w:rFonts w:hint="eastAsia" w:eastAsia="宋体"/>
          <w:vertAlign w:val="superscript"/>
          <w:lang w:val="en-US" w:eastAsia="zh-CN"/>
        </w:rPr>
        <w:t>1</w:t>
      </w:r>
      <w:r>
        <w:rPr>
          <w:rFonts w:hint="eastAsia"/>
        </w:rPr>
        <w:t>, Linxuan Tian</w:t>
      </w:r>
      <w:r>
        <w:rPr>
          <w:rFonts w:hint="eastAsia" w:eastAsia="宋体"/>
          <w:vertAlign w:val="superscript"/>
          <w:lang w:val="en-US" w:eastAsia="zh-CN"/>
        </w:rPr>
        <w:t>1</w:t>
      </w:r>
      <w:r>
        <w:rPr>
          <w:rFonts w:hint="eastAsia"/>
        </w:rPr>
        <w:t>, Yuanzhi Deng</w:t>
      </w:r>
      <w:r>
        <w:rPr>
          <w:rFonts w:hint="eastAsia" w:eastAsia="宋体"/>
          <w:vertAlign w:val="superscript"/>
          <w:lang w:val="en-US" w:eastAsia="zh-CN"/>
        </w:rPr>
        <w:t>2</w:t>
      </w:r>
      <w:r>
        <w:rPr>
          <w:rFonts w:hint="eastAsia"/>
        </w:rPr>
        <w:t>, Yumei Wang</w:t>
      </w:r>
      <w:r>
        <w:rPr>
          <w:rFonts w:hint="eastAsia" w:eastAsia="宋体"/>
          <w:vertAlign w:val="superscript"/>
          <w:lang w:val="en-US" w:eastAsia="zh-CN"/>
        </w:rPr>
        <w:t>2</w:t>
      </w:r>
      <w:r>
        <w:rPr>
          <w:rFonts w:hint="eastAsia"/>
        </w:rPr>
        <w:t>, Weiwei Wang</w:t>
      </w:r>
      <w:r>
        <w:rPr>
          <w:rFonts w:hint="eastAsia" w:eastAsia="宋体"/>
          <w:vertAlign w:val="superscript"/>
          <w:lang w:val="en-US" w:eastAsia="zh-CN"/>
        </w:rPr>
        <w:t>1</w:t>
      </w:r>
      <w:r>
        <w:rPr>
          <w:rFonts w:hint="eastAsia" w:eastAsia="宋体"/>
          <w:vertAlign w:val="baseline"/>
          <w:lang w:val="en-US" w:eastAsia="zh-CN"/>
        </w:rPr>
        <w:t xml:space="preserve">, </w:t>
      </w:r>
      <w:r>
        <w:rPr>
          <w:rFonts w:hint="eastAsia" w:eastAsia="宋体"/>
          <w:b/>
          <w:bCs w:val="0"/>
          <w:vertAlign w:val="baseline"/>
          <w:lang w:val="en-US" w:eastAsia="zh-CN"/>
        </w:rPr>
        <w:t>Xiaoming Fan</w:t>
      </w:r>
      <w:r>
        <w:rPr>
          <w:rFonts w:hint="eastAsia" w:eastAsia="宋体"/>
          <w:b/>
          <w:bCs w:val="0"/>
          <w:vertAlign w:val="superscript"/>
          <w:lang w:val="en-US" w:eastAsia="zh-CN"/>
        </w:rPr>
        <w:t>3</w:t>
      </w:r>
    </w:p>
    <w:p>
      <w:pPr>
        <w:spacing w:before="240" w:after="0"/>
        <w:rPr>
          <w:rFonts w:hint="eastAsia" w:cs="Times New Roman"/>
          <w:szCs w:val="24"/>
        </w:rPr>
      </w:pPr>
      <w:r>
        <w:rPr>
          <w:rFonts w:cs="Times New Roman"/>
          <w:szCs w:val="24"/>
          <w:vertAlign w:val="superscript"/>
        </w:rPr>
        <w:t>1</w:t>
      </w:r>
      <w:r>
        <w:rPr>
          <w:rFonts w:hint="eastAsia" w:cs="Times New Roman"/>
          <w:szCs w:val="24"/>
        </w:rPr>
        <w:t>School of Public Health, the Key Laboratory of Environmental Pollution Monitoring and Disease Control, Ministry of Education, Guizhou Medical University, Guiyang, China</w:t>
      </w:r>
    </w:p>
    <w:p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Clinical Medical College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Guizhou Medical University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Guiyang,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China</w:t>
      </w:r>
    </w:p>
    <w:p>
      <w:pPr>
        <w:spacing w:before="240" w:after="0"/>
        <w:rPr>
          <w:rFonts w:hint="eastAsia" w:ascii="Times New Roman" w:hAnsi="Times New Roman" w:cs="Times New Roman"/>
          <w:sz w:val="24"/>
          <w:szCs w:val="24"/>
          <w:lang w:eastAsia="zh-CN"/>
        </w:rPr>
      </w:pPr>
      <w:r>
        <w:rPr>
          <w:rFonts w:hint="eastAsia" w:eastAsia="宋体" w:cs="Times New Roman"/>
          <w:sz w:val="24"/>
          <w:szCs w:val="24"/>
          <w:vertAlign w:val="superscript"/>
          <w:lang w:val="en-US" w:eastAsia="zh-CN"/>
        </w:rPr>
        <w:t>3</w:t>
      </w:r>
      <w:r>
        <w:rPr>
          <w:rFonts w:hint="eastAsia" w:ascii="Times New Roman" w:hAnsi="Times New Roman" w:cs="Times New Roman"/>
          <w:sz w:val="24"/>
          <w:szCs w:val="24"/>
        </w:rPr>
        <w:t>Department of Human Anatomy, School of Basic Medicine, Guilin Medical University, Guangxi Zhuang Autonomous Region, China.</w:t>
      </w:r>
    </w:p>
    <w:p>
      <w:pPr>
        <w:spacing w:before="240" w:after="0"/>
        <w:rPr>
          <w:rFonts w:cs="Times New Roman"/>
        </w:rPr>
      </w:pPr>
      <w:r>
        <w:rPr>
          <w:rFonts w:cs="Times New Roman"/>
          <w:b/>
        </w:rPr>
        <w:t xml:space="preserve">* Correspondence: </w:t>
      </w:r>
      <w:r>
        <w:rPr>
          <w:rFonts w:cs="Times New Roman"/>
        </w:rPr>
        <w:t xml:space="preserve">Corresponding Author: </w:t>
      </w:r>
      <w:r>
        <w:rPr>
          <w:rFonts w:hint="eastAsia" w:cs="Times New Roman"/>
        </w:rPr>
        <w:t>junyanwmu@163.com (J. Tao)</w:t>
      </w:r>
    </w:p>
    <w:p>
      <w:pPr>
        <w:keepNext/>
        <w:jc w:val="center"/>
        <w:rPr>
          <w:rFonts w:cs="Times New Roman"/>
          <w:szCs w:val="24"/>
        </w:rPr>
      </w:pPr>
      <w:r>
        <w:rPr>
          <w:rFonts w:ascii="Times New Roman" w:hAnsi="Times New Roman" w:cs="Times New Roman"/>
          <w:kern w:val="0"/>
          <w:szCs w:val="21"/>
        </w:rPr>
        <w:drawing>
          <wp:inline distT="0" distB="0" distL="0" distR="0">
            <wp:extent cx="4929505" cy="3200400"/>
            <wp:effectExtent l="0" t="0" r="8255" b="0"/>
            <wp:docPr id="470169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6906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Fig. S1</w:t>
      </w:r>
      <w:r>
        <w:rPr>
          <w:rFonts w:ascii="Times New Roman" w:hAnsi="Times New Roman" w:cs="Times New Roman"/>
          <w:b/>
          <w:bCs/>
          <w:color w:val="101214"/>
          <w:shd w:val="clear" w:color="auto" w:fill="FFFFFF"/>
        </w:rPr>
        <w:t>.</w:t>
      </w:r>
      <w:r>
        <w:rPr>
          <w:rFonts w:hint="eastAsia" w:ascii="Times New Roman" w:hAnsi="Times New Roman" w:cs="Times New Roman"/>
          <w:b/>
          <w:bCs/>
          <w:color w:val="10121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Method to sample </w:t>
      </w:r>
      <w:r>
        <w:rPr>
          <w:rFonts w:hint="eastAsia" w:ascii="Times New Roman" w:hAnsi="Times New Roman" w:cs="Times New Roman"/>
          <w:sz w:val="24"/>
          <w:szCs w:val="24"/>
        </w:rPr>
        <w:t>ovary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sz w:val="24"/>
          <w:szCs w:val="24"/>
        </w:rPr>
        <w:t xml:space="preserve">liver, </w:t>
      </w:r>
      <w:r>
        <w:rPr>
          <w:rFonts w:ascii="Times New Roman" w:hAnsi="Times New Roman" w:cs="Times New Roman"/>
          <w:sz w:val="24"/>
          <w:szCs w:val="24"/>
        </w:rPr>
        <w:t>and brain</w:t>
      </w:r>
      <w:r>
        <w:rPr>
          <w:rFonts w:hint="eastAsia" w:ascii="Times New Roman" w:hAnsi="Times New Roman" w:cs="Times New Roman"/>
          <w:sz w:val="24"/>
          <w:szCs w:val="24"/>
        </w:rPr>
        <w:t>, and three</w:t>
      </w:r>
      <w:r>
        <w:rPr>
          <w:rFonts w:ascii="Times New Roman" w:hAnsi="Times New Roman" w:cs="Times New Roman"/>
          <w:sz w:val="24"/>
          <w:szCs w:val="24"/>
        </w:rPr>
        <w:t xml:space="preserve"> tissues isolated from female </w:t>
      </w:r>
      <w:r>
        <w:rPr>
          <w:rFonts w:hint="eastAsia" w:ascii="Times New Roman" w:hAnsi="Times New Roman" w:cs="Times New Roman"/>
          <w:sz w:val="24"/>
          <w:szCs w:val="24"/>
        </w:rPr>
        <w:t>(A) and male (B) adult zebra</w:t>
      </w:r>
      <w:r>
        <w:rPr>
          <w:rFonts w:ascii="Times New Roman" w:hAnsi="Times New Roman" w:cs="Times New Roman"/>
          <w:sz w:val="24"/>
          <w:szCs w:val="24"/>
        </w:rPr>
        <w:t>fish.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  <w:r>
        <w:rPr>
          <w:rFonts w:ascii="Times New Roman" w:hAnsi="Times New Roman" w:cs="Times New Roman"/>
          <w:b/>
          <w:bCs/>
          <w:kern w:val="0"/>
          <w:szCs w:val="21"/>
        </w:rPr>
        <w:drawing>
          <wp:inline distT="0" distB="0" distL="0" distR="0">
            <wp:extent cx="5274310" cy="2290445"/>
            <wp:effectExtent l="0" t="0" r="13970" b="10795"/>
            <wp:docPr id="8932260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22604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bookmarkStart w:id="0" w:name="OLE_LINK1"/>
      <w:r>
        <w:rPr>
          <w:rFonts w:ascii="Times New Roman" w:hAnsi="Times New Roman" w:cs="Times New Roman"/>
          <w:kern w:val="0"/>
          <w:sz w:val="24"/>
          <w:szCs w:val="24"/>
        </w:rPr>
        <w:t>Fig. S</w:t>
      </w:r>
      <w:bookmarkEnd w:id="0"/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kern w:val="24"/>
          <w:sz w:val="36"/>
          <w:szCs w:val="3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The melt curves of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β-actin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(A),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erα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(B),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lhβ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(C),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fshβ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(D),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gnrh2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(E) and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gnrh3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(F) in zebrafish brains</w:t>
      </w:r>
    </w:p>
    <w:p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drawing>
          <wp:inline distT="0" distB="0" distL="0" distR="0">
            <wp:extent cx="5487035" cy="965835"/>
            <wp:effectExtent l="0" t="0" r="14605" b="9525"/>
            <wp:docPr id="968504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0413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"/>
                    <a:stretch>
                      <a:fillRect/>
                    </a:stretch>
                  </pic:blipFill>
                  <pic:spPr>
                    <a:xfrm>
                      <a:off x="0" y="0"/>
                      <a:ext cx="5533064" cy="9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Fig S3. The melt curves of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17βhsd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(A),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cyp19a1a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(B),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cyp11b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(C) and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β-actin </w:t>
      </w:r>
      <w:r>
        <w:rPr>
          <w:rFonts w:ascii="Times New Roman" w:hAnsi="Times New Roman" w:cs="Times New Roman"/>
          <w:kern w:val="0"/>
          <w:sz w:val="24"/>
          <w:szCs w:val="24"/>
        </w:rPr>
        <w:t>(D) in zebrafish gonads</w:t>
      </w:r>
    </w:p>
    <w:p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208405"/>
            <wp:effectExtent l="0" t="0" r="13970" b="10795"/>
            <wp:docPr id="4079914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91410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Fig. S4</w:t>
      </w:r>
      <w:r>
        <w:rPr>
          <w:rFonts w:ascii="TimesNewRomanPSMT" w:hAnsi="TimesNewRomanPSMT"/>
          <w:color w:val="000000" w:themeColor="text1"/>
          <w:kern w:val="24"/>
          <w:sz w:val="36"/>
          <w:szCs w:val="3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The melt curves of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vtg1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(A),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vtg2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(B), and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β-actin </w:t>
      </w:r>
      <w:r>
        <w:rPr>
          <w:rFonts w:ascii="Times New Roman" w:hAnsi="Times New Roman" w:cs="Times New Roman"/>
          <w:kern w:val="0"/>
          <w:sz w:val="24"/>
          <w:szCs w:val="24"/>
        </w:rPr>
        <w:t>(C) in zebrafish livers</w:t>
      </w:r>
    </w:p>
    <w:p>
      <w:pPr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spacing w:before="24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drawing>
          <wp:inline distT="0" distB="0" distL="0" distR="0">
            <wp:extent cx="5104765" cy="1666240"/>
            <wp:effectExtent l="0" t="0" r="635" b="10160"/>
            <wp:docPr id="3978785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78566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"/>
                    <a:stretch>
                      <a:fillRect/>
                    </a:stretch>
                  </pic:blipFill>
                  <pic:spPr>
                    <a:xfrm>
                      <a:off x="0" y="0"/>
                      <a:ext cx="5127332" cy="167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360" w:lineRule="auto"/>
        <w:ind w:left="390" w:leftChars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Fig. S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5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Representative images showing normal (A) and deformed (B, C and D) larvae. BS, bent spine; PE, pericardial edema; YSE, yolk-sac edema. Scale bars, 100 µm</w:t>
      </w:r>
    </w:p>
    <w:p>
      <w:pPr>
        <w:pStyle w:val="3"/>
        <w:numPr>
          <w:ilvl w:val="0"/>
          <w:numId w:val="0"/>
        </w:numPr>
        <w:spacing w:line="360" w:lineRule="auto"/>
        <w:ind w:left="390" w:leftChars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53685" cy="5248275"/>
            <wp:effectExtent l="0" t="0" r="10795" b="9525"/>
            <wp:docPr id="419458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58159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7009" cy="525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360" w:lineRule="auto"/>
        <w:ind w:left="390" w:leftChars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Fig. S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6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Effects of PBSA exposure on the expression levels of HPG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L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axis-related genes. Trends are expressed in different colors, with red for up-regulation and blue for down-regulation</w:t>
      </w:r>
    </w:p>
    <w:p>
      <w:pPr>
        <w:spacing w:before="240"/>
        <w:jc w:val="center"/>
        <w:rPr>
          <w:rFonts w:hint="eastAsia"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drawing>
          <wp:inline distT="0" distB="0" distL="114300" distR="114300">
            <wp:extent cx="3111500" cy="3091180"/>
            <wp:effectExtent l="0" t="0" r="12700" b="2540"/>
            <wp:docPr id="2" name="图片 2" descr="补充材料-拉氏图片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补充材料-拉氏图片-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360" w:lineRule="auto"/>
        <w:ind w:left="390" w:leftChars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Fig. S7 </w:t>
      </w:r>
      <w:r>
        <w:rPr>
          <w:rFonts w:ascii="Times New Roman" w:hAnsi="Times New Roman" w:cs="Times New Roman"/>
          <w:sz w:val="24"/>
          <w:szCs w:val="24"/>
        </w:rPr>
        <w:t>An analysis of the protein structure through Ramachandran revealed that the protein structure was successfully constructed.</w:t>
      </w:r>
    </w:p>
    <w:p>
      <w:pPr>
        <w:pStyle w:val="3"/>
        <w:numPr>
          <w:ilvl w:val="0"/>
          <w:numId w:val="0"/>
        </w:numPr>
        <w:spacing w:line="360" w:lineRule="auto"/>
        <w:ind w:left="390" w:leftChars="0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ind w:firstLine="960" w:firstLineChars="400"/>
        <w:jc w:val="left"/>
        <w:rPr>
          <w:rFonts w:ascii="Times New Roman" w:hAnsi="Times New Roman" w:cs="Times New Roman" w:eastAsiaTheme="minorHAnsi"/>
        </w:rPr>
      </w:pPr>
      <w:r>
        <w:rPr>
          <w:rFonts w:ascii="Times New Roman" w:hAnsi="Times New Roman" w:cs="Times New Roman"/>
        </w:rPr>
        <w:t>BP3-ER</w:t>
      </w:r>
      <w:r>
        <w:rPr>
          <w:rFonts w:ascii="Times New Roman" w:hAnsi="Times New Roman" w:cs="Times New Roman" w:eastAsiaTheme="minorHAnsi"/>
        </w:rPr>
        <w:t>α</w:t>
      </w:r>
      <w:r>
        <w:rPr>
          <w:rFonts w:hint="eastAsia" w:ascii="Times New Roman" w:hAnsi="Times New Roman" w:cs="Times New Roman" w:eastAsiaTheme="minorHAnsi"/>
        </w:rPr>
        <w:t xml:space="preserve">                        </w:t>
      </w:r>
      <w:r>
        <w:rPr>
          <w:rFonts w:hint="eastAsia" w:eastAsia="宋体" w:cs="Times New Roman"/>
          <w:lang w:val="en-US" w:eastAsia="zh-CN"/>
        </w:rPr>
        <w:t xml:space="preserve">       </w:t>
      </w:r>
      <w:r>
        <w:rPr>
          <w:rFonts w:ascii="Times New Roman" w:hAnsi="Times New Roman" w:cs="Times New Roman"/>
        </w:rPr>
        <w:t>BPA-ER</w:t>
      </w:r>
      <w:r>
        <w:rPr>
          <w:rFonts w:ascii="Times New Roman" w:hAnsi="Times New Roman" w:cs="Times New Roman" w:eastAsiaTheme="minorHAnsi"/>
        </w:rPr>
        <w:t>α</w:t>
      </w:r>
      <w:r>
        <w:rPr>
          <w:rFonts w:hint="eastAsia" w:ascii="Times New Roman" w:hAnsi="Times New Roman" w:cs="Times New Roman" w:eastAsiaTheme="minorHAnsi"/>
        </w:rPr>
        <w:t xml:space="preserve">                     </w:t>
      </w:r>
      <w:r>
        <w:rPr>
          <w:rFonts w:hint="eastAsia" w:eastAsia="宋体" w:cs="Times New Roman"/>
          <w:lang w:val="en-US" w:eastAsia="zh-CN"/>
        </w:rPr>
        <w:t xml:space="preserve">                  </w:t>
      </w:r>
      <w:r>
        <w:rPr>
          <w:rFonts w:ascii="Times New Roman" w:hAnsi="Times New Roman" w:cs="Times New Roman"/>
        </w:rPr>
        <w:t>PBSA-ER</w:t>
      </w:r>
      <w:r>
        <w:rPr>
          <w:rFonts w:ascii="Times New Roman" w:hAnsi="Times New Roman" w:cs="Times New Roman" w:eastAsiaTheme="minorHAnsi"/>
        </w:rPr>
        <w:t>α</w:t>
      </w:r>
    </w:p>
    <w:p>
      <w:pPr>
        <w:rPr>
          <w:rFonts w:ascii="Times New Roman" w:hAnsi="Times New Roman" w:cs="Times New Roman"/>
        </w:rPr>
      </w:pPr>
      <w:r>
        <w:rPr>
          <w:rFonts w:hint="eastAsia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64770</wp:posOffset>
            </wp:positionV>
            <wp:extent cx="1851025" cy="1360805"/>
            <wp:effectExtent l="0" t="0" r="8255" b="10795"/>
            <wp:wrapTight wrapText="bothSides">
              <wp:wrapPolygon>
                <wp:start x="0" y="0"/>
                <wp:lineTo x="0" y="21288"/>
                <wp:lineTo x="21341" y="21288"/>
                <wp:lineTo x="21341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" t="1033" r="816" b="1252"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360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HAnsi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46355</wp:posOffset>
            </wp:positionV>
            <wp:extent cx="1908175" cy="1405255"/>
            <wp:effectExtent l="0" t="0" r="12065" b="1206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" t="808" r="636" b="808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405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701800" cy="1620520"/>
            <wp:effectExtent l="0" t="0" r="508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" t="796" r="125" b="965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620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960" w:firstLineChars="400"/>
        <w:jc w:val="left"/>
        <w:rPr>
          <w:rFonts w:hint="eastAsia" w:ascii="Times New Roman" w:hAnsi="Times New Roman" w:cs="Times New Roman" w:eastAsiaTheme="minorHAnsi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202565</wp:posOffset>
            </wp:positionV>
            <wp:extent cx="1585595" cy="1494155"/>
            <wp:effectExtent l="0" t="0" r="45085" b="45085"/>
            <wp:wrapTight wrapText="bothSides">
              <wp:wrapPolygon>
                <wp:start x="0" y="0"/>
                <wp:lineTo x="0" y="21371"/>
                <wp:lineTo x="21384" y="21371"/>
                <wp:lineTo x="21384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" t="982" r="1" b="762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494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293370</wp:posOffset>
            </wp:positionV>
            <wp:extent cx="1993900" cy="1136650"/>
            <wp:effectExtent l="0" t="0" r="2540" b="6350"/>
            <wp:wrapTight wrapText="bothSides">
              <wp:wrapPolygon>
                <wp:start x="0" y="0"/>
                <wp:lineTo x="0" y="21431"/>
                <wp:lineTo x="21462" y="21431"/>
                <wp:lineTo x="21462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" t="1894" r="563" b="1498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136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BP3-ER</w:t>
      </w:r>
      <w:r>
        <w:rPr>
          <w:rFonts w:ascii="Times New Roman" w:hAnsi="Times New Roman" w:cs="Times New Roman" w:eastAsiaTheme="minorHAnsi"/>
        </w:rPr>
        <w:t>β</w:t>
      </w:r>
      <w:r>
        <w:rPr>
          <w:rFonts w:hint="eastAsia" w:ascii="Times New Roman" w:hAnsi="Times New Roman" w:cs="Times New Roman" w:eastAsiaTheme="minorHAnsi"/>
        </w:rPr>
        <w:t xml:space="preserve">                      </w:t>
      </w:r>
      <w:r>
        <w:rPr>
          <w:rFonts w:hint="eastAsia" w:eastAsia="宋体" w:cs="Times New Roman"/>
          <w:lang w:val="en-US" w:eastAsia="zh-CN"/>
        </w:rPr>
        <w:t xml:space="preserve">        </w:t>
      </w:r>
      <w:r>
        <w:rPr>
          <w:rFonts w:hint="eastAsia" w:ascii="Times New Roman" w:hAnsi="Times New Roman" w:cs="Times New Roman" w:eastAsiaTheme="minorHAnsi"/>
        </w:rPr>
        <w:t xml:space="preserve">  </w:t>
      </w:r>
      <w:r>
        <w:rPr>
          <w:rFonts w:ascii="Times New Roman" w:hAnsi="Times New Roman" w:cs="Times New Roman"/>
        </w:rPr>
        <w:t>BPA-ER</w:t>
      </w:r>
      <w:r>
        <w:rPr>
          <w:rFonts w:ascii="Times New Roman" w:hAnsi="Times New Roman" w:cs="Times New Roman" w:eastAsiaTheme="minorHAnsi"/>
        </w:rPr>
        <w:t>β</w:t>
      </w:r>
      <w:r>
        <w:rPr>
          <w:rFonts w:hint="eastAsia" w:ascii="Times New Roman" w:hAnsi="Times New Roman" w:cs="Times New Roman" w:eastAsiaTheme="minorHAnsi"/>
        </w:rPr>
        <w:t xml:space="preserve">                     </w:t>
      </w:r>
      <w:r>
        <w:rPr>
          <w:rFonts w:hint="eastAsia" w:eastAsia="宋体" w:cs="Times New Roman"/>
          <w:lang w:val="en-US" w:eastAsia="zh-CN"/>
        </w:rPr>
        <w:t xml:space="preserve">               </w:t>
      </w:r>
      <w:r>
        <w:rPr>
          <w:rFonts w:hint="eastAsia" w:eastAsia="宋体" w:cs="Times New Roman"/>
          <w:b w:val="0"/>
          <w:bCs w:val="0"/>
          <w:lang w:val="en-US" w:eastAsia="zh-CN"/>
        </w:rPr>
        <w:t xml:space="preserve"> </w:t>
      </w:r>
      <w:r>
        <w:rPr>
          <w:rFonts w:hint="eastAsia" w:ascii="Times New Roman" w:hAnsi="Times New Roman" w:cs="Times New Roman" w:eastAsiaTheme="minorHAnsi"/>
          <w:lang w:val="en-US" w:eastAsia="zh-CN"/>
        </w:rPr>
        <w:t>PBSA</w:t>
      </w:r>
      <w:r>
        <w:rPr>
          <w:rFonts w:hint="eastAsia" w:ascii="Times New Roman" w:hAnsi="Times New Roman" w:cs="Times New Roman" w:eastAsiaTheme="minorHAnsi"/>
        </w:rPr>
        <w:t>-</w:t>
      </w:r>
      <w:bookmarkStart w:id="1" w:name="OLE_LINK2"/>
      <w:r>
        <w:rPr>
          <w:rFonts w:hint="eastAsia" w:ascii="Times New Roman" w:hAnsi="Times New Roman" w:cs="Times New Roman" w:eastAsiaTheme="minorHAnsi"/>
        </w:rPr>
        <w:t>ERβ</w:t>
      </w:r>
    </w:p>
    <w:bookmarkEnd w:id="1"/>
    <w:p>
      <w:pPr>
        <w:jc w:val="left"/>
      </w:pPr>
      <w:r>
        <w:drawing>
          <wp:inline distT="0" distB="0" distL="0" distR="0">
            <wp:extent cx="1811020" cy="1296670"/>
            <wp:effectExtent l="0" t="0" r="254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" t="595" r="556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296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jc w:val="center"/>
        <w:rPr>
          <w:rFonts w:hint="default"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Fig. S8 Molecular interactions between BP3,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BPA,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PBSA and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ERα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,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ERβ</w:t>
      </w: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attachedTemplate r:id="rId1"/>
  <w:documentProtection w:enforcement="0"/>
  <w:defaultTabStop w:val="720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IxOWIyMDNlOGE2ZDI5MzI3ZGQzNTFjYzZlYmY0NWYifQ=="/>
  </w:docVars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1964270"/>
    <w:rsid w:val="02B04EBD"/>
    <w:rsid w:val="30C85EAB"/>
    <w:rsid w:val="385C6972"/>
    <w:rsid w:val="3FAA26B9"/>
    <w:rsid w:val="4D1A6FB7"/>
    <w:rsid w:val="600F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Revision"/>
    <w:hidden/>
    <w:semiHidden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6.xml"/><Relationship Id="rId28" Type="http://schemas.openxmlformats.org/officeDocument/2006/relationships/customXml" Target="../customXml/item5.xml"/><Relationship Id="rId27" Type="http://schemas.openxmlformats.org/officeDocument/2006/relationships/customXml" Target="../customXml/item4.xml"/><Relationship Id="rId26" Type="http://schemas.openxmlformats.org/officeDocument/2006/relationships/customXml" Target="../customXml/item3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tiff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/>
</ds:datastoreItem>
</file>

<file path=customXml/itemProps3.xml><?xml version="1.0" encoding="utf-8"?>
<ds:datastoreItem xmlns:ds="http://schemas.openxmlformats.org/officeDocument/2006/customXml" ds:itemID="{4B2E0E22-D442-4EBE-AAA2-EDC8871E7B41}">
  <ds:schemaRefs/>
</ds:datastoreItem>
</file>

<file path=customXml/itemProps4.xml><?xml version="1.0" encoding="utf-8"?>
<ds:datastoreItem xmlns:ds="http://schemas.openxmlformats.org/officeDocument/2006/customXml" ds:itemID="{A3D4929F-83D0-432F-8F82-6D4423C25F5E}">
  <ds:schemaRefs/>
</ds:datastoreItem>
</file>

<file path=customXml/itemProps5.xml><?xml version="1.0" encoding="utf-8"?>
<ds:datastoreItem xmlns:ds="http://schemas.openxmlformats.org/officeDocument/2006/customXml" ds:itemID="{DFF441E3-103C-4487-877D-08CD22337C19}">
  <ds:schemaRefs/>
</ds:datastoreItem>
</file>

<file path=customXml/itemProps6.xml><?xml version="1.0" encoding="utf-8"?>
<ds:datastoreItem xmlns:ds="http://schemas.openxmlformats.org/officeDocument/2006/customXml" ds:itemID="{114314AF-3C36-4C2C-B599-40A76C6FFF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4</Pages>
  <Words>258</Words>
  <Characters>1488</Characters>
  <Lines>7</Lines>
  <Paragraphs>2</Paragraphs>
  <TotalTime>57</TotalTime>
  <ScaleCrop>false</ScaleCrop>
  <LinksUpToDate>false</LinksUpToDate>
  <CharactersWithSpaces>1860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2022-11-17T16:58:00Z</dcterms:created>
  <dc:creator>Frontiers</dc:creator>
  <cp:lastModifiedBy>a微信</cp:lastModifiedBy>
  <cp:lastPrinted>2013-10-03T12:51:00Z</cp:lastPrinted>
  <dcterms:modified xsi:type="dcterms:W3CDTF">2023-10-27T15:23:28Z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2052-11.1.0.14309</vt:lpwstr>
  </property>
  <property fmtid="{D5CDD505-2E9C-101B-9397-08002B2CF9AE}" pid="11" name="ICV">
    <vt:lpwstr>19D55B2EDA534D8288B0A21ED270E47E_12</vt:lpwstr>
  </property>
</Properties>
</file>