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0382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319C8">
        <w:rPr>
          <w:rFonts w:ascii="Times New Roman" w:hAnsi="Times New Roman" w:cs="Times New Roman"/>
          <w:b/>
          <w:bCs/>
          <w:sz w:val="32"/>
          <w:szCs w:val="32"/>
        </w:rPr>
        <w:t>Supplementary data</w:t>
      </w:r>
    </w:p>
    <w:p w14:paraId="092F56CA" w14:textId="77777777" w:rsidR="00F17AC5" w:rsidRPr="006319C8" w:rsidRDefault="00F17AC5" w:rsidP="000D759F">
      <w:pPr>
        <w:pStyle w:val="EndNoteBibliography"/>
        <w:spacing w:line="360" w:lineRule="auto"/>
        <w:jc w:val="both"/>
        <w:rPr>
          <w:rFonts w:eastAsia="Times New Roman"/>
        </w:rPr>
      </w:pPr>
    </w:p>
    <w:p w14:paraId="78213E93" w14:textId="77777777" w:rsidR="00F17AC5" w:rsidRPr="006319C8" w:rsidRDefault="00F17AC5" w:rsidP="000D759F">
      <w:pPr>
        <w:pStyle w:val="EndNoteBibliography"/>
        <w:spacing w:line="360" w:lineRule="auto"/>
        <w:jc w:val="both"/>
        <w:rPr>
          <w:rFonts w:eastAsia="Times New Roman"/>
          <w:b/>
          <w:bCs/>
        </w:rPr>
      </w:pPr>
      <w:r w:rsidRPr="006319C8">
        <w:rPr>
          <w:rFonts w:eastAsia="Times New Roman"/>
          <w:b/>
          <w:bCs/>
        </w:rPr>
        <w:t>Materials</w:t>
      </w:r>
    </w:p>
    <w:p w14:paraId="2E6A7A46" w14:textId="77777777" w:rsidR="00F17AC5" w:rsidRPr="006319C8" w:rsidRDefault="00F17AC5" w:rsidP="000D759F">
      <w:pPr>
        <w:pStyle w:val="EndNoteBibliography"/>
        <w:spacing w:line="360" w:lineRule="auto"/>
        <w:jc w:val="both"/>
        <w:rPr>
          <w:rFonts w:eastAsia="Times New Roman"/>
          <w:szCs w:val="20"/>
          <w:lang w:eastAsia="en-US"/>
        </w:rPr>
      </w:pPr>
      <w:r w:rsidRPr="006319C8">
        <w:rPr>
          <w:rFonts w:eastAsia="Times New Roman"/>
        </w:rPr>
        <w:t>The material standard of ginsenosides (&gt;98%) for analysis were obtained from Ambo institute (Daejeon, Korea). D</w:t>
      </w:r>
      <w:r w:rsidRPr="006319C8">
        <w:rPr>
          <w:rFonts w:eastAsia="Times New Roman"/>
          <w:szCs w:val="20"/>
          <w:lang w:eastAsia="en-US"/>
        </w:rPr>
        <w:t xml:space="preserve">odecanoic acid (12:0), myristric acid (14:0), pentadecanoic acid (15:0), palmitic acid (16:0), palmitoleic acid (16:1), hepadecanoic acid (17:0), stearic acid (18:0), oleic acid (18:1),  linoleic acid (18:2), arachidic acid (20:0), </w:t>
      </w:r>
      <w:bookmarkStart w:id="0" w:name="_Hlk152717764"/>
      <w:r w:rsidRPr="006319C8">
        <w:rPr>
          <w:rFonts w:eastAsia="Times New Roman"/>
          <w:szCs w:val="20"/>
          <w:lang w:eastAsia="en-US"/>
        </w:rPr>
        <w:t xml:space="preserve">heneicosanoic acid </w:t>
      </w:r>
      <w:bookmarkEnd w:id="0"/>
      <w:r w:rsidRPr="006319C8">
        <w:rPr>
          <w:rFonts w:eastAsia="Times New Roman"/>
          <w:szCs w:val="20"/>
          <w:lang w:eastAsia="en-US"/>
        </w:rPr>
        <w:t xml:space="preserve">(21:0), behenic acid (22:0), </w:t>
      </w:r>
      <w:bookmarkStart w:id="1" w:name="_Hlk152717770"/>
      <w:r w:rsidRPr="006319C8">
        <w:rPr>
          <w:rFonts w:eastAsia="Times New Roman"/>
          <w:szCs w:val="20"/>
          <w:lang w:eastAsia="en-US"/>
        </w:rPr>
        <w:t xml:space="preserve">tricosanoic acid </w:t>
      </w:r>
      <w:bookmarkEnd w:id="1"/>
      <w:r w:rsidRPr="006319C8">
        <w:rPr>
          <w:rFonts w:eastAsia="Times New Roman"/>
          <w:szCs w:val="20"/>
          <w:lang w:eastAsia="en-US"/>
        </w:rPr>
        <w:t xml:space="preserve">(23:0), lignoceric acid (24:0), palmitic acid-d31 (16:0, d31), </w:t>
      </w:r>
      <w:r w:rsidRPr="006319C8">
        <w:rPr>
          <w:rFonts w:eastAsia="Times New Roman"/>
        </w:rPr>
        <w:t>digitoxin,</w:t>
      </w:r>
      <w:r w:rsidRPr="006319C8">
        <w:rPr>
          <w:rFonts w:eastAsia="Times New Roman"/>
          <w:szCs w:val="20"/>
          <w:lang w:eastAsia="en-US"/>
        </w:rPr>
        <w:t xml:space="preserve"> and formic acid were obtained from Sigma-Aldrich (St. Louis, MO, USA), and materials were stored at -20°C until used. The purity of standard materials was used as analytical standard. MethPrep II was obtained from Alltech Inc. (Deerfield, IL). Hexane was purchased from Junsei Chem (Chou-ku, Japan). Chloroform, methanol, and distilled water were purchased from J.T. Baker (Phillipsburg, NJ, USA). All solvent was used as HPLC-grade quality</w:t>
      </w:r>
    </w:p>
    <w:p w14:paraId="45E1A66C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A52A6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</w:pPr>
      <w:r w:rsidRPr="006319C8"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>The analysis of ginsenoside content within the red ginseng</w:t>
      </w:r>
      <w:r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 xml:space="preserve"> </w:t>
      </w:r>
      <w:r w:rsidRPr="006319C8"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>product</w:t>
      </w:r>
    </w:p>
    <w:p w14:paraId="1301AD35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hAnsi="Times New Roman" w:cs="Times New Roman"/>
        </w:rPr>
      </w:pP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The method for </w:t>
      </w:r>
      <w:r w:rsidRPr="00273FCE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measuring red ginseng powd</w:t>
      </w: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er was conducted by referring to the procedures outlined in a previously published paper </w:t>
      </w:r>
      <w:r>
        <w:rPr>
          <w:rFonts w:ascii="Times New Roman" w:eastAsia="Times New Roman" w:hAnsi="Times New Roman" w:cs="Times New Roman"/>
          <w:iCs/>
          <w:noProof/>
          <w:color w:val="000000"/>
          <w:position w:val="-1"/>
          <w:sz w:val="24"/>
          <w:szCs w:val="24"/>
        </w:rPr>
        <w:t>(1)</w:t>
      </w: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. </w:t>
      </w:r>
    </w:p>
    <w:p w14:paraId="425E8A51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hAnsi="Times New Roman" w:cs="Times New Roman"/>
          <w:iCs/>
          <w:color w:val="000000"/>
          <w:position w:val="-1"/>
          <w:sz w:val="24"/>
          <w:szCs w:val="24"/>
        </w:rPr>
      </w:pPr>
    </w:p>
    <w:p w14:paraId="3FED2AE1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</w:pPr>
      <w:r w:rsidRPr="006319C8"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>Sample preparation and GC-MS analysis</w:t>
      </w:r>
    </w:p>
    <w:p w14:paraId="0892D155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hAnsi="Times New Roman" w:cs="Times New Roman"/>
          <w:iCs/>
          <w:position w:val="-1"/>
          <w:sz w:val="24"/>
          <w:szCs w:val="24"/>
        </w:rPr>
      </w:pP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Fatty acid and internal standard (ISTD) stock solutions were prepared in </w:t>
      </w:r>
      <w:proofErr w:type="spellStart"/>
      <w:proofErr w:type="gramStart"/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hexane:chloroform</w:t>
      </w:r>
      <w:proofErr w:type="spellEnd"/>
      <w:proofErr w:type="gramEnd"/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 (1:1 or 1:3, v/v) at 1 mg/L, stored at -20°C. The ISTD (palmitic acid-d31) was diluted to a working standard at 500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µg/mL in </w:t>
      </w:r>
      <w:proofErr w:type="spellStart"/>
      <w:proofErr w:type="gramStart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>hexane:chloroform</w:t>
      </w:r>
      <w:proofErr w:type="spellEnd"/>
      <w:proofErr w:type="gramEnd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(1:1, v/v). Other stock solutions were diluted similarly and mixed with fatty acids to create working standards from </w:t>
      </w: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lower limit of quantification </w:t>
      </w:r>
      <w:r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(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>LLOQ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)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to 100 µg/</w:t>
      </w:r>
      <w:proofErr w:type="spellStart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>mL.</w:t>
      </w:r>
      <w:proofErr w:type="spellEnd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Plasma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, left at room temperature for 30 min, was extracted following the Folch method </w:t>
      </w:r>
      <w:r>
        <w:rPr>
          <w:rFonts w:ascii="Times New Roman" w:hAnsi="Times New Roman" w:cs="Times New Roman"/>
          <w:iCs/>
          <w:noProof/>
          <w:position w:val="-1"/>
          <w:sz w:val="24"/>
          <w:szCs w:val="24"/>
        </w:rPr>
        <w:t>(2)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. After adding 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4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0 µL ISTD and 10 ml Folch reagent to 1000 µL 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plasma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, samples were shaken for 10 min, centrifuged, and the chloroform layer was retained. Dried residues were reconstituted for GC-MS analysis (HP-ULTRA 2 column, Agilent 6890N). Gas chromatography (260˚C injector, </w:t>
      </w:r>
      <w:proofErr w:type="spellStart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>splitless</w:t>
      </w:r>
      <w:proofErr w:type="spellEnd"/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mode) included sample washing with methanol, using helium as the carrier gas. The temperature gradient started at 80°C, increased to 150°C at 30°C/min, then to 550°C at 10°C/min, followed by an increase to 310°C at 30°C/min and a 3.5 min hold, totaling 18.83 minutes. Detection used an Agilent 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lastRenderedPageBreak/>
        <w:t>Technologies 5973N in f</w:t>
      </w:r>
      <w:r w:rsidRPr="006319C8">
        <w:rPr>
          <w:rFonts w:ascii="Times New Roman" w:eastAsia="Times New Roman" w:hAnsi="Times New Roman" w:cs="Times New Roman"/>
          <w:iCs/>
          <w:position w:val="-1"/>
          <w:sz w:val="24"/>
          <w:szCs w:val="24"/>
          <w:lang w:eastAsia="de-DE"/>
        </w:rPr>
        <w:t xml:space="preserve">ull scan 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mode (range </w:t>
      </w:r>
      <w:r w:rsidRPr="006319C8">
        <w:rPr>
          <w:rFonts w:ascii="Times New Roman" w:hAnsi="Times New Roman" w:cs="Times New Roman"/>
          <w:i/>
          <w:position w:val="-1"/>
          <w:sz w:val="24"/>
          <w:szCs w:val="24"/>
        </w:rPr>
        <w:t>m/z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50</w:t>
      </w:r>
      <w:r w:rsidRPr="006319C8">
        <w:rPr>
          <w:rFonts w:ascii="Times New Roman" w:hAnsi="Times New Roman" w:cs="Times New Roman"/>
          <w:color w:val="222222"/>
          <w:sz w:val="22"/>
          <w:shd w:val="clear" w:color="auto" w:fill="FFFFFF"/>
        </w:rPr>
        <w:t>–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450) </w:t>
      </w:r>
      <w:r w:rsidRPr="006319C8">
        <w:rPr>
          <w:rFonts w:ascii="Times New Roman" w:eastAsia="Times New Roman" w:hAnsi="Times New Roman" w:cs="Times New Roman"/>
          <w:iCs/>
          <w:position w:val="-1"/>
          <w:sz w:val="24"/>
          <w:szCs w:val="24"/>
          <w:lang w:eastAsia="de-DE"/>
        </w:rPr>
        <w:t xml:space="preserve">for molecular networking and </w:t>
      </w:r>
      <w:r w:rsidRPr="006319C8">
        <w:rPr>
          <w:rFonts w:ascii="Times New Roman" w:hAnsi="Times New Roman" w:cs="Times New Roman"/>
          <w:iCs/>
          <w:position w:val="-1"/>
          <w:sz w:val="24"/>
          <w:szCs w:val="24"/>
        </w:rPr>
        <w:t>SIM mode for quantitative analysis at 300°C.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</w:t>
      </w:r>
      <w:r w:rsidRPr="00A87A23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The 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mean</w:t>
      </w:r>
      <w:r w:rsidRPr="00A87A23">
        <w:rPr>
          <w:rFonts w:ascii="Times New Roman" w:hAnsi="Times New Roman" w:cs="Times New Roman"/>
          <w:iCs/>
          <w:position w:val="-1"/>
          <w:sz w:val="24"/>
          <w:szCs w:val="24"/>
        </w:rPr>
        <w:t xml:space="preserve"> recovery of FFAs was 99.8% (SD = 5.1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%</w:t>
      </w:r>
      <w:r w:rsidRPr="00A87A23">
        <w:rPr>
          <w:rFonts w:ascii="Times New Roman" w:hAnsi="Times New Roman" w:cs="Times New Roman"/>
          <w:iCs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iCs/>
          <w:position w:val="-1"/>
          <w:sz w:val="24"/>
          <w:szCs w:val="24"/>
        </w:rPr>
        <w:t>.</w:t>
      </w:r>
    </w:p>
    <w:p w14:paraId="03756A52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</w:rPr>
      </w:pPr>
    </w:p>
    <w:p w14:paraId="4A7C875B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</w:pPr>
      <w:r w:rsidRPr="006319C8">
        <w:rPr>
          <w:rFonts w:ascii="Times New Roman" w:eastAsia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>Method validation for equine plasma analysis</w:t>
      </w:r>
    </w:p>
    <w:p w14:paraId="26619769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</w:pP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We conducted an analytical method validation by assessing the LLOQ, linearity, precision, and accuracy. Linearity was evaluated through the construction of calibration curves, utilizing the peak area ratios of </w:t>
      </w:r>
      <w:r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free fatty acids </w:t>
      </w: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at five spiked concentrations to the peak area of the internal standard (palmitic acid-d31). LLOQ was determined as the minimum concentration with a Signal-to-Noise ratio exceeding 9. Precision and accuracy were evaluated by analyzing quality control samples at a concentration of </w:t>
      </w:r>
      <w:r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3</w:t>
      </w:r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 xml:space="preserve">0 </w:t>
      </w:r>
      <w:proofErr w:type="spellStart"/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μg</w:t>
      </w:r>
      <w:proofErr w:type="spellEnd"/>
      <w:r w:rsidRPr="006319C8">
        <w:rPr>
          <w:rFonts w:ascii="Times New Roman" w:eastAsia="Times New Roman" w:hAnsi="Times New Roman" w:cs="Times New Roman"/>
          <w:iCs/>
          <w:color w:val="000000"/>
          <w:position w:val="-1"/>
          <w:sz w:val="24"/>
          <w:szCs w:val="24"/>
        </w:rPr>
        <w:t>/mL (n=2).</w:t>
      </w:r>
    </w:p>
    <w:p w14:paraId="08FA5976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hAnsi="Times New Roman" w:cs="Times New Roman"/>
          <w:iCs/>
          <w:color w:val="000000"/>
          <w:position w:val="-1"/>
          <w:sz w:val="24"/>
          <w:szCs w:val="24"/>
        </w:rPr>
      </w:pPr>
    </w:p>
    <w:p w14:paraId="0746ADD5" w14:textId="77777777" w:rsidR="00F17AC5" w:rsidRPr="006319C8" w:rsidRDefault="00F17AC5" w:rsidP="000D759F">
      <w:pPr>
        <w:pBdr>
          <w:top w:val="nil"/>
          <w:left w:val="nil"/>
          <w:bottom w:val="nil"/>
          <w:right w:val="nil"/>
          <w:between w:val="nil"/>
        </w:pBdr>
        <w:wordWrap/>
        <w:spacing w:after="0" w:line="360" w:lineRule="auto"/>
        <w:ind w:leftChars="-1" w:hangingChars="1" w:hanging="2"/>
        <w:textAlignment w:val="top"/>
        <w:outlineLvl w:val="0"/>
        <w:rPr>
          <w:rFonts w:ascii="Times New Roman" w:hAnsi="Times New Roman" w:cs="Times New Roman"/>
          <w:b/>
          <w:bCs/>
          <w:iCs/>
          <w:color w:val="000000"/>
          <w:position w:val="-1"/>
          <w:sz w:val="24"/>
          <w:szCs w:val="24"/>
        </w:rPr>
      </w:pPr>
      <w:r w:rsidRPr="006319C8">
        <w:rPr>
          <w:rFonts w:ascii="Times New Roman" w:hAnsi="Times New Roman" w:cs="Times New Roman"/>
          <w:b/>
          <w:bCs/>
          <w:iCs/>
          <w:color w:val="000000"/>
          <w:position w:val="-1"/>
          <w:sz w:val="24"/>
          <w:szCs w:val="24"/>
        </w:rPr>
        <w:t>Reference</w:t>
      </w:r>
    </w:p>
    <w:p w14:paraId="3D876D11" w14:textId="4BB58C12" w:rsidR="00F17AC5" w:rsidRPr="00B14AED" w:rsidRDefault="00F17AC5" w:rsidP="00663735">
      <w:pPr>
        <w:pStyle w:val="EndNoteBibliography"/>
        <w:spacing w:line="360" w:lineRule="auto"/>
        <w:jc w:val="both"/>
      </w:pPr>
      <w:r w:rsidRPr="00B14AED">
        <w:t>1.</w:t>
      </w:r>
      <w:r w:rsidRPr="00B14AED">
        <w:tab/>
        <w:t xml:space="preserve">Kim JK, Choi MS, Jeung W, Ra J, Yoo HH, Kim DH. Effects of Gut Microbiota on the Pharmacokinetics of Protopanaxadiol Ginsenosides Rd, Rg3, F2, and Compound K in Healthy Volunteers Treated Orally with Red Ginseng. </w:t>
      </w:r>
      <w:r w:rsidRPr="00B14AED">
        <w:rPr>
          <w:i/>
        </w:rPr>
        <w:t>J Ginseng Res</w:t>
      </w:r>
      <w:r w:rsidRPr="00B14AED">
        <w:t xml:space="preserve"> (2020) 44(4):611-8. doi: 10.1016/j.jgr.2019.05.012</w:t>
      </w:r>
      <w:r>
        <w:t>.</w:t>
      </w:r>
    </w:p>
    <w:p w14:paraId="0F6FF0DB" w14:textId="77777777" w:rsidR="00F17AC5" w:rsidRPr="00B14AED" w:rsidRDefault="00F17AC5" w:rsidP="00663735">
      <w:pPr>
        <w:pStyle w:val="EndNoteBibliography"/>
        <w:spacing w:line="360" w:lineRule="auto"/>
        <w:jc w:val="both"/>
      </w:pPr>
      <w:r w:rsidRPr="00B14AED">
        <w:t>2.</w:t>
      </w:r>
      <w:r w:rsidRPr="00B14AED">
        <w:tab/>
        <w:t xml:space="preserve">Folch J, Lees M, Sloane Stanley GH. A Simple Method for the Isolation and Purification of Total Lipides from Animal Tissues. </w:t>
      </w:r>
      <w:r w:rsidRPr="00B14AED">
        <w:rPr>
          <w:i/>
        </w:rPr>
        <w:t>J Biol Chem</w:t>
      </w:r>
      <w:r w:rsidRPr="00B14AED">
        <w:t xml:space="preserve"> (1957) 226(1):497-509. </w:t>
      </w:r>
    </w:p>
    <w:p w14:paraId="5477C691" w14:textId="77777777" w:rsidR="00F17AC5" w:rsidRPr="006319C8" w:rsidRDefault="00F17AC5" w:rsidP="00663735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Cs w:val="20"/>
        </w:rPr>
      </w:pPr>
    </w:p>
    <w:p w14:paraId="12098DAF" w14:textId="77777777" w:rsidR="00F17AC5" w:rsidRPr="006319C8" w:rsidRDefault="00F17AC5" w:rsidP="000D759F">
      <w:pPr>
        <w:pStyle w:val="EndNoteBibliography"/>
        <w:spacing w:line="360" w:lineRule="auto"/>
        <w:rPr>
          <w:szCs w:val="20"/>
        </w:rPr>
      </w:pPr>
      <w:r w:rsidRPr="006319C8">
        <w:br w:type="page"/>
      </w:r>
    </w:p>
    <w:p w14:paraId="138D205C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9C8">
        <w:rPr>
          <w:rFonts w:ascii="Times New Roman" w:hAnsi="Times New Roman" w:cs="Times New Roman"/>
          <w:sz w:val="24"/>
          <w:szCs w:val="24"/>
        </w:rPr>
        <w:lastRenderedPageBreak/>
        <w:t>Table S1. The analysis results of ginsenoside content within the RG product (</w:t>
      </w:r>
      <w:bookmarkStart w:id="2" w:name="_Hlk152688431"/>
      <w:r w:rsidRPr="006319C8">
        <w:rPr>
          <w:rFonts w:ascii="Times New Roman" w:hAnsi="Times New Roman" w:cs="Times New Roman"/>
          <w:sz w:val="24"/>
          <w:szCs w:val="24"/>
        </w:rPr>
        <w:t>Korea Red Ginseng Powder Gold</w:t>
      </w:r>
      <w:bookmarkEnd w:id="2"/>
      <w:r w:rsidRPr="006319C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670"/>
        <w:gridCol w:w="2843"/>
        <w:gridCol w:w="1670"/>
        <w:gridCol w:w="2843"/>
      </w:tblGrid>
      <w:tr w:rsidR="00F17AC5" w:rsidRPr="006319C8" w14:paraId="4A73DE3A" w14:textId="77777777" w:rsidTr="00F57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81F1C3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19C8">
              <w:rPr>
                <w:rFonts w:ascii="Times New Roman" w:hAnsi="Times New Roman" w:cs="Times New Roman"/>
                <w:b w:val="0"/>
                <w:bCs w:val="0"/>
                <w:sz w:val="22"/>
              </w:rPr>
              <w:t>Component</w:t>
            </w:r>
          </w:p>
        </w:tc>
        <w:tc>
          <w:tcPr>
            <w:tcW w:w="1575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C8A9664" w14:textId="77777777" w:rsidR="00F17AC5" w:rsidRPr="006319C8" w:rsidRDefault="00F17AC5" w:rsidP="000D759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19C8">
              <w:rPr>
                <w:rFonts w:ascii="Times New Roman" w:hAnsi="Times New Roman" w:cs="Times New Roman"/>
                <w:b w:val="0"/>
                <w:bCs w:val="0"/>
                <w:sz w:val="22"/>
              </w:rPr>
              <w:t>Concentration (mg/g)</w:t>
            </w:r>
          </w:p>
        </w:tc>
        <w:tc>
          <w:tcPr>
            <w:tcW w:w="925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BB85271" w14:textId="77777777" w:rsidR="00F17AC5" w:rsidRPr="006319C8" w:rsidRDefault="00F17AC5" w:rsidP="000D759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19C8">
              <w:rPr>
                <w:rFonts w:ascii="Times New Roman" w:hAnsi="Times New Roman" w:cs="Times New Roman"/>
                <w:b w:val="0"/>
                <w:bCs w:val="0"/>
                <w:sz w:val="22"/>
              </w:rPr>
              <w:t>Component</w:t>
            </w:r>
          </w:p>
        </w:tc>
        <w:tc>
          <w:tcPr>
            <w:tcW w:w="1575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93FAA44" w14:textId="77777777" w:rsidR="00F17AC5" w:rsidRPr="006319C8" w:rsidRDefault="00F17AC5" w:rsidP="000D759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319C8">
              <w:rPr>
                <w:rFonts w:ascii="Times New Roman" w:hAnsi="Times New Roman" w:cs="Times New Roman"/>
                <w:b w:val="0"/>
                <w:bCs w:val="0"/>
                <w:sz w:val="22"/>
              </w:rPr>
              <w:t>Concentration (mg/g)</w:t>
            </w:r>
          </w:p>
        </w:tc>
      </w:tr>
      <w:tr w:rsidR="00F17AC5" w:rsidRPr="006319C8" w14:paraId="6486139B" w14:textId="77777777" w:rsidTr="00F5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single" w:sz="4" w:space="0" w:color="auto"/>
              <w:bottom w:val="nil"/>
            </w:tcBorders>
          </w:tcPr>
          <w:p w14:paraId="5A2123A5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Rg1</w:t>
            </w:r>
          </w:p>
        </w:tc>
        <w:tc>
          <w:tcPr>
            <w:tcW w:w="1575" w:type="pct"/>
            <w:tcBorders>
              <w:top w:val="single" w:sz="4" w:space="0" w:color="auto"/>
              <w:bottom w:val="nil"/>
            </w:tcBorders>
          </w:tcPr>
          <w:p w14:paraId="44616335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4.38</w:t>
            </w:r>
          </w:p>
        </w:tc>
        <w:tc>
          <w:tcPr>
            <w:tcW w:w="925" w:type="pct"/>
            <w:tcBorders>
              <w:top w:val="single" w:sz="4" w:space="0" w:color="auto"/>
              <w:bottom w:val="nil"/>
            </w:tcBorders>
          </w:tcPr>
          <w:p w14:paraId="6727C22A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F1</w:t>
            </w:r>
          </w:p>
        </w:tc>
        <w:tc>
          <w:tcPr>
            <w:tcW w:w="1575" w:type="pct"/>
            <w:tcBorders>
              <w:top w:val="single" w:sz="4" w:space="0" w:color="auto"/>
              <w:bottom w:val="nil"/>
            </w:tcBorders>
          </w:tcPr>
          <w:p w14:paraId="7B50C442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0.68</w:t>
            </w:r>
          </w:p>
        </w:tc>
      </w:tr>
      <w:tr w:rsidR="00F17AC5" w:rsidRPr="006319C8" w14:paraId="516CBCE8" w14:textId="77777777" w:rsidTr="00F5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nil"/>
            </w:tcBorders>
          </w:tcPr>
          <w:p w14:paraId="06AB166D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Re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6C880366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5.53</w:t>
            </w:r>
          </w:p>
        </w:tc>
        <w:tc>
          <w:tcPr>
            <w:tcW w:w="925" w:type="pct"/>
            <w:tcBorders>
              <w:top w:val="nil"/>
              <w:bottom w:val="nil"/>
            </w:tcBorders>
          </w:tcPr>
          <w:p w14:paraId="38F75BE9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Rd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048DDD3A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0.97</w:t>
            </w:r>
          </w:p>
        </w:tc>
      </w:tr>
      <w:tr w:rsidR="00F17AC5" w:rsidRPr="006319C8" w14:paraId="09770370" w14:textId="77777777" w:rsidTr="00F5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nil"/>
            </w:tcBorders>
          </w:tcPr>
          <w:p w14:paraId="5397EB05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Rf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061FF763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1.60</w:t>
            </w:r>
          </w:p>
        </w:tc>
        <w:tc>
          <w:tcPr>
            <w:tcW w:w="925" w:type="pct"/>
            <w:tcBorders>
              <w:top w:val="nil"/>
              <w:bottom w:val="nil"/>
            </w:tcBorders>
          </w:tcPr>
          <w:p w14:paraId="136238E8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F2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3A2DC8A4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0.40</w:t>
            </w:r>
          </w:p>
        </w:tc>
      </w:tr>
      <w:tr w:rsidR="00F17AC5" w:rsidRPr="006319C8" w14:paraId="6E30A384" w14:textId="77777777" w:rsidTr="00F5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nil"/>
            </w:tcBorders>
          </w:tcPr>
          <w:p w14:paraId="35CB9A95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Rb1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5EF61720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0.34</w:t>
            </w:r>
          </w:p>
        </w:tc>
        <w:tc>
          <w:tcPr>
            <w:tcW w:w="925" w:type="pct"/>
            <w:tcBorders>
              <w:top w:val="nil"/>
              <w:bottom w:val="nil"/>
            </w:tcBorders>
          </w:tcPr>
          <w:p w14:paraId="21E20E07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Rg3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7840EF7E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0.20</w:t>
            </w:r>
          </w:p>
        </w:tc>
      </w:tr>
      <w:tr w:rsidR="00F17AC5" w:rsidRPr="006319C8" w14:paraId="4CC23231" w14:textId="77777777" w:rsidTr="00F5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nil"/>
            </w:tcBorders>
          </w:tcPr>
          <w:p w14:paraId="5AFDEAC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Rg2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5A249674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0.59</w:t>
            </w:r>
          </w:p>
        </w:tc>
        <w:tc>
          <w:tcPr>
            <w:tcW w:w="925" w:type="pct"/>
            <w:tcBorders>
              <w:top w:val="nil"/>
              <w:bottom w:val="nil"/>
            </w:tcBorders>
          </w:tcPr>
          <w:p w14:paraId="48ACC8E4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CK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27A3AA1F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0.87</w:t>
            </w:r>
          </w:p>
        </w:tc>
      </w:tr>
      <w:tr w:rsidR="00F17AC5" w:rsidRPr="006319C8" w14:paraId="272F4FB2" w14:textId="77777777" w:rsidTr="00F5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nil"/>
            </w:tcBorders>
          </w:tcPr>
          <w:p w14:paraId="510C4DD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proofErr w:type="spellStart"/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Rc</w:t>
            </w:r>
            <w:proofErr w:type="spellEnd"/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60138C0B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1.05</w:t>
            </w:r>
          </w:p>
        </w:tc>
        <w:tc>
          <w:tcPr>
            <w:tcW w:w="925" w:type="pct"/>
            <w:tcBorders>
              <w:top w:val="nil"/>
              <w:bottom w:val="nil"/>
            </w:tcBorders>
          </w:tcPr>
          <w:p w14:paraId="68F078C1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color w:val="000000"/>
                <w:sz w:val="22"/>
              </w:rPr>
              <w:t>Rh2</w:t>
            </w:r>
          </w:p>
        </w:tc>
        <w:tc>
          <w:tcPr>
            <w:tcW w:w="1575" w:type="pct"/>
            <w:tcBorders>
              <w:top w:val="nil"/>
              <w:bottom w:val="nil"/>
            </w:tcBorders>
          </w:tcPr>
          <w:p w14:paraId="6C55807E" w14:textId="77777777" w:rsidR="00F17AC5" w:rsidRPr="006319C8" w:rsidRDefault="00F17AC5" w:rsidP="000D759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0.21</w:t>
            </w:r>
          </w:p>
        </w:tc>
      </w:tr>
      <w:tr w:rsidR="00F17AC5" w:rsidRPr="006319C8" w14:paraId="07453386" w14:textId="77777777" w:rsidTr="00F5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tcBorders>
              <w:top w:val="nil"/>
              <w:bottom w:val="single" w:sz="4" w:space="0" w:color="auto"/>
            </w:tcBorders>
          </w:tcPr>
          <w:p w14:paraId="5D11251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74151"/>
                <w:sz w:val="22"/>
              </w:rPr>
            </w:pPr>
            <w:r w:rsidRPr="006319C8">
              <w:rPr>
                <w:rFonts w:ascii="Times New Roman" w:eastAsia="돋움체" w:hAnsi="Times New Roman" w:cs="Times New Roman"/>
                <w:b w:val="0"/>
                <w:bCs w:val="0"/>
                <w:color w:val="000000"/>
                <w:sz w:val="22"/>
              </w:rPr>
              <w:t>Rb2</w:t>
            </w: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75C9FEB5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  <w:r w:rsidRPr="006319C8">
              <w:rPr>
                <w:rFonts w:ascii="Times New Roman" w:eastAsia="맑은 고딕" w:hAnsi="Times New Roman" w:cs="Times New Roman"/>
                <w:color w:val="000000"/>
                <w:sz w:val="22"/>
              </w:rPr>
              <w:t>2.83</w:t>
            </w:r>
          </w:p>
        </w:tc>
        <w:tc>
          <w:tcPr>
            <w:tcW w:w="925" w:type="pct"/>
            <w:tcBorders>
              <w:top w:val="nil"/>
              <w:bottom w:val="single" w:sz="4" w:space="0" w:color="auto"/>
            </w:tcBorders>
          </w:tcPr>
          <w:p w14:paraId="613D6DE6" w14:textId="77777777" w:rsidR="00F17AC5" w:rsidRPr="006319C8" w:rsidRDefault="00F17AC5" w:rsidP="000D759F">
            <w:pPr>
              <w:widowControl/>
              <w:wordWrap/>
              <w:autoSpaceDE/>
              <w:autoSpaceDN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돋움체" w:hAnsi="Times New Roman" w:cs="Times New Roman"/>
                <w:color w:val="000000"/>
                <w:sz w:val="22"/>
              </w:rPr>
            </w:pP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0CADEC0C" w14:textId="77777777" w:rsidR="00F17AC5" w:rsidRPr="006319C8" w:rsidRDefault="00F17AC5" w:rsidP="000D75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</w:rPr>
            </w:pPr>
          </w:p>
        </w:tc>
      </w:tr>
    </w:tbl>
    <w:p w14:paraId="04D640C6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color w:val="374151"/>
          <w:sz w:val="24"/>
          <w:szCs w:val="24"/>
        </w:rPr>
      </w:pPr>
    </w:p>
    <w:p w14:paraId="2A7F9C09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17AC5" w:rsidRPr="006319C8" w:rsidSect="00E47D90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Style w:val="TableGrid"/>
        <w:tblpPr w:leftFromText="142" w:rightFromText="142" w:vertAnchor="page" w:horzAnchor="margin" w:tblpY="18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685"/>
        <w:gridCol w:w="2276"/>
        <w:gridCol w:w="2400"/>
        <w:gridCol w:w="2052"/>
        <w:gridCol w:w="1474"/>
        <w:gridCol w:w="1509"/>
      </w:tblGrid>
      <w:tr w:rsidR="00F17AC5" w:rsidRPr="006319C8" w14:paraId="0ABF2D90" w14:textId="77777777" w:rsidTr="00A87A23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D045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lastRenderedPageBreak/>
              <w:t>Analyte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FE074" w14:textId="77777777" w:rsidR="00F17AC5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 xml:space="preserve">Monitoring </w:t>
            </w:r>
            <w:r>
              <w:rPr>
                <w:rFonts w:ascii="Times New Roman" w:hAnsi="Times New Roman" w:cs="Times New Roman"/>
                <w:sz w:val="22"/>
              </w:rPr>
              <w:t xml:space="preserve">ion </w:t>
            </w:r>
          </w:p>
          <w:p w14:paraId="0D827F8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 SIM mode</w:t>
            </w:r>
            <w:r w:rsidRPr="006319C8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6319C8">
              <w:rPr>
                <w:rFonts w:ascii="Times New Roman" w:hAnsi="Times New Roman" w:cs="Times New Roman"/>
                <w:i/>
                <w:iCs/>
                <w:sz w:val="22"/>
              </w:rPr>
              <w:t>m/z</w:t>
            </w:r>
            <w:r w:rsidRPr="006319C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6F0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LLOQ (</w:t>
            </w:r>
            <w:proofErr w:type="spellStart"/>
            <w:r w:rsidRPr="006319C8">
              <w:rPr>
                <w:rFonts w:ascii="Times New Roman" w:hAnsi="Times New Roman" w:cs="Times New Roman"/>
                <w:sz w:val="22"/>
              </w:rPr>
              <w:t>μg</w:t>
            </w:r>
            <w:proofErr w:type="spellEnd"/>
            <w:r w:rsidRPr="006319C8">
              <w:rPr>
                <w:rFonts w:ascii="Times New Roman" w:hAnsi="Times New Roman" w:cs="Times New Roman"/>
                <w:sz w:val="22"/>
              </w:rPr>
              <w:t>/mL)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30F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*Range (</w:t>
            </w:r>
            <w:proofErr w:type="spellStart"/>
            <w:r w:rsidRPr="006319C8">
              <w:rPr>
                <w:rFonts w:ascii="Times New Roman" w:hAnsi="Times New Roman" w:cs="Times New Roman"/>
                <w:sz w:val="22"/>
              </w:rPr>
              <w:t>μg</w:t>
            </w:r>
            <w:proofErr w:type="spellEnd"/>
            <w:r w:rsidRPr="006319C8">
              <w:rPr>
                <w:rFonts w:ascii="Times New Roman" w:hAnsi="Times New Roman" w:cs="Times New Roman"/>
                <w:sz w:val="22"/>
              </w:rPr>
              <w:t>/mL)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8EA4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Linearity (R</w:t>
            </w:r>
            <w:r w:rsidRPr="006319C8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6319C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E18E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Precision</w:t>
            </w:r>
          </w:p>
          <w:p w14:paraId="0306AC01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(%)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444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Accuracy</w:t>
            </w:r>
          </w:p>
          <w:p w14:paraId="75A66009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(RSD)</w:t>
            </w:r>
          </w:p>
        </w:tc>
      </w:tr>
      <w:tr w:rsidR="00F17AC5" w:rsidRPr="006319C8" w14:paraId="7770B1B4" w14:textId="77777777" w:rsidTr="00A87A23">
        <w:tc>
          <w:tcPr>
            <w:tcW w:w="475" w:type="pct"/>
            <w:tcBorders>
              <w:top w:val="single" w:sz="4" w:space="0" w:color="auto"/>
            </w:tcBorders>
          </w:tcPr>
          <w:p w14:paraId="63439D31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C12:0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33F23D4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6F2512B9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0.5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14:paraId="7C4C25C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0.5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bottom"/>
          </w:tcPr>
          <w:p w14:paraId="105377E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0.9842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6D2B9C9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4.8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bottom"/>
          </w:tcPr>
          <w:p w14:paraId="3D22B46E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101.9</w:t>
            </w:r>
          </w:p>
        </w:tc>
      </w:tr>
      <w:tr w:rsidR="00F17AC5" w:rsidRPr="006319C8" w14:paraId="5033D33B" w14:textId="77777777" w:rsidTr="00A87A23">
        <w:tc>
          <w:tcPr>
            <w:tcW w:w="475" w:type="pct"/>
          </w:tcPr>
          <w:p w14:paraId="395E4D1D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C14:0</w:t>
            </w:r>
          </w:p>
        </w:tc>
        <w:tc>
          <w:tcPr>
            <w:tcW w:w="980" w:type="pct"/>
          </w:tcPr>
          <w:p w14:paraId="71C11BC9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</w:tcPr>
          <w:p w14:paraId="1853EE7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76" w:type="pct"/>
          </w:tcPr>
          <w:p w14:paraId="66EF7224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0AFAAA0B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0.9802</w:t>
            </w:r>
          </w:p>
        </w:tc>
        <w:tc>
          <w:tcPr>
            <w:tcW w:w="538" w:type="pct"/>
          </w:tcPr>
          <w:p w14:paraId="4D5A2F1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</w:t>
            </w:r>
          </w:p>
        </w:tc>
        <w:tc>
          <w:tcPr>
            <w:tcW w:w="551" w:type="pct"/>
            <w:vAlign w:val="bottom"/>
          </w:tcPr>
          <w:p w14:paraId="17CDE0C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106.0</w:t>
            </w:r>
          </w:p>
        </w:tc>
      </w:tr>
      <w:tr w:rsidR="00F17AC5" w:rsidRPr="006319C8" w14:paraId="5477C4FB" w14:textId="77777777" w:rsidTr="00A87A23">
        <w:tc>
          <w:tcPr>
            <w:tcW w:w="475" w:type="pct"/>
          </w:tcPr>
          <w:p w14:paraId="6F3B621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C15:0</w:t>
            </w:r>
          </w:p>
        </w:tc>
        <w:tc>
          <w:tcPr>
            <w:tcW w:w="980" w:type="pct"/>
          </w:tcPr>
          <w:p w14:paraId="542ED629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</w:tcPr>
          <w:p w14:paraId="23DAB99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0.5</w:t>
            </w:r>
          </w:p>
        </w:tc>
        <w:tc>
          <w:tcPr>
            <w:tcW w:w="876" w:type="pct"/>
          </w:tcPr>
          <w:p w14:paraId="190E8F6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0.5–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5EA0291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0.9772</w:t>
            </w:r>
          </w:p>
        </w:tc>
        <w:tc>
          <w:tcPr>
            <w:tcW w:w="538" w:type="pct"/>
          </w:tcPr>
          <w:p w14:paraId="4154A2C2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1.6</w:t>
            </w:r>
          </w:p>
        </w:tc>
        <w:tc>
          <w:tcPr>
            <w:tcW w:w="551" w:type="pct"/>
            <w:vAlign w:val="bottom"/>
          </w:tcPr>
          <w:p w14:paraId="66F4B2A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93.1</w:t>
            </w:r>
          </w:p>
        </w:tc>
      </w:tr>
      <w:tr w:rsidR="00F17AC5" w:rsidRPr="006319C8" w14:paraId="6B98253D" w14:textId="77777777" w:rsidTr="00A87A23">
        <w:tc>
          <w:tcPr>
            <w:tcW w:w="475" w:type="pct"/>
          </w:tcPr>
          <w:p w14:paraId="11CCB01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C16:0</w:t>
            </w:r>
          </w:p>
        </w:tc>
        <w:tc>
          <w:tcPr>
            <w:tcW w:w="980" w:type="pct"/>
          </w:tcPr>
          <w:p w14:paraId="748D4E0E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</w:tcPr>
          <w:p w14:paraId="6BF8632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76" w:type="pct"/>
          </w:tcPr>
          <w:p w14:paraId="33009095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5–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37B76DA2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0.9676</w:t>
            </w:r>
          </w:p>
        </w:tc>
        <w:tc>
          <w:tcPr>
            <w:tcW w:w="538" w:type="pct"/>
          </w:tcPr>
          <w:p w14:paraId="12F5C0F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0.2</w:t>
            </w:r>
          </w:p>
        </w:tc>
        <w:tc>
          <w:tcPr>
            <w:tcW w:w="551" w:type="pct"/>
            <w:vAlign w:val="bottom"/>
          </w:tcPr>
          <w:p w14:paraId="78F8606D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101.2</w:t>
            </w:r>
          </w:p>
        </w:tc>
      </w:tr>
      <w:tr w:rsidR="00F17AC5" w:rsidRPr="006319C8" w14:paraId="16732AFB" w14:textId="77777777" w:rsidTr="00A87A23">
        <w:tc>
          <w:tcPr>
            <w:tcW w:w="475" w:type="pct"/>
          </w:tcPr>
          <w:p w14:paraId="46D987E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C17:0</w:t>
            </w:r>
          </w:p>
        </w:tc>
        <w:tc>
          <w:tcPr>
            <w:tcW w:w="980" w:type="pct"/>
          </w:tcPr>
          <w:p w14:paraId="223E79D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</w:tcPr>
          <w:p w14:paraId="51D3E772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76" w:type="pct"/>
          </w:tcPr>
          <w:p w14:paraId="4962D3C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6F648C68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0.9443</w:t>
            </w:r>
          </w:p>
        </w:tc>
        <w:tc>
          <w:tcPr>
            <w:tcW w:w="538" w:type="pct"/>
          </w:tcPr>
          <w:p w14:paraId="7F6B544F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1.9</w:t>
            </w:r>
          </w:p>
        </w:tc>
        <w:tc>
          <w:tcPr>
            <w:tcW w:w="551" w:type="pct"/>
            <w:vAlign w:val="bottom"/>
          </w:tcPr>
          <w:p w14:paraId="538E5581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98.1</w:t>
            </w:r>
          </w:p>
        </w:tc>
      </w:tr>
      <w:tr w:rsidR="00F17AC5" w:rsidRPr="006319C8" w14:paraId="075522FD" w14:textId="77777777" w:rsidTr="00A87A23">
        <w:tc>
          <w:tcPr>
            <w:tcW w:w="475" w:type="pct"/>
          </w:tcPr>
          <w:p w14:paraId="5B448EFD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C18:0</w:t>
            </w:r>
          </w:p>
        </w:tc>
        <w:tc>
          <w:tcPr>
            <w:tcW w:w="980" w:type="pct"/>
          </w:tcPr>
          <w:p w14:paraId="702E556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831" w:type="pct"/>
          </w:tcPr>
          <w:p w14:paraId="3C8F33EC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76" w:type="pct"/>
          </w:tcPr>
          <w:p w14:paraId="5CC7C6F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</w:tcPr>
          <w:p w14:paraId="7728D09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0.9448</w:t>
            </w:r>
          </w:p>
        </w:tc>
        <w:tc>
          <w:tcPr>
            <w:tcW w:w="538" w:type="pct"/>
          </w:tcPr>
          <w:p w14:paraId="73D7090B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2.7</w:t>
            </w:r>
          </w:p>
        </w:tc>
        <w:tc>
          <w:tcPr>
            <w:tcW w:w="551" w:type="pct"/>
            <w:vAlign w:val="bottom"/>
          </w:tcPr>
          <w:p w14:paraId="1B82E342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104.2</w:t>
            </w:r>
          </w:p>
        </w:tc>
      </w:tr>
      <w:tr w:rsidR="00F17AC5" w:rsidRPr="006319C8" w14:paraId="01BE5EB9" w14:textId="77777777" w:rsidTr="00A87A23">
        <w:tc>
          <w:tcPr>
            <w:tcW w:w="475" w:type="pct"/>
          </w:tcPr>
          <w:p w14:paraId="682BE66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C16:1</w:t>
            </w:r>
          </w:p>
        </w:tc>
        <w:tc>
          <w:tcPr>
            <w:tcW w:w="980" w:type="pct"/>
          </w:tcPr>
          <w:p w14:paraId="7731DFFE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831" w:type="pct"/>
          </w:tcPr>
          <w:p w14:paraId="4F6AFB6C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76" w:type="pct"/>
          </w:tcPr>
          <w:p w14:paraId="563C4AA8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6208E28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0.9825</w:t>
            </w:r>
          </w:p>
        </w:tc>
        <w:tc>
          <w:tcPr>
            <w:tcW w:w="538" w:type="pct"/>
            <w:vAlign w:val="bottom"/>
          </w:tcPr>
          <w:p w14:paraId="09E62FAE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3.6</w:t>
            </w:r>
          </w:p>
        </w:tc>
        <w:tc>
          <w:tcPr>
            <w:tcW w:w="551" w:type="pct"/>
            <w:vAlign w:val="bottom"/>
          </w:tcPr>
          <w:p w14:paraId="5EBFDE41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98.6</w:t>
            </w:r>
          </w:p>
        </w:tc>
      </w:tr>
      <w:tr w:rsidR="00F17AC5" w:rsidRPr="006319C8" w14:paraId="079E14E5" w14:textId="77777777" w:rsidTr="00A87A23">
        <w:tc>
          <w:tcPr>
            <w:tcW w:w="475" w:type="pct"/>
          </w:tcPr>
          <w:p w14:paraId="7F44A363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C18:1</w:t>
            </w:r>
          </w:p>
        </w:tc>
        <w:tc>
          <w:tcPr>
            <w:tcW w:w="980" w:type="pct"/>
          </w:tcPr>
          <w:p w14:paraId="073D186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831" w:type="pct"/>
          </w:tcPr>
          <w:p w14:paraId="4DDE3FE6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76" w:type="pct"/>
          </w:tcPr>
          <w:p w14:paraId="62462688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5–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vAlign w:val="bottom"/>
          </w:tcPr>
          <w:p w14:paraId="3841104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0.9730</w:t>
            </w:r>
          </w:p>
        </w:tc>
        <w:tc>
          <w:tcPr>
            <w:tcW w:w="538" w:type="pct"/>
            <w:vAlign w:val="bottom"/>
          </w:tcPr>
          <w:p w14:paraId="331ABB67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3.3</w:t>
            </w:r>
          </w:p>
        </w:tc>
        <w:tc>
          <w:tcPr>
            <w:tcW w:w="551" w:type="pct"/>
            <w:vAlign w:val="bottom"/>
          </w:tcPr>
          <w:p w14:paraId="2394341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97.5</w:t>
            </w:r>
          </w:p>
        </w:tc>
      </w:tr>
      <w:tr w:rsidR="00F17AC5" w:rsidRPr="006319C8" w14:paraId="05264249" w14:textId="77777777" w:rsidTr="00A87A23">
        <w:tc>
          <w:tcPr>
            <w:tcW w:w="475" w:type="pct"/>
            <w:tcBorders>
              <w:bottom w:val="single" w:sz="4" w:space="0" w:color="auto"/>
            </w:tcBorders>
          </w:tcPr>
          <w:p w14:paraId="569448D1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C18:2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11BA598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3509ADEB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14:paraId="4F61DF58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5–</w:t>
            </w:r>
            <w:r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1</w:t>
            </w: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00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14:paraId="78C21E0A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0.9795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A075520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3.3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16599142" w14:textId="77777777" w:rsidR="00F17AC5" w:rsidRPr="006319C8" w:rsidRDefault="00F17AC5" w:rsidP="000D759F">
            <w:pPr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</w:pPr>
            <w:r w:rsidRPr="006319C8">
              <w:rPr>
                <w:rFonts w:ascii="Times New Roman" w:hAnsi="Times New Roman" w:cs="Times New Roman"/>
                <w:color w:val="222222"/>
                <w:sz w:val="22"/>
                <w:shd w:val="clear" w:color="auto" w:fill="FFFFFF"/>
              </w:rPr>
              <w:t>99.7</w:t>
            </w:r>
          </w:p>
        </w:tc>
      </w:tr>
    </w:tbl>
    <w:p w14:paraId="27C98B91" w14:textId="77777777" w:rsidR="00F17AC5" w:rsidRPr="006319C8" w:rsidRDefault="00F17AC5" w:rsidP="000D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19C8">
        <w:rPr>
          <w:rFonts w:ascii="Times New Roman" w:hAnsi="Times New Roman" w:cs="Times New Roman"/>
          <w:sz w:val="24"/>
          <w:szCs w:val="24"/>
        </w:rPr>
        <w:t xml:space="preserve"> Table S2. The validation result of quantitative analysis for Free Fatty Acids (FFAs)</w:t>
      </w:r>
    </w:p>
    <w:p w14:paraId="79FBF11F" w14:textId="77777777" w:rsidR="00F17AC5" w:rsidRPr="006319C8" w:rsidRDefault="00F17AC5" w:rsidP="000D759F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Cs w:val="20"/>
        </w:rPr>
      </w:pPr>
      <w:r w:rsidRPr="006319C8">
        <w:rPr>
          <w:rFonts w:ascii="Times New Roman" w:hAnsi="Times New Roman" w:cs="Times New Roman"/>
          <w:szCs w:val="20"/>
        </w:rPr>
        <w:t>*</w:t>
      </w:r>
      <w:r w:rsidRPr="006319C8">
        <w:rPr>
          <w:rFonts w:ascii="Times New Roman" w:hAnsi="Times New Roman" w:cs="Times New Roman"/>
          <w:color w:val="374151"/>
        </w:rPr>
        <w:t xml:space="preserve"> </w:t>
      </w:r>
      <w:r w:rsidRPr="006319C8">
        <w:rPr>
          <w:rFonts w:ascii="Times New Roman" w:hAnsi="Times New Roman" w:cs="Times New Roman"/>
          <w:szCs w:val="20"/>
        </w:rPr>
        <w:t xml:space="preserve">When LLOQ is 0.5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 xml:space="preserve">/mL, the quantification range is set at 0.5, 10, </w:t>
      </w:r>
      <w:r>
        <w:rPr>
          <w:rFonts w:ascii="Times New Roman" w:hAnsi="Times New Roman" w:cs="Times New Roman"/>
          <w:szCs w:val="20"/>
        </w:rPr>
        <w:t>2</w:t>
      </w:r>
      <w:r w:rsidRPr="006319C8">
        <w:rPr>
          <w:rFonts w:ascii="Times New Roman" w:hAnsi="Times New Roman" w:cs="Times New Roman"/>
          <w:szCs w:val="20"/>
        </w:rPr>
        <w:t xml:space="preserve">0, </w:t>
      </w:r>
      <w:r>
        <w:rPr>
          <w:rFonts w:ascii="Times New Roman" w:hAnsi="Times New Roman" w:cs="Times New Roman"/>
          <w:szCs w:val="20"/>
        </w:rPr>
        <w:t>5</w:t>
      </w:r>
      <w:r w:rsidRPr="006319C8">
        <w:rPr>
          <w:rFonts w:ascii="Times New Roman" w:hAnsi="Times New Roman" w:cs="Times New Roman"/>
          <w:szCs w:val="20"/>
        </w:rPr>
        <w:t xml:space="preserve">0, and </w:t>
      </w:r>
      <w:r>
        <w:rPr>
          <w:rFonts w:ascii="Times New Roman" w:hAnsi="Times New Roman" w:cs="Times New Roman"/>
          <w:szCs w:val="20"/>
        </w:rPr>
        <w:t>1</w:t>
      </w:r>
      <w:r w:rsidRPr="006319C8">
        <w:rPr>
          <w:rFonts w:ascii="Times New Roman" w:hAnsi="Times New Roman" w:cs="Times New Roman"/>
          <w:szCs w:val="20"/>
        </w:rPr>
        <w:t xml:space="preserve">00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>/</w:t>
      </w:r>
      <w:proofErr w:type="spellStart"/>
      <w:r w:rsidRPr="006319C8">
        <w:rPr>
          <w:rFonts w:ascii="Times New Roman" w:hAnsi="Times New Roman" w:cs="Times New Roman"/>
          <w:szCs w:val="20"/>
        </w:rPr>
        <w:t>mL.</w:t>
      </w:r>
      <w:proofErr w:type="spellEnd"/>
      <w:r w:rsidRPr="006319C8">
        <w:rPr>
          <w:rFonts w:ascii="Times New Roman" w:hAnsi="Times New Roman" w:cs="Times New Roman"/>
          <w:szCs w:val="20"/>
        </w:rPr>
        <w:t xml:space="preserve"> when it is 1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 xml:space="preserve">/mL, the range is adjusted to 1, 10, </w:t>
      </w:r>
      <w:r>
        <w:rPr>
          <w:rFonts w:ascii="Times New Roman" w:hAnsi="Times New Roman" w:cs="Times New Roman"/>
          <w:szCs w:val="20"/>
        </w:rPr>
        <w:t>2</w:t>
      </w:r>
      <w:r w:rsidRPr="006319C8">
        <w:rPr>
          <w:rFonts w:ascii="Times New Roman" w:hAnsi="Times New Roman" w:cs="Times New Roman"/>
          <w:szCs w:val="20"/>
        </w:rPr>
        <w:t xml:space="preserve">0, </w:t>
      </w:r>
      <w:r>
        <w:rPr>
          <w:rFonts w:ascii="Times New Roman" w:hAnsi="Times New Roman" w:cs="Times New Roman"/>
          <w:szCs w:val="20"/>
        </w:rPr>
        <w:t>5</w:t>
      </w:r>
      <w:r w:rsidRPr="006319C8">
        <w:rPr>
          <w:rFonts w:ascii="Times New Roman" w:hAnsi="Times New Roman" w:cs="Times New Roman"/>
          <w:szCs w:val="20"/>
        </w:rPr>
        <w:t xml:space="preserve">0 and </w:t>
      </w:r>
      <w:r>
        <w:rPr>
          <w:rFonts w:ascii="Times New Roman" w:hAnsi="Times New Roman" w:cs="Times New Roman"/>
          <w:szCs w:val="20"/>
        </w:rPr>
        <w:t>1</w:t>
      </w:r>
      <w:r w:rsidRPr="006319C8">
        <w:rPr>
          <w:rFonts w:ascii="Times New Roman" w:hAnsi="Times New Roman" w:cs="Times New Roman"/>
          <w:szCs w:val="20"/>
        </w:rPr>
        <w:t xml:space="preserve">00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>/</w:t>
      </w:r>
      <w:proofErr w:type="spellStart"/>
      <w:r w:rsidRPr="006319C8">
        <w:rPr>
          <w:rFonts w:ascii="Times New Roman" w:hAnsi="Times New Roman" w:cs="Times New Roman"/>
          <w:szCs w:val="20"/>
        </w:rPr>
        <w:t>mL.</w:t>
      </w:r>
      <w:proofErr w:type="spellEnd"/>
      <w:r w:rsidRPr="006319C8">
        <w:rPr>
          <w:rFonts w:ascii="Times New Roman" w:hAnsi="Times New Roman" w:cs="Times New Roman"/>
          <w:szCs w:val="20"/>
        </w:rPr>
        <w:t xml:space="preserve"> Additionally, when it is 5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 xml:space="preserve">/mL, the quantification range is set at 5, 10, </w:t>
      </w:r>
      <w:r>
        <w:rPr>
          <w:rFonts w:ascii="Times New Roman" w:hAnsi="Times New Roman" w:cs="Times New Roman"/>
          <w:szCs w:val="20"/>
        </w:rPr>
        <w:t>2</w:t>
      </w:r>
      <w:r w:rsidRPr="006319C8">
        <w:rPr>
          <w:rFonts w:ascii="Times New Roman" w:hAnsi="Times New Roman" w:cs="Times New Roman"/>
          <w:szCs w:val="20"/>
        </w:rPr>
        <w:t xml:space="preserve">0, </w:t>
      </w:r>
      <w:r>
        <w:rPr>
          <w:rFonts w:ascii="Times New Roman" w:hAnsi="Times New Roman" w:cs="Times New Roman"/>
          <w:szCs w:val="20"/>
        </w:rPr>
        <w:t>5</w:t>
      </w:r>
      <w:r w:rsidRPr="006319C8">
        <w:rPr>
          <w:rFonts w:ascii="Times New Roman" w:hAnsi="Times New Roman" w:cs="Times New Roman"/>
          <w:szCs w:val="20"/>
        </w:rPr>
        <w:t xml:space="preserve">0, and </w:t>
      </w:r>
      <w:r>
        <w:rPr>
          <w:rFonts w:ascii="Times New Roman" w:hAnsi="Times New Roman" w:cs="Times New Roman"/>
          <w:szCs w:val="20"/>
        </w:rPr>
        <w:t>1</w:t>
      </w:r>
      <w:r w:rsidRPr="006319C8">
        <w:rPr>
          <w:rFonts w:ascii="Times New Roman" w:hAnsi="Times New Roman" w:cs="Times New Roman"/>
          <w:szCs w:val="20"/>
        </w:rPr>
        <w:t xml:space="preserve">00 </w:t>
      </w:r>
      <w:proofErr w:type="spellStart"/>
      <w:r w:rsidRPr="006319C8">
        <w:rPr>
          <w:rFonts w:ascii="Times New Roman" w:hAnsi="Times New Roman" w:cs="Times New Roman"/>
          <w:szCs w:val="20"/>
        </w:rPr>
        <w:t>μg</w:t>
      </w:r>
      <w:proofErr w:type="spellEnd"/>
      <w:r w:rsidRPr="006319C8">
        <w:rPr>
          <w:rFonts w:ascii="Times New Roman" w:hAnsi="Times New Roman" w:cs="Times New Roman"/>
          <w:szCs w:val="20"/>
        </w:rPr>
        <w:t>/</w:t>
      </w:r>
      <w:proofErr w:type="spellStart"/>
      <w:r w:rsidRPr="006319C8">
        <w:rPr>
          <w:rFonts w:ascii="Times New Roman" w:hAnsi="Times New Roman" w:cs="Times New Roman"/>
          <w:szCs w:val="20"/>
        </w:rPr>
        <w:t>mL.</w:t>
      </w:r>
      <w:proofErr w:type="spellEnd"/>
    </w:p>
    <w:p w14:paraId="515E1BFC" w14:textId="77777777" w:rsidR="00F17AC5" w:rsidRPr="006319C8" w:rsidRDefault="00F17AC5" w:rsidP="000D759F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Cs w:val="20"/>
        </w:rPr>
      </w:pPr>
    </w:p>
    <w:p w14:paraId="226477C7" w14:textId="77777777" w:rsidR="00F17AC5" w:rsidRPr="006319C8" w:rsidRDefault="00F17AC5" w:rsidP="000D759F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Cs w:val="20"/>
        </w:rPr>
      </w:pPr>
    </w:p>
    <w:p w14:paraId="0353CFFC" w14:textId="77777777" w:rsidR="00E762CC" w:rsidRPr="00F17AC5" w:rsidRDefault="00E762CC"/>
    <w:sectPr w:rsidR="00E762CC" w:rsidRPr="00F17AC5" w:rsidSect="00E47D90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1205"/>
    <w:multiLevelType w:val="hybridMultilevel"/>
    <w:tmpl w:val="1F9633CA"/>
    <w:lvl w:ilvl="0" w:tplc="58A2DA0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E533303"/>
    <w:multiLevelType w:val="hybridMultilevel"/>
    <w:tmpl w:val="E4C87198"/>
    <w:lvl w:ilvl="0" w:tplc="55701E2C">
      <w:start w:val="20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01664D9"/>
    <w:multiLevelType w:val="hybridMultilevel"/>
    <w:tmpl w:val="ADD2D4B0"/>
    <w:lvl w:ilvl="0" w:tplc="16C61BBE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51727888">
    <w:abstractNumId w:val="1"/>
  </w:num>
  <w:num w:numId="2" w16cid:durableId="929317759">
    <w:abstractNumId w:val="0"/>
  </w:num>
  <w:num w:numId="3" w16cid:durableId="171843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17AC5"/>
    <w:rsid w:val="00E47D90"/>
    <w:rsid w:val="00E762CC"/>
    <w:rsid w:val="00F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0610"/>
  <w15:docId w15:val="{D0E501EF-AE03-4A5F-80E9-AAD65FB7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C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  <w:rsid w:val="00F17A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7AC5"/>
  </w:style>
  <w:style w:type="table" w:styleId="TableGrid">
    <w:name w:val="Table Grid"/>
    <w:basedOn w:val="TableNormal"/>
    <w:uiPriority w:val="39"/>
    <w:rsid w:val="00F1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17A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nchor-text">
    <w:name w:val="anchor-text"/>
    <w:basedOn w:val="DefaultParagraphFont"/>
    <w:rsid w:val="00F17AC5"/>
  </w:style>
  <w:style w:type="paragraph" w:styleId="ListParagraph">
    <w:name w:val="List Paragraph"/>
    <w:basedOn w:val="Normal"/>
    <w:uiPriority w:val="34"/>
    <w:qFormat/>
    <w:rsid w:val="00F17AC5"/>
    <w:pPr>
      <w:ind w:leftChars="400" w:left="800"/>
    </w:pPr>
  </w:style>
  <w:style w:type="paragraph" w:customStyle="1" w:styleId="MDPI21heading1">
    <w:name w:val="MDPI_2.1_heading1"/>
    <w:basedOn w:val="Normal"/>
    <w:qFormat/>
    <w:rsid w:val="00F17AC5"/>
    <w:pPr>
      <w:widowControl/>
      <w:wordWrap/>
      <w:autoSpaceDE/>
      <w:autoSpaceDN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F17AC5"/>
    <w:pPr>
      <w:widowControl/>
      <w:wordWrap/>
      <w:autoSpaceDE/>
      <w:autoSpaceDN/>
      <w:spacing w:after="0" w:line="480" w:lineRule="auto"/>
      <w:jc w:val="left"/>
    </w:pPr>
    <w:rPr>
      <w:rFonts w:ascii="Times New Roman" w:eastAsia="맑은 고딕" w:hAnsi="Times New Roman" w:cs="Times New Roman"/>
      <w:noProof/>
      <w:kern w:val="0"/>
      <w:sz w:val="24"/>
      <w:szCs w:val="24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F17AC5"/>
    <w:rPr>
      <w:rFonts w:ascii="Times New Roman" w:eastAsia="맑은 고딕" w:hAnsi="Times New Roman" w:cs="Times New Roman"/>
      <w:noProof/>
      <w:kern w:val="0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F17AC5"/>
    <w:pPr>
      <w:spacing w:after="0"/>
      <w:jc w:val="center"/>
    </w:pPr>
    <w:rPr>
      <w:rFonts w:ascii="Times New Roman" w:eastAsia="맑은 고딕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7AC5"/>
    <w:rPr>
      <w:rFonts w:ascii="Times New Roman" w:eastAsia="맑은 고딕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F17AC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7AC5"/>
  </w:style>
  <w:style w:type="paragraph" w:styleId="Footer">
    <w:name w:val="footer"/>
    <w:basedOn w:val="Normal"/>
    <w:link w:val="FooterChar"/>
    <w:uiPriority w:val="99"/>
    <w:unhideWhenUsed/>
    <w:rsid w:val="00F17AC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2024-01-11T04:57:00Z</dcterms:created>
  <dcterms:modified xsi:type="dcterms:W3CDTF">2024-01-11T04:58:00Z</dcterms:modified>
</cp:coreProperties>
</file>