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9F" w:rsidRPr="000F509A" w:rsidRDefault="0022139F" w:rsidP="0022139F">
      <w:pPr>
        <w:spacing w:line="24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Supplementary Table </w:t>
      </w:r>
      <w:r w:rsidR="00001F93">
        <w:rPr>
          <w:rFonts w:ascii="Times New Roman" w:hAnsi="Times New Roman" w:cs="Times New Roman"/>
          <w:b/>
          <w:bCs/>
          <w:sz w:val="24"/>
          <w:szCs w:val="24"/>
        </w:rPr>
        <w:t>S</w:t>
      </w:r>
      <w:r>
        <w:rPr>
          <w:rFonts w:ascii="Times New Roman" w:hAnsi="Times New Roman" w:cs="Times New Roman"/>
          <w:b/>
          <w:bCs/>
          <w:sz w:val="24"/>
          <w:szCs w:val="24"/>
        </w:rPr>
        <w:t>2</w:t>
      </w:r>
      <w:r w:rsidRPr="000F509A">
        <w:rPr>
          <w:rFonts w:ascii="Times New Roman" w:hAnsi="Times New Roman" w:cs="Times New Roman"/>
          <w:sz w:val="24"/>
          <w:szCs w:val="24"/>
        </w:rPr>
        <w:t xml:space="preserve">. Comparisons of </w:t>
      </w:r>
      <w:r w:rsidRPr="000F509A">
        <w:rPr>
          <w:rFonts w:ascii="Times New Roman" w:hAnsi="Times New Roman" w:cs="Times New Roman"/>
          <w:i/>
          <w:iCs/>
          <w:sz w:val="24"/>
          <w:szCs w:val="24"/>
        </w:rPr>
        <w:t>CYP2D6</w:t>
      </w:r>
      <w:r w:rsidRPr="000F509A">
        <w:rPr>
          <w:rFonts w:ascii="Times New Roman" w:hAnsi="Times New Roman" w:cs="Times New Roman"/>
          <w:sz w:val="24"/>
          <w:szCs w:val="24"/>
        </w:rPr>
        <w:t xml:space="preserve"> activity scoring system and associated predicted phenotypes. </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7"/>
        <w:gridCol w:w="1276"/>
        <w:gridCol w:w="1418"/>
        <w:gridCol w:w="3118"/>
        <w:gridCol w:w="3119"/>
      </w:tblGrid>
      <w:tr w:rsidR="0022139F" w:rsidRPr="000F509A" w:rsidTr="00DF66A2">
        <w:trPr>
          <w:tblHeader/>
        </w:trPr>
        <w:tc>
          <w:tcPr>
            <w:tcW w:w="3891" w:type="dxa"/>
            <w:gridSpan w:val="3"/>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sz w:val="24"/>
                <w:szCs w:val="24"/>
                <w:lang w:bidi="ar-SA"/>
              </w:rPr>
              <w:t xml:space="preserve">Combined </w:t>
            </w:r>
            <w:r w:rsidRPr="000F509A">
              <w:rPr>
                <w:rFonts w:ascii="Times New Roman" w:eastAsia="Times New Roman" w:hAnsi="Times New Roman" w:cs="Times New Roman"/>
                <w:b/>
                <w:bCs/>
                <w:i/>
                <w:iCs/>
                <w:sz w:val="24"/>
                <w:szCs w:val="24"/>
                <w:lang w:bidi="ar-SA"/>
              </w:rPr>
              <w:t>CYP2D6</w:t>
            </w:r>
            <w:r w:rsidRPr="000F509A">
              <w:rPr>
                <w:rFonts w:ascii="Times New Roman" w:eastAsia="Times New Roman" w:hAnsi="Times New Roman" w:cs="Times New Roman"/>
                <w:b/>
                <w:bCs/>
                <w:sz w:val="24"/>
                <w:szCs w:val="24"/>
                <w:lang w:bidi="ar-SA"/>
              </w:rPr>
              <w:t xml:space="preserve"> allele activity score range</w:t>
            </w:r>
          </w:p>
        </w:tc>
        <w:tc>
          <w:tcPr>
            <w:tcW w:w="3118" w:type="dxa"/>
            <w:vMerge w:val="restart"/>
            <w:tcMar>
              <w:top w:w="48" w:type="dxa"/>
              <w:left w:w="96" w:type="dxa"/>
              <w:bottom w:w="48" w:type="dxa"/>
              <w:right w:w="96" w:type="dxa"/>
            </w:tcMar>
            <w:vAlign w:val="center"/>
            <w:hideMark/>
          </w:tcPr>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i/>
                <w:iCs/>
                <w:sz w:val="24"/>
                <w:szCs w:val="24"/>
                <w:lang w:bidi="ar-SA"/>
              </w:rPr>
              <w:t>CYP2D6</w:t>
            </w:r>
            <w:r w:rsidRPr="000F509A">
              <w:rPr>
                <w:rFonts w:ascii="Times New Roman" w:eastAsia="Times New Roman" w:hAnsi="Times New Roman" w:cs="Times New Roman"/>
                <w:b/>
                <w:bCs/>
                <w:sz w:val="24"/>
                <w:szCs w:val="24"/>
                <w:lang w:bidi="ar-SA"/>
              </w:rPr>
              <w:t xml:space="preserve"> predicted phenotype based on combined score</w:t>
            </w:r>
          </w:p>
        </w:tc>
        <w:tc>
          <w:tcPr>
            <w:tcW w:w="3119" w:type="dxa"/>
            <w:vMerge w:val="restart"/>
          </w:tcPr>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p>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p>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p>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sz w:val="24"/>
                <w:szCs w:val="24"/>
                <w:lang w:bidi="ar-SA"/>
              </w:rPr>
              <w:t>Examples</w:t>
            </w:r>
          </w:p>
          <w:p w:rsidR="0022139F" w:rsidRPr="000F509A" w:rsidRDefault="0022139F" w:rsidP="00DF66A2">
            <w:pPr>
              <w:spacing w:after="0" w:line="240" w:lineRule="auto"/>
              <w:jc w:val="center"/>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sz w:val="24"/>
                <w:szCs w:val="24"/>
                <w:lang w:bidi="ar-SA"/>
              </w:rPr>
              <w:t xml:space="preserve">Of </w:t>
            </w:r>
            <w:r w:rsidRPr="000F509A">
              <w:rPr>
                <w:rFonts w:ascii="Times New Roman" w:eastAsia="Times New Roman" w:hAnsi="Times New Roman" w:cs="Times New Roman"/>
                <w:b/>
                <w:bCs/>
                <w:i/>
                <w:iCs/>
                <w:sz w:val="24"/>
                <w:szCs w:val="24"/>
                <w:lang w:bidi="ar-SA"/>
              </w:rPr>
              <w:t>CYP2D6</w:t>
            </w:r>
            <w:r w:rsidRPr="000F509A">
              <w:rPr>
                <w:rFonts w:ascii="Times New Roman" w:eastAsia="Times New Roman" w:hAnsi="Times New Roman" w:cs="Times New Roman"/>
                <w:b/>
                <w:bCs/>
                <w:sz w:val="24"/>
                <w:szCs w:val="24"/>
                <w:lang w:bidi="ar-SA"/>
              </w:rPr>
              <w:t xml:space="preserve"> </w:t>
            </w:r>
            <w:proofErr w:type="spellStart"/>
            <w:r w:rsidRPr="000F509A">
              <w:rPr>
                <w:rFonts w:ascii="Times New Roman" w:eastAsia="Times New Roman" w:hAnsi="Times New Roman" w:cs="Times New Roman"/>
                <w:b/>
                <w:bCs/>
                <w:sz w:val="24"/>
                <w:szCs w:val="24"/>
                <w:lang w:bidi="ar-SA"/>
              </w:rPr>
              <w:t>diplotypes</w:t>
            </w:r>
            <w:proofErr w:type="spellEnd"/>
          </w:p>
        </w:tc>
      </w:tr>
      <w:tr w:rsidR="0022139F" w:rsidRPr="000F509A" w:rsidTr="00DF66A2">
        <w:trPr>
          <w:trHeight w:val="1651"/>
          <w:tblHeader/>
        </w:trPr>
        <w:tc>
          <w:tcPr>
            <w:tcW w:w="1197"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sz w:val="24"/>
                <w:szCs w:val="24"/>
                <w:lang w:bidi="ar-SA"/>
              </w:rPr>
              <w:t>DPWG activity score range</w:t>
            </w:r>
          </w:p>
        </w:tc>
        <w:tc>
          <w:tcPr>
            <w:tcW w:w="1276"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sz w:val="24"/>
                <w:szCs w:val="24"/>
                <w:lang w:bidi="ar-SA"/>
              </w:rPr>
              <w:t>CPIC activity score range</w:t>
            </w:r>
          </w:p>
        </w:tc>
        <w:tc>
          <w:tcPr>
            <w:tcW w:w="1418"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b/>
                <w:bCs/>
                <w:sz w:val="24"/>
                <w:szCs w:val="24"/>
                <w:lang w:bidi="ar-SA"/>
              </w:rPr>
            </w:pPr>
            <w:r w:rsidRPr="000F509A">
              <w:rPr>
                <w:rFonts w:ascii="Times New Roman" w:eastAsia="Times New Roman" w:hAnsi="Times New Roman" w:cs="Times New Roman"/>
                <w:b/>
                <w:bCs/>
                <w:sz w:val="24"/>
                <w:szCs w:val="24"/>
                <w:lang w:bidi="ar-SA"/>
              </w:rPr>
              <w:t xml:space="preserve">Revised and </w:t>
            </w:r>
            <w:r>
              <w:rPr>
                <w:rFonts w:ascii="Times New Roman" w:eastAsia="Times New Roman" w:hAnsi="Times New Roman" w:cs="Times New Roman"/>
                <w:b/>
                <w:bCs/>
                <w:sz w:val="24"/>
                <w:szCs w:val="24"/>
                <w:lang w:bidi="ar-SA"/>
              </w:rPr>
              <w:t>u</w:t>
            </w:r>
            <w:r w:rsidRPr="000F509A">
              <w:rPr>
                <w:rFonts w:ascii="Times New Roman" w:eastAsia="Times New Roman" w:hAnsi="Times New Roman" w:cs="Times New Roman"/>
                <w:b/>
                <w:bCs/>
                <w:sz w:val="24"/>
                <w:szCs w:val="24"/>
                <w:lang w:bidi="ar-SA"/>
              </w:rPr>
              <w:t>pdated activity score range</w:t>
            </w:r>
          </w:p>
          <w:p w:rsidR="0022139F" w:rsidRPr="000F509A" w:rsidRDefault="0022139F" w:rsidP="00DF66A2">
            <w:pPr>
              <w:spacing w:after="0" w:line="240" w:lineRule="auto"/>
              <w:rPr>
                <w:rFonts w:ascii="Times New Roman" w:eastAsia="Times New Roman" w:hAnsi="Times New Roman" w:cs="Times New Roman"/>
                <w:b/>
                <w:bCs/>
                <w:sz w:val="24"/>
                <w:szCs w:val="24"/>
                <w:lang w:bidi="ar-SA"/>
              </w:rPr>
            </w:pPr>
          </w:p>
        </w:tc>
        <w:tc>
          <w:tcPr>
            <w:tcW w:w="3118" w:type="dxa"/>
            <w:vMerge/>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b/>
                <w:bCs/>
                <w:sz w:val="24"/>
                <w:szCs w:val="24"/>
                <w:lang w:bidi="ar-SA"/>
              </w:rPr>
            </w:pPr>
          </w:p>
        </w:tc>
        <w:tc>
          <w:tcPr>
            <w:tcW w:w="3119" w:type="dxa"/>
            <w:vMerge/>
          </w:tcPr>
          <w:p w:rsidR="0022139F" w:rsidRPr="000F509A" w:rsidRDefault="0022139F" w:rsidP="00DF66A2">
            <w:pPr>
              <w:spacing w:after="0" w:line="240" w:lineRule="auto"/>
              <w:rPr>
                <w:rFonts w:ascii="Times New Roman" w:eastAsia="Times New Roman" w:hAnsi="Times New Roman" w:cs="Times New Roman"/>
                <w:b/>
                <w:bCs/>
                <w:sz w:val="24"/>
                <w:szCs w:val="24"/>
                <w:lang w:bidi="ar-SA"/>
              </w:rPr>
            </w:pPr>
          </w:p>
        </w:tc>
      </w:tr>
      <w:tr w:rsidR="0022139F" w:rsidRPr="000F509A" w:rsidTr="00DF66A2">
        <w:tc>
          <w:tcPr>
            <w:tcW w:w="1197"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&gt;2.5</w:t>
            </w:r>
          </w:p>
        </w:tc>
        <w:tc>
          <w:tcPr>
            <w:tcW w:w="1276"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&gt;2</w:t>
            </w:r>
          </w:p>
        </w:tc>
        <w:tc>
          <w:tcPr>
            <w:tcW w:w="1418"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&gt;2.25</w:t>
            </w:r>
          </w:p>
        </w:tc>
        <w:tc>
          <w:tcPr>
            <w:tcW w:w="3118"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sz w:val="24"/>
                <w:szCs w:val="24"/>
                <w:lang w:bidi="ar-SA"/>
              </w:rPr>
            </w:pPr>
            <w:proofErr w:type="spellStart"/>
            <w:r w:rsidRPr="000F509A">
              <w:rPr>
                <w:rFonts w:ascii="Times New Roman" w:eastAsia="Times New Roman" w:hAnsi="Times New Roman" w:cs="Times New Roman"/>
                <w:sz w:val="24"/>
                <w:szCs w:val="24"/>
                <w:lang w:bidi="ar-SA"/>
              </w:rPr>
              <w:t>Ultrarapid</w:t>
            </w:r>
            <w:proofErr w:type="spellEnd"/>
            <w:r w:rsidRPr="000F509A">
              <w:rPr>
                <w:rFonts w:ascii="Times New Roman" w:eastAsia="Times New Roman" w:hAnsi="Times New Roman" w:cs="Times New Roman"/>
                <w:sz w:val="24"/>
                <w:szCs w:val="24"/>
                <w:lang w:bidi="ar-SA"/>
              </w:rPr>
              <w:t xml:space="preserve"> metabolizer (UM)</w:t>
            </w:r>
          </w:p>
        </w:tc>
        <w:tc>
          <w:tcPr>
            <w:tcW w:w="3119" w:type="dxa"/>
          </w:tcPr>
          <w:p w:rsidR="0022139F" w:rsidRPr="000F509A" w:rsidRDefault="0022139F" w:rsidP="00DF66A2">
            <w:pPr>
              <w:spacing w:after="0" w:line="240" w:lineRule="auto"/>
              <w:rPr>
                <w:rFonts w:ascii="Times New Roman" w:eastAsia="Times New Roman" w:hAnsi="Times New Roman" w:cs="Times New Roman"/>
                <w:i/>
                <w:iCs/>
                <w:sz w:val="24"/>
                <w:szCs w:val="24"/>
                <w:lang w:bidi="ar-SA"/>
              </w:rPr>
            </w:pPr>
            <w:r w:rsidRPr="000F509A">
              <w:rPr>
                <w:rFonts w:ascii="Times New Roman" w:eastAsia="Times New Roman" w:hAnsi="Times New Roman" w:cs="Times New Roman"/>
                <w:i/>
                <w:iCs/>
                <w:sz w:val="24"/>
                <w:szCs w:val="24"/>
                <w:lang w:bidi="ar-SA"/>
              </w:rPr>
              <w:t>*1/*1xN, *1/*2xN</w:t>
            </w:r>
          </w:p>
        </w:tc>
      </w:tr>
      <w:tr w:rsidR="0022139F" w:rsidRPr="000F509A" w:rsidTr="00DF66A2">
        <w:tc>
          <w:tcPr>
            <w:tcW w:w="1197"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1.5–2.5</w:t>
            </w:r>
          </w:p>
        </w:tc>
        <w:tc>
          <w:tcPr>
            <w:tcW w:w="1276"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1–2</w:t>
            </w:r>
          </w:p>
        </w:tc>
        <w:tc>
          <w:tcPr>
            <w:tcW w:w="1418"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1.25–2.25</w:t>
            </w:r>
          </w:p>
        </w:tc>
        <w:tc>
          <w:tcPr>
            <w:tcW w:w="3118"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Normal metabolizer (NM)</w:t>
            </w:r>
          </w:p>
        </w:tc>
        <w:tc>
          <w:tcPr>
            <w:tcW w:w="3119" w:type="dxa"/>
          </w:tcPr>
          <w:p w:rsidR="0022139F" w:rsidRPr="000F509A" w:rsidRDefault="0022139F" w:rsidP="00DF66A2">
            <w:pPr>
              <w:spacing w:after="0" w:line="240" w:lineRule="auto"/>
              <w:rPr>
                <w:rFonts w:ascii="Times New Roman" w:eastAsia="Times New Roman" w:hAnsi="Times New Roman" w:cs="Times New Roman"/>
                <w:i/>
                <w:iCs/>
                <w:sz w:val="24"/>
                <w:szCs w:val="24"/>
                <w:lang w:bidi="ar-SA"/>
              </w:rPr>
            </w:pPr>
            <w:r w:rsidRPr="000F509A">
              <w:rPr>
                <w:rFonts w:ascii="Times New Roman" w:eastAsia="Times New Roman" w:hAnsi="Times New Roman" w:cs="Times New Roman"/>
                <w:i/>
                <w:iCs/>
                <w:sz w:val="24"/>
                <w:szCs w:val="24"/>
                <w:lang w:bidi="ar-SA"/>
              </w:rPr>
              <w:t xml:space="preserve">*1/*1, *2/*2, *2/*10 </w:t>
            </w:r>
          </w:p>
        </w:tc>
      </w:tr>
      <w:tr w:rsidR="0022139F" w:rsidRPr="000F509A" w:rsidTr="00DF66A2">
        <w:tc>
          <w:tcPr>
            <w:tcW w:w="1197"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0.5–1</w:t>
            </w:r>
          </w:p>
        </w:tc>
        <w:tc>
          <w:tcPr>
            <w:tcW w:w="1276"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0.5</w:t>
            </w:r>
          </w:p>
        </w:tc>
        <w:tc>
          <w:tcPr>
            <w:tcW w:w="1418"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0.25–1</w:t>
            </w:r>
          </w:p>
        </w:tc>
        <w:tc>
          <w:tcPr>
            <w:tcW w:w="3118"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Intermediate metabolizer (IM)</w:t>
            </w:r>
          </w:p>
        </w:tc>
        <w:tc>
          <w:tcPr>
            <w:tcW w:w="3119" w:type="dxa"/>
          </w:tcPr>
          <w:p w:rsidR="0022139F" w:rsidRPr="000F509A" w:rsidRDefault="0022139F" w:rsidP="00DF66A2">
            <w:pPr>
              <w:spacing w:after="0" w:line="240" w:lineRule="auto"/>
              <w:rPr>
                <w:rFonts w:ascii="Times New Roman" w:eastAsia="Times New Roman" w:hAnsi="Times New Roman" w:cs="Times New Roman"/>
                <w:i/>
                <w:iCs/>
                <w:sz w:val="24"/>
                <w:szCs w:val="24"/>
                <w:lang w:bidi="ar-SA"/>
              </w:rPr>
            </w:pPr>
            <w:r w:rsidRPr="000F509A">
              <w:rPr>
                <w:rFonts w:ascii="Times New Roman" w:eastAsia="Times New Roman" w:hAnsi="Times New Roman" w:cs="Times New Roman"/>
                <w:i/>
                <w:iCs/>
                <w:sz w:val="24"/>
                <w:szCs w:val="24"/>
                <w:lang w:bidi="ar-SA"/>
              </w:rPr>
              <w:t xml:space="preserve">*10/*10, *36+10/*14, *1/*5, *2/*4 </w:t>
            </w:r>
          </w:p>
        </w:tc>
      </w:tr>
      <w:tr w:rsidR="0022139F" w:rsidRPr="000F509A" w:rsidTr="00DF66A2">
        <w:tc>
          <w:tcPr>
            <w:tcW w:w="1197"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0</w:t>
            </w:r>
          </w:p>
        </w:tc>
        <w:tc>
          <w:tcPr>
            <w:tcW w:w="1276"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0</w:t>
            </w:r>
          </w:p>
        </w:tc>
        <w:tc>
          <w:tcPr>
            <w:tcW w:w="1418" w:type="dxa"/>
            <w:tcMar>
              <w:top w:w="48" w:type="dxa"/>
              <w:left w:w="96" w:type="dxa"/>
              <w:bottom w:w="48" w:type="dxa"/>
              <w:right w:w="96" w:type="dxa"/>
            </w:tcMar>
            <w:vAlign w:val="center"/>
          </w:tcPr>
          <w:p w:rsidR="0022139F" w:rsidRPr="000F509A" w:rsidRDefault="0022139F" w:rsidP="00DF66A2">
            <w:pPr>
              <w:spacing w:after="0" w:line="240" w:lineRule="auto"/>
              <w:jc w:val="center"/>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0</w:t>
            </w:r>
          </w:p>
        </w:tc>
        <w:tc>
          <w:tcPr>
            <w:tcW w:w="3118" w:type="dxa"/>
            <w:tcMar>
              <w:top w:w="48" w:type="dxa"/>
              <w:left w:w="96" w:type="dxa"/>
              <w:bottom w:w="48" w:type="dxa"/>
              <w:right w:w="96" w:type="dxa"/>
            </w:tcMar>
            <w:vAlign w:val="center"/>
          </w:tcPr>
          <w:p w:rsidR="0022139F" w:rsidRPr="000F509A" w:rsidRDefault="0022139F" w:rsidP="00DF66A2">
            <w:pPr>
              <w:spacing w:after="0" w:line="240" w:lineRule="auto"/>
              <w:rPr>
                <w:rFonts w:ascii="Times New Roman" w:eastAsia="Times New Roman" w:hAnsi="Times New Roman" w:cs="Times New Roman"/>
                <w:sz w:val="24"/>
                <w:szCs w:val="24"/>
                <w:lang w:bidi="ar-SA"/>
              </w:rPr>
            </w:pPr>
            <w:r w:rsidRPr="000F509A">
              <w:rPr>
                <w:rFonts w:ascii="Times New Roman" w:eastAsia="Times New Roman" w:hAnsi="Times New Roman" w:cs="Times New Roman"/>
                <w:sz w:val="24"/>
                <w:szCs w:val="24"/>
                <w:lang w:bidi="ar-SA"/>
              </w:rPr>
              <w:t>Poor metabolizer (PM)</w:t>
            </w:r>
          </w:p>
        </w:tc>
        <w:tc>
          <w:tcPr>
            <w:tcW w:w="3119" w:type="dxa"/>
          </w:tcPr>
          <w:p w:rsidR="0022139F" w:rsidRPr="000F509A" w:rsidRDefault="0022139F" w:rsidP="00DF66A2">
            <w:pPr>
              <w:spacing w:after="0" w:line="240" w:lineRule="auto"/>
              <w:rPr>
                <w:rFonts w:ascii="Times New Roman" w:eastAsia="Times New Roman" w:hAnsi="Times New Roman" w:cs="Times New Roman"/>
                <w:i/>
                <w:iCs/>
                <w:sz w:val="24"/>
                <w:szCs w:val="24"/>
                <w:lang w:bidi="ar-SA"/>
              </w:rPr>
            </w:pPr>
            <w:r w:rsidRPr="000F509A">
              <w:rPr>
                <w:rFonts w:ascii="Times New Roman" w:eastAsia="Times New Roman" w:hAnsi="Times New Roman" w:cs="Times New Roman"/>
                <w:i/>
                <w:iCs/>
                <w:sz w:val="24"/>
                <w:szCs w:val="24"/>
                <w:lang w:bidi="ar-SA"/>
              </w:rPr>
              <w:t>*5/*5, *4/*4xN</w:t>
            </w:r>
          </w:p>
        </w:tc>
      </w:tr>
    </w:tbl>
    <w:p w:rsidR="0022139F" w:rsidRDefault="0022139F" w:rsidP="0022139F">
      <w:pPr>
        <w:spacing w:line="240" w:lineRule="auto"/>
        <w:jc w:val="both"/>
        <w:rPr>
          <w:rFonts w:ascii="Times New Roman" w:hAnsi="Times New Roman" w:cs="Times New Roman"/>
          <w:sz w:val="20"/>
          <w:szCs w:val="20"/>
        </w:rPr>
      </w:pPr>
      <w:r w:rsidRPr="009F3671">
        <w:rPr>
          <w:rFonts w:ascii="Times New Roman" w:hAnsi="Times New Roman" w:cs="Times New Roman"/>
          <w:sz w:val="20"/>
          <w:szCs w:val="20"/>
        </w:rPr>
        <w:t xml:space="preserve">Here, </w:t>
      </w:r>
      <w:r>
        <w:rPr>
          <w:rFonts w:ascii="Times New Roman" w:hAnsi="Times New Roman" w:cs="Times New Roman"/>
          <w:sz w:val="20"/>
          <w:szCs w:val="20"/>
        </w:rPr>
        <w:t xml:space="preserve">DPWG=Dutch Pharmacogenetics Working Group; </w:t>
      </w:r>
      <w:r w:rsidRPr="009F3671">
        <w:rPr>
          <w:rFonts w:ascii="Times New Roman" w:hAnsi="Times New Roman" w:cs="Times New Roman"/>
          <w:sz w:val="20"/>
          <w:szCs w:val="20"/>
        </w:rPr>
        <w:t>CPIC=Clinical Pharmacogene</w:t>
      </w:r>
      <w:r>
        <w:rPr>
          <w:rFonts w:ascii="Times New Roman" w:hAnsi="Times New Roman" w:cs="Times New Roman"/>
          <w:sz w:val="20"/>
          <w:szCs w:val="20"/>
        </w:rPr>
        <w:t>tics Implementation Consortium.</w:t>
      </w:r>
      <w:r w:rsidRPr="00061D04">
        <w:rPr>
          <w:rFonts w:ascii="Times New Roman" w:eastAsia="Times New Roman" w:hAnsi="Times New Roman" w:cs="Times New Roman"/>
          <w:color w:val="000000" w:themeColor="text1"/>
          <w:sz w:val="24"/>
          <w:szCs w:val="24"/>
          <w:lang w:bidi="ar-SA"/>
        </w:rPr>
        <w:t xml:space="preserve"> </w:t>
      </w:r>
      <w:r>
        <w:rPr>
          <w:rFonts w:ascii="Times New Roman" w:eastAsia="Times New Roman" w:hAnsi="Times New Roman" w:cs="Times New Roman"/>
          <w:color w:val="000000" w:themeColor="text1"/>
          <w:sz w:val="24"/>
          <w:szCs w:val="24"/>
          <w:lang w:bidi="ar-SA"/>
        </w:rPr>
        <w:t xml:space="preserve">This table has been updated and adapted from </w:t>
      </w:r>
      <w:proofErr w:type="spellStart"/>
      <w:r w:rsidRPr="00A908F7">
        <w:rPr>
          <w:rFonts w:ascii="Times New Roman" w:eastAsia="Times New Roman" w:hAnsi="Times New Roman" w:cs="Times New Roman"/>
          <w:color w:val="000000" w:themeColor="text1"/>
          <w:sz w:val="24"/>
          <w:szCs w:val="24"/>
          <w:lang w:bidi="ar-SA"/>
        </w:rPr>
        <w:t>Nofziger</w:t>
      </w:r>
      <w:proofErr w:type="spellEnd"/>
      <w:r>
        <w:rPr>
          <w:rFonts w:ascii="Times New Roman" w:eastAsia="Times New Roman" w:hAnsi="Times New Roman" w:cs="Times New Roman"/>
          <w:color w:val="000000" w:themeColor="text1"/>
          <w:sz w:val="24"/>
          <w:szCs w:val="24"/>
          <w:lang w:bidi="ar-SA"/>
        </w:rPr>
        <w:t xml:space="preserve"> C </w:t>
      </w:r>
      <w:r w:rsidRPr="004D5406">
        <w:rPr>
          <w:rFonts w:ascii="Times New Roman" w:eastAsia="Times New Roman" w:hAnsi="Times New Roman" w:cs="Times New Roman"/>
          <w:i/>
          <w:color w:val="000000" w:themeColor="text1"/>
          <w:sz w:val="24"/>
          <w:szCs w:val="24"/>
          <w:lang w:bidi="ar-SA"/>
        </w:rPr>
        <w:t>et al.,</w:t>
      </w:r>
      <w:r>
        <w:rPr>
          <w:rFonts w:ascii="Times New Roman" w:eastAsia="Times New Roman" w:hAnsi="Times New Roman" w:cs="Times New Roman"/>
          <w:color w:val="000000" w:themeColor="text1"/>
          <w:sz w:val="24"/>
          <w:szCs w:val="24"/>
          <w:lang w:bidi="ar-SA"/>
        </w:rPr>
        <w:t xml:space="preserve"> 2020 and </w:t>
      </w:r>
      <w:proofErr w:type="spellStart"/>
      <w:r w:rsidRPr="00A908F7">
        <w:rPr>
          <w:rFonts w:ascii="Times New Roman" w:eastAsia="Times New Roman" w:hAnsi="Times New Roman" w:cs="Times New Roman"/>
          <w:color w:val="000000" w:themeColor="text1"/>
          <w:sz w:val="24"/>
          <w:szCs w:val="24"/>
          <w:lang w:bidi="ar-SA"/>
        </w:rPr>
        <w:t>Hongkaew</w:t>
      </w:r>
      <w:proofErr w:type="spellEnd"/>
      <w:r>
        <w:rPr>
          <w:rFonts w:ascii="Times New Roman" w:eastAsia="Times New Roman" w:hAnsi="Times New Roman" w:cs="Times New Roman"/>
          <w:color w:val="000000" w:themeColor="text1"/>
          <w:sz w:val="24"/>
          <w:szCs w:val="24"/>
          <w:lang w:bidi="ar-SA"/>
        </w:rPr>
        <w:t xml:space="preserve"> Y </w:t>
      </w:r>
      <w:r w:rsidRPr="004D5406">
        <w:rPr>
          <w:rFonts w:ascii="Times New Roman" w:eastAsia="Times New Roman" w:hAnsi="Times New Roman" w:cs="Times New Roman"/>
          <w:i/>
          <w:color w:val="000000" w:themeColor="text1"/>
          <w:sz w:val="24"/>
          <w:szCs w:val="24"/>
          <w:lang w:bidi="ar-SA"/>
        </w:rPr>
        <w:t>et al.,</w:t>
      </w:r>
      <w:r>
        <w:rPr>
          <w:rFonts w:ascii="Times New Roman" w:eastAsia="Times New Roman" w:hAnsi="Times New Roman" w:cs="Times New Roman"/>
          <w:color w:val="000000" w:themeColor="text1"/>
          <w:sz w:val="24"/>
          <w:szCs w:val="24"/>
          <w:lang w:bidi="ar-SA"/>
        </w:rPr>
        <w:t xml:space="preserve"> 2021 </w:t>
      </w:r>
      <w:r>
        <w:rPr>
          <w:rFonts w:ascii="Times New Roman" w:eastAsia="Times New Roman" w:hAnsi="Times New Roman" w:cs="Times New Roman"/>
          <w:color w:val="000000" w:themeColor="text1"/>
          <w:sz w:val="24"/>
          <w:szCs w:val="24"/>
          <w:lang w:bidi="ar-SA"/>
        </w:rPr>
        <w:fldChar w:fldCharType="begin" w:fldLock="1"/>
      </w:r>
      <w:r>
        <w:rPr>
          <w:rFonts w:ascii="Times New Roman" w:eastAsia="Times New Roman" w:hAnsi="Times New Roman" w:cs="Times New Roman"/>
          <w:color w:val="000000" w:themeColor="text1"/>
          <w:sz w:val="24"/>
          <w:szCs w:val="24"/>
          <w:lang w:bidi="ar-SA"/>
        </w:rPr>
        <w:instrText>ADDIN CSL_CITATION {"citationItems":[{"id":"ITEM-1","itemData":{"DOI":"10.1002/cpt.1643","ISSN":"1532-6535 (Electronic)","PMID":"31544239","abstract":"The Pharmacogene Variation Consortium (PharmVar) provides nomenclature for the  highly polymorphic human CYP2D6 gene locus. CYP2D6 genetic variation impacts the metabolism of numerous drugs and, thus, can impact drug efficacy and safety. This GeneFocus provides a comprehensive overview and summary of CYP2D6 genetic variation and describes how the information provided by PharmVar is utilized by the Pharmacogenomics Knowledgebase (PharmGKB) and the Clinical Pharmacogenetics Implementation Consortium (CPIC).","author":[{"dropping-particle":"","family":"Nofziger","given":"Charity","non-dropping-particle":"","parse-names":false,"suffix":""},{"dropping-particle":"","family":"Turner","given":"Amy J","non-dropping-particle":"","parse-names":false,"suffix":""},{"dropping-particle":"","family":"Sangkuhl","given":"Katrin","non-dropping-particle":"","parse-names":false,"suffix":""},{"dropping-particle":"","family":"Whirl-Carrillo","given":"Michelle","non-dropping-particle":"","parse-names":false,"suffix":""},{"dropping-particle":"","family":"Agúndez","given":"José A G","non-dropping-particle":"","parse-names":false,"suffix":""},{"dropping-particle":"","family":"Black","given":"John L","non-dropping-particle":"","parse-names":false,"suffix":""},{"dropping-particle":"","family":"Dunnenberger","given":"Henry M","non-dropping-particle":"","parse-names":false,"suffix":""},{"dropping-particle":"","family":"Ruano","given":"Gualberto","non-dropping-particle":"","parse-names":false,"suffix":""},{"dropping-particle":"","family":"Kennedy","given":"Martin A","non-dropping-particle":"","parse-names":false,"suffix":""},{"dropping-particle":"","family":"Phillips","given":"Michael S","non-dropping-particle":"","parse-names":false,"suffix":""},{"dropping-particle":"","family":"Hachad","given":"Houda","non-dropping-particle":"","parse-names":false,"suffix":""},{"dropping-particle":"","family":"Klein","given":"Teri E","non-dropping-particle":"","parse-names":false,"suffix":""},{"dropping-particle":"","family":"Gaedigk","given":"Andrea","non-dropping-particle":"","parse-names":false,"suffix":""}],"container-title":"Clinical pharmacology and therapeutics","id":"ITEM-1","issue":"1","issued":{"date-parts":[["2020","1"]]},"language":"eng","page":"154-170","publisher-place":"United States","title":"PharmVar GeneFocus: CYP2D6.","type":"article-journal","volume":"107"},"uris":["http://www.mendeley.com/documents/?uuid=d4357aeb-2f7d-4a62-9b85-b09dde5ae2fe"]},{"id":"ITEM-2","itemData":{"DOI":"10.1038/s41598-021-83570-w","ISSN":"2045-2322 (Electronic)","PMID":"33603025","abstract":"Recently, the Clinical Pharmacogenetics Implementation Consortium (CPIC) have  revised recommendations for the translation of CYP2D6 genotype to phenotype. Changes affect phenotype grouping, as well as the value used to calculate activity score for the CYP2D6*10 allele to better reflect the substantially decreased activity of this allele which is the most frequent allele found in Asian populations. This study aimed to evaluate whether the lower value for CYP2D6*10 as recommended, and the revised phenotype groupings improve the relationship between CYP2D6 genotype and risperidone measures. One hundred and ninety-nine children and adolescents with autism treated with a risperidone-based regimen for at least four weeks were included. CYP2D6 genotype was determined using the Luminex xTAG CYP2D6 Kit assay and translated into phenotype using different translation methods. Plasma concentrations of risperidone and 9-hydroxyrisperidone were measured using LC/MS/MS. Plasma levels of risperidone, risperidone concentration/dose ratio, and risperidone/9-hydroxyrisperidone ratio in patients with an activity score &lt; 1 were significantly higher than those ≥ 1 (P value &lt; 0.001 for all three parameters). Plasma risperidone levels and risperidone concentration/dose ratios were significantly higher in intermediate metabolizers (defined as AS = 0.25-0.75) than normal metabolizer (defined as AS = 1-2) patients (1.44 vs. 0.23 ng/ml, P &lt; 0.001 and 1.63 vs. 0.29 ng/ml/ng, P &lt; 0.001, respectively) as well as risperidone/9-hydroxyrisperidone ratio (0.20 vs. 0.04, P &lt; 0.001). This is the first study in an Asian population utilizing the revised CPIC-recommended method for translating the CYP2D6 genotype to phenotype. In addition to validating that CYP2D6 genetic variation significantly impacts risperidone metabolism, we demonstrated that revised value for the CYP2D6*10 was superior for genotype to phenotype translation. However, at least for risperidone, subjects with an activity score of 1 presented as phenotypic normal, and not intermediate metabolizers, suggesting that phenotype classification is substrate dependent.","author":[{"dropping-particle":"","family":"Hongkaew","given":"Yaowaluck","non-dropping-particle":"","parse-names":false,"suffix":""},{"dropping-particle":"","family":"Gaedigk","given":"Andrea","non-dropping-particle":"","parse-names":false,"suffix":""},{"dropping-particle":"","family":"Wilffert","given":"Bob","non-dropping-particle":"","parse-names":false,"suffix":""},{"dropping-particle":"","family":"Ngamsamut","given":"Nattawat","non-dropping-particle":"","parse-names":false,"suffix":""},{"dropping-particle":"","family":"Kittitharaphan","given":"Wiranpat","non-dropping-particle":"","parse-names":false,"suffix":""},{"dropping-particle":"","family":"Limsila","given":"Penkhae","non-dropping-particle":"","parse-names":false,"suffix":""},{"dropping-particle":"","family":"Sukasem","given":"Chonlaphat","non-dropping-particle":"","parse-names":false,"suffix":""}],"container-title":"Scientific reports","id":"ITEM-2","issue":"1","issued":{"date-parts":[["2021","2"]]},"language":"eng","page":"4158","title":"Relationship between CYP2D6 genotype, activity score and phenotype in a pediatric  Thai population treated with risperidone.","type":"article-journal","volume":"11"},"uris":["http://www.mendeley.com/documents/?uuid=61dca51b-6c68-4113-bce6-825d84f53048"]}],"mendeley":{"formattedCitation":"(Hongkaew, Gaedigk, Wilffert, Ngamsamut, et al., 2021; Nofziger et al., 2020)","plainTextFormattedCitation":"(Hongkaew, Gaedigk, Wilffert, Ngamsamut, et al., 2021; Nofziger et al., 2020)","previouslyFormattedCitation":"(Hongkaew, Gaedigk, Wilffert, Ngamsamut, et al., 2021; Nofziger et al., 2020)"},"properties":{"noteIndex":0},"schema":"https://github.com/citation-style-language/schema/raw/master/csl-citation.json"}</w:instrText>
      </w:r>
      <w:r>
        <w:rPr>
          <w:rFonts w:ascii="Times New Roman" w:eastAsia="Times New Roman" w:hAnsi="Times New Roman" w:cs="Times New Roman"/>
          <w:color w:val="000000" w:themeColor="text1"/>
          <w:sz w:val="24"/>
          <w:szCs w:val="24"/>
          <w:lang w:bidi="ar-SA"/>
        </w:rPr>
        <w:fldChar w:fldCharType="separate"/>
      </w:r>
      <w:r w:rsidRPr="00443026">
        <w:rPr>
          <w:rFonts w:ascii="Times New Roman" w:eastAsia="Times New Roman" w:hAnsi="Times New Roman" w:cs="Times New Roman"/>
          <w:noProof/>
          <w:color w:val="000000" w:themeColor="text1"/>
          <w:sz w:val="24"/>
          <w:szCs w:val="24"/>
          <w:lang w:bidi="ar-SA"/>
        </w:rPr>
        <w:t>(Hongkaew, Gaedigk, Wilffert, Ngamsamut, et al., 2021; Nofziger et al., 2020)</w:t>
      </w:r>
      <w:r>
        <w:rPr>
          <w:rFonts w:ascii="Times New Roman" w:eastAsia="Times New Roman" w:hAnsi="Times New Roman" w:cs="Times New Roman"/>
          <w:color w:val="000000" w:themeColor="text1"/>
          <w:sz w:val="24"/>
          <w:szCs w:val="24"/>
          <w:lang w:bidi="ar-SA"/>
        </w:rPr>
        <w:fldChar w:fldCharType="end"/>
      </w:r>
      <w:r>
        <w:rPr>
          <w:rFonts w:ascii="Times New Roman" w:eastAsia="Times New Roman" w:hAnsi="Times New Roman" w:cs="Times New Roman"/>
          <w:color w:val="000000" w:themeColor="text1"/>
          <w:sz w:val="24"/>
          <w:szCs w:val="24"/>
          <w:lang w:bidi="ar-SA"/>
        </w:rPr>
        <w:t>.</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0B"/>
    <w:rsid w:val="00001F93"/>
    <w:rsid w:val="001B410B"/>
    <w:rsid w:val="0022139F"/>
    <w:rsid w:val="00341661"/>
    <w:rsid w:val="006C0B77"/>
    <w:rsid w:val="008242FF"/>
    <w:rsid w:val="00870751"/>
    <w:rsid w:val="00922C48"/>
    <w:rsid w:val="00A5152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8D6F2-152B-45BC-A33B-C8447B18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9F"/>
    <w:rPr>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Mohitosh Biswas</dc:creator>
  <cp:keywords/>
  <dc:description/>
  <cp:lastModifiedBy>Mohitosh Biswas</cp:lastModifiedBy>
  <cp:revision>4</cp:revision>
  <dcterms:created xsi:type="dcterms:W3CDTF">2023-05-15T10:48:00Z</dcterms:created>
  <dcterms:modified xsi:type="dcterms:W3CDTF">2024-01-24T16:48:00Z</dcterms:modified>
</cp:coreProperties>
</file>