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5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1347"/>
        <w:gridCol w:w="1467"/>
        <w:gridCol w:w="1213"/>
        <w:gridCol w:w="1440"/>
        <w:gridCol w:w="1787"/>
      </w:tblGrid>
      <w:tr>
        <w:trPr>
          <w:trHeight w:val="351" w:hRule="atLeast"/>
        </w:trPr>
        <w:tc>
          <w:tcPr>
            <w:tcW w:w="11257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szCs w:val="24"/>
                <w:lang w:eastAsia="zh-CN" w:bidi="ar"/>
              </w:rPr>
              <w:t>Pairwise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Cs w:val="24"/>
                <w:lang w:eastAsia="zh-CN" w:bidi="ar"/>
              </w:rPr>
              <w:t xml:space="preserve"> comparison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for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the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P50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SG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hint="eastAsia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val="en-US" w:eastAsia="zh-Hans" w:bidi="ar"/>
              </w:rPr>
              <w:t>ratio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FF0000"/>
                <w:szCs w:val="24"/>
                <w:lang w:eastAsia="zh-Hans" w:bidi="ar"/>
              </w:rPr>
              <w:t xml:space="preserve">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szCs w:val="24"/>
                <w:lang w:eastAsia="zh-CN" w:bidi="ar"/>
              </w:rPr>
              <w:t>of anxiety and depression groups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Sample 1-Sample 2</w:t>
            </w:r>
          </w:p>
        </w:tc>
        <w:tc>
          <w:tcPr>
            <w:tcW w:w="134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Test statistics</w:t>
            </w:r>
          </w:p>
        </w:tc>
        <w:tc>
          <w:tcPr>
            <w:tcW w:w="146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Standard error</w:t>
            </w:r>
          </w:p>
        </w:tc>
        <w:tc>
          <w:tcPr>
            <w:tcW w:w="121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Standard test statistics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sz w:val="22"/>
                <w:lang w:eastAsia="zh-CN" w:bidi="ar"/>
              </w:rPr>
              <w:t>Significance</w:t>
            </w:r>
          </w:p>
        </w:tc>
        <w:tc>
          <w:tcPr>
            <w:tcW w:w="17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000000"/>
                <w:sz w:val="22"/>
                <w:lang w:eastAsia="zh-CN" w:bidi="ar"/>
              </w:rPr>
              <w:t>Adj.Significance a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NAOD-OD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-16.220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14.674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0.269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NAOD-AAD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-29.949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10.074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-2.973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0.003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FF0000"/>
                <w:kern w:val="2"/>
                <w:sz w:val="22"/>
              </w:rPr>
            </w:pPr>
            <w:r>
              <w:rPr>
                <w:rFonts w:ascii="Times New Roman Italic" w:hAnsi="Times New Roman Italic" w:eastAsia="Times New Roman Italic" w:cs="Times New Roman Italic"/>
                <w:i/>
                <w:iCs/>
                <w:color w:val="FF0000"/>
                <w:sz w:val="22"/>
                <w:lang w:eastAsia="zh-CN" w:bidi="ar"/>
              </w:rPr>
              <w:t>0.018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NAOD-OA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-30.307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21.142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-1.433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0.152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0.910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OD-AND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-13.729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14.859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-0.924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0.356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OD-OA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-14.087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23.796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0.554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336" w:hRule="atLeast"/>
        </w:trPr>
        <w:tc>
          <w:tcPr>
            <w:tcW w:w="400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AAD-OA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0.358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21.270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0.335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0.987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textAlignment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1.000</w:t>
            </w:r>
          </w:p>
        </w:tc>
      </w:tr>
      <w:tr>
        <w:trPr>
          <w:trHeight w:val="580" w:hRule="atLeast"/>
        </w:trPr>
        <w:tc>
          <w:tcPr>
            <w:tcW w:w="1125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NAOD-</w:t>
            </w:r>
            <w:r>
              <w:rPr>
                <w:rFonts w:ascii="Times New Roman Regular" w:hAnsi="Times New Roman Regular" w:eastAsia="Times New Roman Regular" w:cs="Times New Roman Regular"/>
                <w:sz w:val="22"/>
                <w:lang w:eastAsia="zh-CN" w:bidi="ar"/>
              </w:rPr>
              <w:t>No anxiety or depression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 xml:space="preserve">  OA-Only anxiety  OD-Only depression  AAD-Anxiety and depression</w:t>
            </w:r>
          </w:p>
        </w:tc>
      </w:tr>
      <w:tr>
        <w:trPr>
          <w:trHeight w:val="336" w:hRule="atLeast"/>
        </w:trPr>
        <w:tc>
          <w:tcPr>
            <w:tcW w:w="11257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Times New Roman Regular" w:cs="Times New Roman Regular"/>
                <w:color w:val="000000"/>
                <w:sz w:val="22"/>
                <w:lang w:val="en-US" w:eastAsia="zh-Hans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 xml:space="preserve">Each row tests the null hypothesis that sample 1 and sample 2 have the same </w:t>
            </w:r>
            <w:r>
              <w:rPr>
                <w:rFonts w:ascii="Times New Roman Regular" w:hAnsi="Times New Roman Regular" w:eastAsia="Times New Roman Regular" w:cs="Times New Roman Regular"/>
                <w:color w:val="FF0000"/>
                <w:sz w:val="22"/>
                <w:lang w:eastAsia="zh-CN" w:bidi="ar"/>
              </w:rPr>
              <w:t>distributio</w:t>
            </w:r>
            <w:r>
              <w:rPr>
                <w:rFonts w:hint="eastAsia" w:ascii="Times New Roman Regular" w:hAnsi="Times New Roman Regular" w:eastAsia="Times New Roman Regular" w:cs="Times New Roman Regular"/>
                <w:color w:val="FF0000"/>
                <w:sz w:val="22"/>
                <w:lang w:val="en-US" w:eastAsia="zh-Hans" w:bidi="ar"/>
              </w:rPr>
              <w:t>n</w:t>
            </w:r>
          </w:p>
          <w:p>
            <w:pPr>
              <w:widowControl w:val="0"/>
              <w:spacing w:before="0" w:after="0"/>
              <w:jc w:val="both"/>
              <w:rPr>
                <w:rFonts w:hint="eastAsia" w:ascii="Times New Roman Regular" w:hAnsi="Times New Roman Regular" w:eastAsia="宋体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Progressive significance was shown (two-sided test). The significance level was.05.</w:t>
            </w:r>
          </w:p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a Significance values have been adjusted by Bonferroni correction for a number of tests.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0489"/>
    <w:rsid w:val="5FAA8742"/>
    <w:rsid w:val="FD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2023-08-26T00:31:00Z</dcterms:created>
  <dc:creator>liuxinyi</dc:creator>
  <cp:lastModifiedBy>liuxinyi</cp:lastModifiedBy>
  <dcterms:modified xsi:type="dcterms:W3CDTF">2023-10-29T18:24:51Z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907292EB8761D83CC766E8643FBDC79E</vt:lpwstr>
  </property>
</Properties>
</file>