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N</w:t>
      </w:r>
      <w:r>
        <w:rPr>
          <w:rFonts w:hint="default" w:ascii="Times New Roman" w:hAnsi="Times New Roman" w:eastAsiaTheme="minorEastAsia"/>
          <w:highlight w:val="none"/>
          <w:lang w:val="en-US" w:eastAsia="zh-CN"/>
        </w:rPr>
        <w:t>etwork</w:t>
      </w:r>
      <w:r>
        <w:rPr>
          <w:rFonts w:hint="eastAsia" w:ascii="Times New Roman" w:hAnsi="Times New Roman"/>
          <w:highlight w:val="none"/>
          <w:lang w:val="en-US" w:eastAsia="zh-CN"/>
        </w:rPr>
        <w:t xml:space="preserve"> m</w:t>
      </w:r>
      <w:r>
        <w:rPr>
          <w:rFonts w:hint="default" w:ascii="Times New Roman" w:hAnsi="Times New Roman" w:eastAsiaTheme="minorEastAsia"/>
          <w:highlight w:val="none"/>
          <w:lang w:val="en-US" w:eastAsia="zh-CN"/>
        </w:rPr>
        <w:t>eta-analysis with Stata software</w:t>
      </w:r>
      <w:r>
        <w:rPr>
          <w:rFonts w:hint="eastAsia" w:ascii="Times New Roman" w:hAnsi="Times New Roman"/>
          <w:highlight w:val="none"/>
          <w:lang w:val="en-US" w:eastAsia="zh-CN"/>
        </w:rPr>
        <w:t>, the analysis results are as follows:</w:t>
      </w:r>
    </w:p>
    <w:p>
      <w:pPr>
        <w:rPr>
          <w:rFonts w:hint="eastAsia" w:ascii="Times New Roman" w:hAnsi="Times New Roman"/>
          <w:highlight w:val="none"/>
          <w:lang w:val="en-US" w:eastAsia="zh-CN"/>
        </w:rPr>
      </w:pPr>
    </w:p>
    <w:p>
      <w:pPr>
        <w:jc w:val="center"/>
        <w:rPr>
          <w:rFonts w:hint="eastAsia" w:ascii="Times New Roman" w:hAnsi="Times New Roman"/>
          <w:highlight w:val="none"/>
          <w:lang w:val="en-US" w:eastAsia="zh-CN"/>
        </w:rPr>
      </w:pPr>
      <w:r>
        <w:drawing>
          <wp:inline distT="0" distB="0" distL="114300" distR="114300">
            <wp:extent cx="3639820" cy="262064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9820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Cs w:val="22"/>
          <w:lang w:eastAsia="zh-CN" w:bidi="ar"/>
        </w:rPr>
        <w:t>Supplement</w:t>
      </w:r>
      <w:r>
        <w:rPr>
          <w:rFonts w:hint="eastAsia" w:ascii="Times New Roman" w:hAnsi="Times New Roman" w:cs="Times New Roman"/>
          <w:b/>
          <w:bCs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Cs w:val="22"/>
          <w:lang w:eastAsia="zh-CN" w:bidi="ar"/>
        </w:rPr>
        <w:t xml:space="preserve">Figure </w:t>
      </w:r>
      <w:r>
        <w:rPr>
          <w:rFonts w:hint="default" w:ascii="Times New Roman" w:hAnsi="Times New Roman" w:cs="Times New Roman"/>
          <w:b/>
          <w:bCs/>
          <w:szCs w:val="22"/>
          <w:lang w:val="en-US" w:eastAsia="zh-CN" w:bidi="ar"/>
        </w:rPr>
        <w:t>1</w:t>
      </w:r>
      <w:r>
        <w:rPr>
          <w:rFonts w:hint="default" w:ascii="Times New Roman" w:hAnsi="Times New Roman" w:cs="Times New Roman"/>
          <w:lang w:eastAsia="zh-CN" w:bidi="ar"/>
        </w:rPr>
        <w:t xml:space="preserve"> SUCRA curve of predictive value of the eight scoring systems.</w:t>
      </w:r>
    </w:p>
    <w:p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szCs w:val="24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szCs w:val="24"/>
          <w:lang w:bidi="ar"/>
        </w:rPr>
        <w:t xml:space="preserve">The SUCRA values of </w:t>
      </w:r>
      <w:r>
        <w:rPr>
          <w:rFonts w:hint="default" w:ascii="Times New Roman" w:hAnsi="Times New Roman" w:eastAsia="Times New Roman" w:cs="Times New Roman"/>
          <w:szCs w:val="24"/>
        </w:rPr>
        <w:t>the eight</w:t>
      </w:r>
      <w:r>
        <w:rPr>
          <w:rFonts w:hint="default" w:ascii="Times New Roman" w:hAnsi="Times New Roman" w:eastAsia="Times New Roman" w:cs="Times New Roman"/>
          <w:szCs w:val="24"/>
          <w:lang w:bidi="ar"/>
        </w:rPr>
        <w:t xml:space="preserve"> scoring systems for predicting mortality risk in preterm infants were as follo</w:t>
      </w:r>
      <w:r>
        <w:rPr>
          <w:rFonts w:hint="default" w:ascii="Times New Roman" w:hAnsi="Times New Roman" w:eastAsia="Times New Roman" w:cs="Times New Roman"/>
          <w:szCs w:val="24"/>
          <w:lang w:bidi="ar"/>
        </w:rPr>
        <w:t>ws: CRIB (0.98</w:t>
      </w:r>
      <w:r>
        <w:rPr>
          <w:rFonts w:hint="eastAsia" w:ascii="Times New Roman" w:hAnsi="Times New Roman" w:eastAsia="Times New Roman" w:cs="Times New Roman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Times New Roman" w:cs="Times New Roman"/>
          <w:szCs w:val="24"/>
          <w:lang w:bidi="ar"/>
        </w:rPr>
        <w:t>) &gt; SNAPPE (0.71</w:t>
      </w:r>
      <w:r>
        <w:rPr>
          <w:rFonts w:hint="eastAsia" w:ascii="Times New Roman" w:hAnsi="Times New Roman" w:eastAsia="Times New Roman" w:cs="Times New Roman"/>
          <w:szCs w:val="24"/>
          <w:lang w:val="en-US" w:eastAsia="zh-CN" w:bidi="ar"/>
        </w:rPr>
        <w:t>9</w:t>
      </w:r>
      <w:r>
        <w:rPr>
          <w:rFonts w:hint="default" w:ascii="Times New Roman" w:hAnsi="Times New Roman" w:eastAsia="Times New Roman" w:cs="Times New Roman"/>
          <w:szCs w:val="24"/>
          <w:lang w:bidi="ar"/>
        </w:rPr>
        <w:t>) &gt; SNAP (0.53</w:t>
      </w:r>
      <w:r>
        <w:rPr>
          <w:rFonts w:hint="eastAsia" w:ascii="Times New Roman" w:hAnsi="Times New Roman" w:eastAsia="Times New Roman" w:cs="Times New Roman"/>
          <w:szCs w:val="24"/>
          <w:lang w:val="en-US" w:eastAsia="zh-CN" w:bidi="ar"/>
        </w:rPr>
        <w:t>7</w:t>
      </w:r>
      <w:r>
        <w:rPr>
          <w:rFonts w:hint="default" w:ascii="Times New Roman" w:hAnsi="Times New Roman" w:eastAsia="Times New Roman" w:cs="Times New Roman"/>
          <w:szCs w:val="24"/>
          <w:lang w:bidi="ar"/>
        </w:rPr>
        <w:t>) &gt; CRIB-Ⅱ (0.52</w:t>
      </w:r>
      <w:r>
        <w:rPr>
          <w:rFonts w:hint="eastAsia" w:ascii="Times New Roman" w:hAnsi="Times New Roman" w:eastAsia="Times New Roman" w:cs="Times New Roman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Times New Roman" w:cs="Times New Roman"/>
          <w:szCs w:val="24"/>
          <w:lang w:bidi="ar"/>
        </w:rPr>
        <w:t>) &gt; NTISS (0.47</w:t>
      </w:r>
      <w:r>
        <w:rPr>
          <w:rFonts w:hint="eastAsia" w:ascii="Times New Roman" w:hAnsi="Times New Roman" w:eastAsia="Times New Roman" w:cs="Times New Roman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Times New Roman" w:cs="Times New Roman"/>
          <w:szCs w:val="24"/>
          <w:lang w:bidi="ar"/>
        </w:rPr>
        <w:t>) &gt; NCIS (0.422) &gt; SNAPPE-Ⅱ (0.29</w:t>
      </w:r>
      <w:r>
        <w:rPr>
          <w:rFonts w:hint="eastAsia" w:ascii="Times New Roman" w:hAnsi="Times New Roman" w:eastAsia="Times New Roman" w:cs="Times New Roman"/>
          <w:szCs w:val="24"/>
          <w:lang w:val="en-US" w:eastAsia="zh-CN" w:bidi="ar"/>
        </w:rPr>
        <w:t>6</w:t>
      </w:r>
      <w:r>
        <w:rPr>
          <w:rFonts w:hint="default" w:ascii="Times New Roman" w:hAnsi="Times New Roman" w:eastAsia="Times New Roman" w:cs="Times New Roman"/>
          <w:szCs w:val="24"/>
          <w:lang w:bidi="ar"/>
        </w:rPr>
        <w:t>) &gt; SNAP-Ⅱ (0.04</w:t>
      </w:r>
      <w:r>
        <w:rPr>
          <w:rFonts w:hint="eastAsia" w:ascii="Times New Roman" w:hAnsi="Times New Roman" w:eastAsia="Times New Roman" w:cs="Times New Roman"/>
          <w:szCs w:val="24"/>
          <w:lang w:val="en-US" w:eastAsia="zh-CN" w:bidi="ar"/>
        </w:rPr>
        <w:t>8</w:t>
      </w:r>
      <w:r>
        <w:rPr>
          <w:rFonts w:hint="default" w:ascii="Times New Roman" w:hAnsi="Times New Roman" w:eastAsia="Times New Roman" w:cs="Times New Roman"/>
          <w:szCs w:val="24"/>
          <w:lang w:bidi="ar"/>
        </w:rPr>
        <w:t>).</w:t>
      </w:r>
      <w:r>
        <w:rPr>
          <w:rFonts w:hint="eastAsia" w:ascii="Times New Roman" w:hAnsi="Times New Roman" w:eastAsia="Times New Roman" w:cs="Times New Roman"/>
          <w:szCs w:val="24"/>
          <w:lang w:val="en-US" w:eastAsia="zh-CN" w:bidi="ar"/>
        </w:rPr>
        <w:t xml:space="preserve"> </w:t>
      </w:r>
    </w:p>
    <w:p>
      <w:pPr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T</w:t>
      </w:r>
      <w:r>
        <w:rPr>
          <w:rFonts w:hint="eastAsia" w:ascii="Times New Roman" w:hAnsi="Times New Roman" w:eastAsiaTheme="minorEastAsia"/>
          <w:b/>
          <w:bCs/>
          <w:highlight w:val="none"/>
          <w:lang w:val="en-US" w:eastAsia="zh-CN"/>
        </w:rPr>
        <w:t>he analysis results of R software and Stata software are consistent</w:t>
      </w:r>
    </w:p>
    <w:p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  <w:t>Supplement</w:t>
      </w:r>
      <w:r>
        <w:rPr>
          <w:rFonts w:hint="eastAsia" w:ascii="Times New Roman" w:hAnsi="Times New Roman" w:cs="Times New Roman"/>
          <w:b/>
          <w:bCs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b/>
          <w:bCs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Results of indirect comparisons of the scoring systems.</w:t>
      </w:r>
    </w:p>
    <w:tbl>
      <w:tblPr>
        <w:tblStyle w:val="2"/>
        <w:tblW w:w="10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1304"/>
        <w:gridCol w:w="1304"/>
        <w:gridCol w:w="1304"/>
        <w:gridCol w:w="1361"/>
        <w:gridCol w:w="1304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4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/>
              <w:jc w:val="center"/>
              <w:textAlignment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CRIB</w:t>
            </w:r>
          </w:p>
        </w:tc>
        <w:tc>
          <w:tcPr>
            <w:tcW w:w="1304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304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304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304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361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304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7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1.06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(1.02,1.09)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/>
              <w:jc w:val="center"/>
              <w:textAlignment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  <w:t>CRIB-Ⅱ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1.06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(1.01,1.13)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1.01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(0.95,1.07)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NCIS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1.06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(1.01,1.11)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1.00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(0.95,1.05)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0.99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(0.93,1.06)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NTISS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1.05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(1.00,1.10)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1.00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(0.94,1.05)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0.99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(0.92,1.06)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  <w:t>0.99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  <w:t>(0.94,1.05)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SNAP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1.11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(1.05,1.17)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1.05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(1.00,1.10)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1.04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(0.98,1.11)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  <w:t>1.05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  <w:t>(0.99,1.12)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1.05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(0.99,1.13)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SNAP-Ⅱ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1.04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(0.99,1.08)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0.98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(0.93,1.03)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0.97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(0.91,1.04)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  <w:t>0.98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  <w:t>(0.93,1.03)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0.98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(0.93,1.04)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0.93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(0.87,1.00)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SNAPPE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1.07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(1.04,1.11)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1.02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(0.99,1.05)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1.01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(0.95,1.06)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  <w:t>1.02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  <w:t>(0.97,1.07)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1.02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(0.96,1.08)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0.97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(0.93,1.01)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1.04</w:t>
            </w:r>
          </w:p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(0.98,1.09)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SNAPPE-Ⅱ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rPr>
          <w:rFonts w:hint="default" w:ascii="Times New Roman" w:hAnsi="Times New Roman" w:eastAsia="Times New Roman" w:cs="Times New Roman"/>
          <w:szCs w:val="24"/>
          <w:lang w:eastAsia="en-GB" w:bidi="ar"/>
        </w:rPr>
      </w:pPr>
      <w:r>
        <w:rPr>
          <w:rFonts w:hint="default" w:ascii="Times New Roman" w:hAnsi="Times New Roman" w:eastAsia="Times New Roman" w:cs="Times New Roman"/>
          <w:szCs w:val="24"/>
          <w:lang w:eastAsia="en-GB" w:bidi="ar"/>
        </w:rPr>
        <w:t xml:space="preserve">The network meta-analysis showed that compared with </w:t>
      </w:r>
      <w:r>
        <w:rPr>
          <w:rFonts w:hint="eastAsia" w:ascii="Times New Roman" w:hAnsi="Times New Roman" w:eastAsia="Times New Roman" w:cs="Times New Roman"/>
          <w:szCs w:val="24"/>
          <w:lang w:eastAsia="en-GB" w:bidi="ar"/>
        </w:rPr>
        <w:t>CRIB-II</w:t>
      </w:r>
      <w:r>
        <w:rPr>
          <w:rFonts w:hint="default" w:ascii="Times New Roman" w:hAnsi="Times New Roman" w:eastAsia="Times New Roman" w:cs="Times New Roman"/>
          <w:szCs w:val="24"/>
          <w:lang w:eastAsia="en-GB" w:bidi="ar"/>
        </w:rPr>
        <w:t>, NCIS, NTISS, SNAP</w:t>
      </w:r>
      <w:r>
        <w:rPr>
          <w:rFonts w:hint="eastAsia" w:ascii="Times New Roman" w:hAnsi="Times New Roman" w:eastAsia="Times New Roman" w:cs="Times New Roman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Times New Roman" w:cs="Times New Roman"/>
          <w:szCs w:val="24"/>
          <w:lang w:eastAsia="en-GB" w:bidi="ar"/>
        </w:rPr>
        <w:t>SNAP-Ⅱ, and SNAPPE-II, CRIB was more effective in predicting the mortality risk in preterm infants (P&lt;0.05). Relative to CRIB, and CRIB-II, SNAP-Ⅱ was worse in predicting the mortality risk in preterm infants (P&lt;0.05). There were no statistically significant differences between the other scoring systems (P&gt;0.05).</w:t>
      </w:r>
    </w:p>
    <w:p>
      <w:pPr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T</w:t>
      </w:r>
      <w:r>
        <w:rPr>
          <w:rFonts w:hint="eastAsia" w:ascii="Times New Roman" w:hAnsi="Times New Roman" w:eastAsiaTheme="minorEastAsia"/>
          <w:b/>
          <w:bCs/>
          <w:highlight w:val="none"/>
          <w:lang w:val="en-US" w:eastAsia="zh-CN"/>
        </w:rPr>
        <w:t>he analysis results of R software and Stata software are consistent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OTk5ZTFkYjhiOGZkOTEwNmUwMzBlNzNlMGFkNWMifQ=="/>
  </w:docVars>
  <w:rsids>
    <w:rsidRoot w:val="00000000"/>
    <w:rsid w:val="0ECE1EAE"/>
    <w:rsid w:val="256B319A"/>
    <w:rsid w:val="285419AB"/>
    <w:rsid w:val="45477CC6"/>
    <w:rsid w:val="55F85328"/>
    <w:rsid w:val="56842C6D"/>
    <w:rsid w:val="56FB1D20"/>
    <w:rsid w:val="5F8E2308"/>
    <w:rsid w:val="7DB71818"/>
    <w:rsid w:val="7F5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2023-11-23T19:03:59Z</dcterms:created>
  <dc:creator>dell</dc:creator>
  <cp:lastModifiedBy>Zhaolan Zeng</cp:lastModifiedBy>
  <dcterms:modified xsi:type="dcterms:W3CDTF">2023-11-23T19:28:31Z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86EAE410C7A8470297B99160C9855F4A_12</vt:lpwstr>
  </property>
</Properties>
</file>