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rPr>
          <w:rFonts w:hint="default" w:ascii="Times New Roman" w:hAnsi="Times New Roman" w:cs="Times New Roman"/>
          <w:b/>
          <w:bCs/>
          <w:sz w:val="20"/>
          <w:szCs w:val="20"/>
        </w:rPr>
      </w:pPr>
      <w:r>
        <w:rPr>
          <w:rFonts w:hint="default" w:ascii="Times New Roman" w:hAnsi="Times New Roman" w:cs="Times New Roman" w:eastAsiaTheme="minorEastAsia"/>
          <w:b/>
          <w:bCs/>
          <w:spacing w:val="0"/>
          <w:sz w:val="20"/>
          <w:szCs w:val="20"/>
          <w:shd w:val="clear"/>
          <w:lang w:val="en-US" w:eastAsia="zh-CN"/>
        </w:rPr>
        <w:t xml:space="preserve">Supplementary </w:t>
      </w:r>
      <w:r>
        <w:rPr>
          <w:rFonts w:hint="default" w:ascii="Times New Roman" w:hAnsi="Times New Roman" w:cs="Times New Roman"/>
          <w:b/>
          <w:bCs/>
          <w:sz w:val="20"/>
          <w:szCs w:val="20"/>
          <w:lang w:val="en-US" w:eastAsia="zh-CN"/>
        </w:rPr>
        <w:t xml:space="preserve">Table </w:t>
      </w:r>
      <w:r>
        <w:rPr>
          <w:rFonts w:hint="eastAsia" w:ascii="Times New Roman" w:hAnsi="Times New Roman" w:cs="Times New Roman"/>
          <w:b/>
          <w:bCs/>
          <w:sz w:val="20"/>
          <w:szCs w:val="20"/>
          <w:lang w:val="en-US" w:eastAsia="zh-CN"/>
        </w:rPr>
        <w:t>5</w:t>
      </w:r>
      <w:r>
        <w:rPr>
          <w:rFonts w:hint="default" w:ascii="Times New Roman" w:hAnsi="Times New Roman" w:cs="Times New Roman"/>
          <w:b/>
          <w:bCs/>
          <w:sz w:val="20"/>
          <w:szCs w:val="20"/>
          <w:lang w:val="en-US" w:eastAsia="zh-CN"/>
        </w:rPr>
        <w:t xml:space="preserve">. </w:t>
      </w:r>
      <w:r>
        <w:rPr>
          <w:rFonts w:hint="default" w:ascii="Times New Roman" w:hAnsi="Times New Roman" w:cs="Times New Roman"/>
          <w:b/>
          <w:bCs/>
          <w:sz w:val="20"/>
          <w:szCs w:val="20"/>
        </w:rPr>
        <w:t>Study Quality Assessment for Cohort Studies (Newcastle-Ottawa Scale)</w:t>
      </w:r>
    </w:p>
    <w:tbl>
      <w:tblPr>
        <w:tblStyle w:val="2"/>
        <w:tblW w:w="0" w:type="auto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4"/>
        <w:gridCol w:w="1133"/>
        <w:gridCol w:w="1344"/>
        <w:gridCol w:w="1767"/>
        <w:gridCol w:w="1275"/>
        <w:gridCol w:w="1372"/>
        <w:gridCol w:w="1537"/>
        <w:gridCol w:w="1407"/>
        <w:gridCol w:w="1499"/>
        <w:gridCol w:w="13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</w:trPr>
        <w:tc>
          <w:tcPr>
            <w:tcW w:w="0" w:type="auto"/>
            <w:vMerge w:val="restart"/>
            <w:tcBorders>
              <w:top w:val="single" w:color="000000" w:sz="12" w:space="0"/>
              <w:left w:val="nil"/>
              <w:bottom w:val="single" w:color="000000" w:sz="12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Study</w:t>
            </w:r>
          </w:p>
        </w:tc>
        <w:tc>
          <w:tcPr>
            <w:tcW w:w="0" w:type="auto"/>
            <w:gridSpan w:val="4"/>
            <w:tcBorders>
              <w:top w:val="single" w:color="000000" w:sz="12" w:space="0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Selection</w:t>
            </w:r>
          </w:p>
        </w:tc>
        <w:tc>
          <w:tcPr>
            <w:tcW w:w="0" w:type="auto"/>
            <w:tcBorders>
              <w:top w:val="single" w:color="000000" w:sz="12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3"/>
            <w:tcBorders>
              <w:top w:val="single" w:color="000000" w:sz="12" w:space="0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Outcome</w:t>
            </w:r>
          </w:p>
        </w:tc>
        <w:tc>
          <w:tcPr>
            <w:tcW w:w="0" w:type="auto"/>
            <w:tcBorders>
              <w:top w:val="single" w:color="000000" w:sz="12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vMerge w:val="continue"/>
            <w:tcBorders>
              <w:top w:val="single" w:color="000000" w:sz="12" w:space="0"/>
              <w:left w:val="nil"/>
              <w:bottom w:val="single" w:color="000000" w:sz="12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Expoesd Cohort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Noexposed Cohort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Ascertainment of Exposure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Outcome of Interest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Comparability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Assessment of Outcome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Length of Follow-Up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Adequacy of Follow-Up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Total Number of Stars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Wu et al.,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2014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**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*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rPr>
          <w:sz w:val="20"/>
          <w:szCs w:val="20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2ZjU5NjkwNGQyYTYzYWUwY2MxYTMxYTg1NmY0YjcifQ=="/>
  </w:docVars>
  <w:rsids>
    <w:rsidRoot w:val="4E586F1C"/>
    <w:rsid w:val="173A640F"/>
    <w:rsid w:val="4E586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</Words>
  <Characters>278</Characters>
  <Lines>0</Lines>
  <Paragraphs>0</Paragraphs>
  <TotalTime>0</TotalTime>
  <ScaleCrop>false</ScaleCrop>
  <LinksUpToDate>false</LinksUpToDate>
  <CharactersWithSpaces>306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2023-02-10T11:10:00Z</dcterms:created>
  <dc:creator>Luchang</dc:creator>
  <cp:lastModifiedBy>Luchang</cp:lastModifiedBy>
  <dcterms:modified xsi:type="dcterms:W3CDTF">2023-03-03T03:40:08Z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F0F8D3A6FC6242EDBCEA903FD20B0834</vt:lpwstr>
  </property>
</Properties>
</file>