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 xml:space="preserve">Supplementary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 xml:space="preserve">Quality of </w:t>
      </w:r>
      <w:r>
        <w:rPr>
          <w:rFonts w:hint="eastAsia" w:ascii="Times New Roman" w:hAnsi="Times New Roman" w:cs="Times New Roman"/>
          <w:b/>
          <w:bCs/>
          <w:spacing w:val="0"/>
          <w:sz w:val="20"/>
          <w:szCs w:val="20"/>
          <w:shd w:val="clear"/>
          <w:lang w:val="en-US" w:eastAsia="zh-CN"/>
        </w:rPr>
        <w:t>E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>videnc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 xml:space="preserve">e of </w:t>
      </w:r>
      <w:r>
        <w:rPr>
          <w:rFonts w:hint="eastAsia" w:ascii="Times New Roman" w:hAnsi="Times New Roman" w:cs="Times New Roman"/>
          <w:b/>
          <w:bCs/>
          <w:spacing w:val="0"/>
          <w:sz w:val="20"/>
          <w:szCs w:val="20"/>
          <w:shd w:val="clear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 xml:space="preserve">rimary </w:t>
      </w:r>
      <w:r>
        <w:rPr>
          <w:rFonts w:hint="eastAsia" w:ascii="Times New Roman" w:hAnsi="Times New Roman" w:cs="Times New Roman"/>
          <w:b/>
          <w:bCs/>
          <w:spacing w:val="0"/>
          <w:sz w:val="20"/>
          <w:szCs w:val="20"/>
          <w:shd w:val="clear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0"/>
          <w:szCs w:val="20"/>
          <w:shd w:val="clear"/>
          <w:lang w:val="en-US" w:eastAsia="zh-CN"/>
        </w:rPr>
        <w:t>utcomes</w:t>
      </w: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3"/>
        <w:gridCol w:w="1718"/>
        <w:gridCol w:w="2470"/>
        <w:gridCol w:w="1499"/>
        <w:gridCol w:w="1986"/>
        <w:gridCol w:w="2257"/>
        <w:gridCol w:w="135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FS compared to Non FS for adults over 18 years old without 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CRC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Patient or population: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patients with adults over 18 years old without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CRC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Settings: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Randomized trials and observational study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Intervention: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FS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 xml:space="preserve">Comparison: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Non FS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Relative effect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No of Participants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Quality of the evidence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Non FS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4682B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Incidence in RCT study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Follow-up: median 16.55 years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Study population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RR 0.74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(0.66 to 0.84)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563978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(6 studies)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⊕⊕⊕⊕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21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16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(14 to 18)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25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19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(17 to 21)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Incidence in Cohort study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Follow-up: median 11 years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Study population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RR 3.57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(2.39 to 5.32)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138297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(1 study)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⊕⊕⊕⊝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moderate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(2 to 3)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4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(2 to 5)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Mortality in RCT study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Follow-up: median 18.26 years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Study population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RR 0.7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(0.58 to 0.85)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424687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(5 studies)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⊕⊕⊕⊕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8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5 per 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(5 to 7)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9 per 1000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1F1F1" w:themeFill="background1" w:themeFillShade="F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6 per 1000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(5 to 8)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*The basis for the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assumed risk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corresponding risk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relative effect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of the intervention (and its 95% CI).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CI: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Confidence interval;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RR: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Risk ratio;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GRADE Working Group grades of evidence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High quality: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Further research is very unlikely to change our confidence in the estimate of effect.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Moderate quality: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Low quality: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Very low quality: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We are very uncertain about the estimate.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Effect size RR &gt; 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jU5NjkwNGQyYTYzYWUwY2MxYTMxYTg1NmY0YjcifQ=="/>
  </w:docVars>
  <w:rsids>
    <w:rsidRoot w:val="43902129"/>
    <w:rsid w:val="0D7E78EF"/>
    <w:rsid w:val="30782C0F"/>
    <w:rsid w:val="4390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1587</Characters>
  <Lines>0</Lines>
  <Paragraphs>0</Paragraphs>
  <TotalTime>0</TotalTime>
  <ScaleCrop>false</ScaleCrop>
  <LinksUpToDate>false</LinksUpToDate>
  <CharactersWithSpaces>1848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2023-02-10T11:11:00Z</dcterms:created>
  <dc:creator>Luchang</dc:creator>
  <cp:lastModifiedBy>Luchang</cp:lastModifiedBy>
  <dcterms:modified xsi:type="dcterms:W3CDTF">2023-03-03T03:40:32Z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D279C18723554F26A353080593CEBE12</vt:lpwstr>
  </property>
</Properties>
</file>