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E9DA" w14:textId="77777777" w:rsidR="00F5075A" w:rsidRDefault="00F5075A" w:rsidP="00E46743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317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Materials and Methods </w:t>
      </w:r>
    </w:p>
    <w:p w14:paraId="3F6F325A" w14:textId="77777777" w:rsidR="00631721" w:rsidRDefault="00631721" w:rsidP="00E467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172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Reagents</w:t>
      </w:r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– Primary antibodies for western blot analysis against MAVS (D54A9E) (24930, 1:1000), STING (D2P2F) (13647, 1:1000), phospho-DNA-</w:t>
      </w:r>
      <w:proofErr w:type="spellStart"/>
      <w:r w:rsidRPr="00631721">
        <w:rPr>
          <w:rFonts w:ascii="Times New Roman" w:hAnsi="Times New Roman" w:cs="Times New Roman"/>
          <w:sz w:val="24"/>
          <w:szCs w:val="24"/>
          <w:lang w:val="en-GB"/>
        </w:rPr>
        <w:t>PKcs</w:t>
      </w:r>
      <w:proofErr w:type="spellEnd"/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(Ser2056) (E9J4G) (68716, 1:1000), DNA-</w:t>
      </w:r>
      <w:proofErr w:type="spellStart"/>
      <w:r w:rsidRPr="00631721">
        <w:rPr>
          <w:rFonts w:ascii="Times New Roman" w:hAnsi="Times New Roman" w:cs="Times New Roman"/>
          <w:sz w:val="24"/>
          <w:szCs w:val="24"/>
          <w:lang w:val="en-GB"/>
        </w:rPr>
        <w:t>PKcs</w:t>
      </w:r>
      <w:proofErr w:type="spellEnd"/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(E6U3A) (38168, 1:1000), IFI16 (D8B5T) (14970, 1:1000), phospho-TBK1/NAK (Ser172) (D52C2) (5483, 1:1000), TBK1/NAK (E8I3G) (38066, 1:1000), phospho-IRF-3 (Ser386) (E7J8G) (37829, 1:1000), </w:t>
      </w:r>
      <w:proofErr w:type="spellStart"/>
      <w:r w:rsidRPr="00631721">
        <w:rPr>
          <w:rFonts w:ascii="Times New Roman" w:hAnsi="Times New Roman" w:cs="Times New Roman"/>
          <w:sz w:val="24"/>
          <w:szCs w:val="24"/>
          <w:lang w:val="en-GB"/>
        </w:rPr>
        <w:t>cGAS</w:t>
      </w:r>
      <w:proofErr w:type="spellEnd"/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(D1D3G) (15102, 1:1000), Histone H2A.X (2595), GAPDH (14C10) (2118, 1:1000), were purchased from Cell </w:t>
      </w:r>
      <w:proofErr w:type="spellStart"/>
      <w:r w:rsidRPr="00631721">
        <w:rPr>
          <w:rFonts w:ascii="Times New Roman" w:hAnsi="Times New Roman" w:cs="Times New Roman"/>
          <w:sz w:val="24"/>
          <w:szCs w:val="24"/>
          <w:lang w:val="en-GB"/>
        </w:rPr>
        <w:t>signaling</w:t>
      </w:r>
      <w:proofErr w:type="spellEnd"/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(Danvers, MA) and α-Tubulin (AA13, 1:2000) from Sigma Chemical Co. </w:t>
      </w:r>
      <w:r>
        <w:rPr>
          <w:rFonts w:ascii="Times New Roman" w:hAnsi="Times New Roman" w:cs="Times New Roman"/>
          <w:sz w:val="24"/>
          <w:szCs w:val="24"/>
          <w:lang w:val="en-GB"/>
        </w:rPr>
        <w:t>Cisplatin</w:t>
      </w:r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631721">
        <w:rPr>
          <w:rFonts w:ascii="Times New Roman" w:hAnsi="Times New Roman" w:cs="Times New Roman"/>
          <w:sz w:val="24"/>
          <w:szCs w:val="24"/>
          <w:lang w:val="en-GB"/>
        </w:rPr>
        <w:t xml:space="preserve"> purchased from Selleck chemicals (Houston, TX).</w:t>
      </w:r>
    </w:p>
    <w:p w14:paraId="27EB7E97" w14:textId="77777777" w:rsidR="00631721" w:rsidRDefault="00631721" w:rsidP="00631721">
      <w:pPr>
        <w:spacing w:after="16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3172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Cell lines</w:t>
      </w:r>
      <w:r w:rsidRPr="006317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–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SCLC cell lines NCI-H524 (ATCC Cat#CRL-5831; RRID: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CVCL_1568)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and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NCI-H82 (ATCC Cat#HTB-175; RRID: CVCL_1591) were maintained in RPMI 1640 (Sigma-Aldrich, R8758) supplemented with 10% FBS (Sigma-Aldrich) and 1× penicillin–streptomycin (Sigma-Aldrich, P0781) in a humidity-controlled environment (37 °C, 5% CO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). Cell lines were obtained from the American Type Culture Collection (ATCC). The morphology of the cell lines was monitored, and the cell lines were routinely tested for Mycoplasma with a mycoplasma detection kit (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InvivoGen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).</w:t>
      </w:r>
    </w:p>
    <w:p w14:paraId="10641CCF" w14:textId="77777777" w:rsidR="00631721" w:rsidRPr="00631721" w:rsidRDefault="00631721" w:rsidP="00631721">
      <w:pPr>
        <w:spacing w:after="16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6317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RNA extraction and cDNA synthesis –</w:t>
      </w:r>
      <w:r w:rsidRPr="006317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Total RNA was obtained from cell lines using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TRIsure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reagent (Meridian Bioscience,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BIO-38033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). RNA concentrations were measured with a Nanodrop 2000 spectrophotometer (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Thermo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Fisher Scientific). After RNA extraction, cDNA was generated from 500 ng of total RNA using a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SensiFAST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cDNA Synthesis Kit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(Meridian Bioscience,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BIO-65053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) at the following conditions: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25 °C for 10 min, 42 °C for 15 min, 85 °C for 5 min.</w:t>
      </w:r>
    </w:p>
    <w:p w14:paraId="6BB1DC48" w14:textId="77777777" w:rsidR="00631721" w:rsidRDefault="00631721" w:rsidP="00631721">
      <w:pPr>
        <w:spacing w:after="16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317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Gene expression analysis by quantitative reverse transcription-polymerase chain reaction (</w:t>
      </w:r>
      <w:proofErr w:type="spellStart"/>
      <w:r w:rsidRPr="006317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qRT</w:t>
      </w:r>
      <w:proofErr w:type="spellEnd"/>
      <w:r w:rsidRPr="006317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-PCR) –</w:t>
      </w:r>
      <w:r w:rsidRPr="0063172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mRNA expression levels of STING, MAVS, IFI16,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cGAS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CCL5, CXCL10, IL6, IFNβ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genes were evaluated by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qRT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-PCR with a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QuantStudio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7-Flex (Applied Biosystems)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using the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SensiFAST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SYBR Hi-ROX Kit (Meridian Bioscience, BIO-92005) and the following conditions: 50 °C for 2 min (stage 1) followed by a denaturation step at 95 °C for 10 min (stage 2) and then 40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cycles at 95 °C for 15 s and 60 °C for 1 min (stage 3). All samples were run in duplicate, in 20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μL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reactions and relative expression of genes was determined by normalizing to 18S, used as internal control gene; to calculate relative gene expression in value it was used the 2-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ΔCt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or 2-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ΔΔCt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method. Non-specific signals caused by primer dimers were excluded by dissociation curve analysis and use of non-template controls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14:paraId="215CA102" w14:textId="77777777" w:rsidR="00631721" w:rsidRPr="00631721" w:rsidRDefault="00914B15" w:rsidP="00631721">
      <w:pPr>
        <w:spacing w:after="160" w:line="48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14B1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Table S1. Primer sequences used for </w:t>
      </w:r>
      <w:proofErr w:type="spellStart"/>
      <w:r w:rsidRPr="00914B1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qRT</w:t>
      </w:r>
      <w:proofErr w:type="spellEnd"/>
      <w:r w:rsidRPr="00914B1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-PCR </w:t>
      </w:r>
      <w:proofErr w:type="gramStart"/>
      <w:r w:rsidRPr="00914B1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analysis</w:t>
      </w:r>
      <w:proofErr w:type="gramEnd"/>
      <w:r w:rsidRPr="00914B1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tbl>
      <w:tblPr>
        <w:tblStyle w:val="TableGrid"/>
        <w:tblW w:w="5103" w:type="dxa"/>
        <w:tblInd w:w="846" w:type="dxa"/>
        <w:tblLook w:val="04A0" w:firstRow="1" w:lastRow="0" w:firstColumn="1" w:lastColumn="0" w:noHBand="0" w:noVBand="1"/>
      </w:tblPr>
      <w:tblGrid>
        <w:gridCol w:w="881"/>
        <w:gridCol w:w="4222"/>
      </w:tblGrid>
      <w:tr w:rsidR="00631721" w14:paraId="39E0358A" w14:textId="77777777" w:rsidTr="00631721">
        <w:tc>
          <w:tcPr>
            <w:tcW w:w="881" w:type="dxa"/>
          </w:tcPr>
          <w:p w14:paraId="79997E19" w14:textId="77777777" w:rsidR="00631721" w:rsidRDefault="00631721" w:rsidP="00210461">
            <w:r>
              <w:t xml:space="preserve">Gene </w:t>
            </w:r>
          </w:p>
        </w:tc>
        <w:tc>
          <w:tcPr>
            <w:tcW w:w="4222" w:type="dxa"/>
          </w:tcPr>
          <w:p w14:paraId="10878404" w14:textId="77777777" w:rsidR="00631721" w:rsidRDefault="00914B15" w:rsidP="00210461">
            <w:r>
              <w:t>Primer</w:t>
            </w:r>
            <w:r w:rsidR="00631721">
              <w:t xml:space="preserve"> </w:t>
            </w:r>
          </w:p>
        </w:tc>
      </w:tr>
      <w:tr w:rsidR="00631721" w:rsidRPr="00C4730D" w14:paraId="0FC932EB" w14:textId="77777777" w:rsidTr="00631721">
        <w:tc>
          <w:tcPr>
            <w:tcW w:w="881" w:type="dxa"/>
          </w:tcPr>
          <w:p w14:paraId="6972CFCA" w14:textId="77777777" w:rsidR="00631721" w:rsidRDefault="00631721" w:rsidP="00210461">
            <w:r>
              <w:t xml:space="preserve">STING </w:t>
            </w:r>
          </w:p>
        </w:tc>
        <w:tc>
          <w:tcPr>
            <w:tcW w:w="4222" w:type="dxa"/>
          </w:tcPr>
          <w:p w14:paraId="749A5E5B" w14:textId="77777777" w:rsidR="00631721" w:rsidRDefault="00631721" w:rsidP="00210461">
            <w:r w:rsidRPr="004A04C5">
              <w:t>5ʹ-CCTGTTGCTGCTGTCCATCT-3ʹ</w:t>
            </w:r>
          </w:p>
          <w:p w14:paraId="6122D16D" w14:textId="77777777" w:rsidR="00631721" w:rsidRPr="00C4730D" w:rsidRDefault="00631721" w:rsidP="00210461">
            <w:r w:rsidRPr="004A04C5">
              <w:t>5ʹ-ATGTTCAGTGCCTGCGAGAG-3ʹ</w:t>
            </w:r>
          </w:p>
        </w:tc>
      </w:tr>
      <w:tr w:rsidR="00631721" w:rsidRPr="0072424F" w14:paraId="7871F8D5" w14:textId="77777777" w:rsidTr="00631721">
        <w:tc>
          <w:tcPr>
            <w:tcW w:w="881" w:type="dxa"/>
          </w:tcPr>
          <w:p w14:paraId="34B31F90" w14:textId="77777777" w:rsidR="00631721" w:rsidRDefault="00631721" w:rsidP="00210461">
            <w:r>
              <w:t>cGAS</w:t>
            </w:r>
          </w:p>
        </w:tc>
        <w:tc>
          <w:tcPr>
            <w:tcW w:w="4222" w:type="dxa"/>
          </w:tcPr>
          <w:p w14:paraId="56CEA802" w14:textId="77777777" w:rsidR="00631721" w:rsidRDefault="00631721" w:rsidP="00210461">
            <w:r w:rsidRPr="004A04C5">
              <w:t>5ʹ-CTCCACGAAGCCAAGACCTC-3ʹ</w:t>
            </w:r>
          </w:p>
          <w:p w14:paraId="5110469E" w14:textId="77777777" w:rsidR="00631721" w:rsidRPr="0072424F" w:rsidRDefault="00631721" w:rsidP="00210461">
            <w:r w:rsidRPr="004A04C5">
              <w:t>5ʹ-GCGGCTGAGCTTCAACTTCT-3ʹ</w:t>
            </w:r>
          </w:p>
        </w:tc>
      </w:tr>
      <w:tr w:rsidR="00631721" w:rsidRPr="004A04C5" w14:paraId="552FF664" w14:textId="77777777" w:rsidTr="00631721">
        <w:tc>
          <w:tcPr>
            <w:tcW w:w="881" w:type="dxa"/>
          </w:tcPr>
          <w:p w14:paraId="4763F0A0" w14:textId="77777777" w:rsidR="00631721" w:rsidRDefault="00631721" w:rsidP="00210461">
            <w:r>
              <w:t>MAVS</w:t>
            </w:r>
          </w:p>
        </w:tc>
        <w:tc>
          <w:tcPr>
            <w:tcW w:w="4222" w:type="dxa"/>
          </w:tcPr>
          <w:p w14:paraId="6012FDAB" w14:textId="77777777" w:rsidR="00631721" w:rsidRDefault="00631721" w:rsidP="00210461">
            <w:r w:rsidRPr="001F153B">
              <w:t>5′-CTTCC</w:t>
            </w:r>
            <w:r>
              <w:t>CCTGTGTTCACCTTTCTG-3′</w:t>
            </w:r>
          </w:p>
          <w:p w14:paraId="539A7744" w14:textId="77777777" w:rsidR="00631721" w:rsidRPr="001F153B" w:rsidRDefault="00631721" w:rsidP="00210461">
            <w:r>
              <w:t>5′-CATTGTCCCCTGGG-TCCTTCA-3’</w:t>
            </w:r>
          </w:p>
          <w:p w14:paraId="67DE45FD" w14:textId="77777777" w:rsidR="00631721" w:rsidRPr="004A04C5" w:rsidRDefault="00631721" w:rsidP="00210461"/>
        </w:tc>
      </w:tr>
      <w:tr w:rsidR="00631721" w14:paraId="0313FC35" w14:textId="77777777" w:rsidTr="00631721">
        <w:tc>
          <w:tcPr>
            <w:tcW w:w="881" w:type="dxa"/>
          </w:tcPr>
          <w:p w14:paraId="2C0C415B" w14:textId="77777777" w:rsidR="00631721" w:rsidRDefault="00631721" w:rsidP="00210461">
            <w:r>
              <w:rPr>
                <w:lang w:val="en-GB"/>
              </w:rPr>
              <w:t>IFI16</w:t>
            </w:r>
          </w:p>
        </w:tc>
        <w:tc>
          <w:tcPr>
            <w:tcW w:w="4222" w:type="dxa"/>
          </w:tcPr>
          <w:p w14:paraId="6D341087" w14:textId="77777777" w:rsidR="00631721" w:rsidRDefault="00631721" w:rsidP="00210461">
            <w:pPr>
              <w:rPr>
                <w:lang w:val="en-GB"/>
              </w:rPr>
            </w:pPr>
            <w:r>
              <w:rPr>
                <w:lang w:val="en-GB"/>
              </w:rPr>
              <w:t>5′-ACAAACCCGAGAAACAATGACC-3′</w:t>
            </w:r>
          </w:p>
          <w:p w14:paraId="016B0E65" w14:textId="77777777" w:rsidR="00631721" w:rsidRDefault="00631721" w:rsidP="00210461">
            <w:r w:rsidRPr="000C460A">
              <w:rPr>
                <w:lang w:val="en-GB"/>
              </w:rPr>
              <w:t xml:space="preserve">5′-GCATCTGAGGAGTCCGAAGA-3′ </w:t>
            </w:r>
          </w:p>
        </w:tc>
      </w:tr>
      <w:tr w:rsidR="00631721" w:rsidRPr="004A04C5" w14:paraId="375A0264" w14:textId="77777777" w:rsidTr="00631721">
        <w:tc>
          <w:tcPr>
            <w:tcW w:w="881" w:type="dxa"/>
          </w:tcPr>
          <w:p w14:paraId="30BF239F" w14:textId="77777777" w:rsidR="00631721" w:rsidRDefault="00631721" w:rsidP="00210461">
            <w:r>
              <w:t>CCL5</w:t>
            </w:r>
          </w:p>
          <w:p w14:paraId="2FC649BD" w14:textId="77777777" w:rsidR="00631721" w:rsidRDefault="00631721" w:rsidP="00210461"/>
          <w:p w14:paraId="6507A0FA" w14:textId="77777777" w:rsidR="00631721" w:rsidRDefault="00631721" w:rsidP="00210461"/>
          <w:p w14:paraId="70B779AF" w14:textId="77777777" w:rsidR="00631721" w:rsidRDefault="00631721" w:rsidP="00210461"/>
        </w:tc>
        <w:tc>
          <w:tcPr>
            <w:tcW w:w="4222" w:type="dxa"/>
          </w:tcPr>
          <w:p w14:paraId="49C43572" w14:textId="77777777" w:rsidR="00631721" w:rsidRDefault="00631721" w:rsidP="00210461">
            <w:r>
              <w:t>5’-</w:t>
            </w:r>
            <w:r w:rsidRPr="00631721">
              <w:t>CCTGCTGCTTTGCCTACATTGC</w:t>
            </w:r>
            <w:r>
              <w:t>-3’</w:t>
            </w:r>
          </w:p>
          <w:p w14:paraId="07432E75" w14:textId="77777777" w:rsidR="00631721" w:rsidRPr="004A04C5" w:rsidRDefault="00631721" w:rsidP="00210461">
            <w:r>
              <w:t>5’-</w:t>
            </w:r>
            <w:r w:rsidRPr="00631721">
              <w:t>ACACACTTGGCGGTTCTTTCGG</w:t>
            </w:r>
            <w:r>
              <w:t>-3’</w:t>
            </w:r>
          </w:p>
        </w:tc>
      </w:tr>
      <w:tr w:rsidR="00631721" w:rsidRPr="001F153B" w14:paraId="10387A1A" w14:textId="77777777" w:rsidTr="00631721">
        <w:tc>
          <w:tcPr>
            <w:tcW w:w="881" w:type="dxa"/>
          </w:tcPr>
          <w:p w14:paraId="131A7F89" w14:textId="77777777" w:rsidR="00631721" w:rsidRDefault="00631721" w:rsidP="00210461">
            <w:r>
              <w:t>CXCL10</w:t>
            </w:r>
          </w:p>
          <w:p w14:paraId="7A9B7000" w14:textId="77777777" w:rsidR="00631721" w:rsidRDefault="00631721" w:rsidP="00210461"/>
          <w:p w14:paraId="3824A9E9" w14:textId="77777777" w:rsidR="00631721" w:rsidRDefault="00631721" w:rsidP="00210461"/>
          <w:p w14:paraId="71971780" w14:textId="77777777" w:rsidR="00631721" w:rsidRDefault="00631721" w:rsidP="00210461"/>
        </w:tc>
        <w:tc>
          <w:tcPr>
            <w:tcW w:w="4222" w:type="dxa"/>
          </w:tcPr>
          <w:p w14:paraId="4C6D6AC2" w14:textId="77777777" w:rsidR="00914B15" w:rsidRDefault="00914B15" w:rsidP="00914B15">
            <w:r>
              <w:t>5'- AGCAGAGGAACCTCCAGTCT -3'</w:t>
            </w:r>
          </w:p>
          <w:p w14:paraId="1CA565A0" w14:textId="77777777" w:rsidR="00631721" w:rsidRPr="001F153B" w:rsidRDefault="00914B15" w:rsidP="00914B15">
            <w:pPr>
              <w:rPr>
                <w:highlight w:val="yellow"/>
              </w:rPr>
            </w:pPr>
            <w:r>
              <w:t>5'- ATGCAGGTACAGCGTACAGT -3'</w:t>
            </w:r>
          </w:p>
        </w:tc>
      </w:tr>
      <w:tr w:rsidR="00631721" w:rsidRPr="00367A03" w14:paraId="263A5CD2" w14:textId="77777777" w:rsidTr="00631721">
        <w:tc>
          <w:tcPr>
            <w:tcW w:w="881" w:type="dxa"/>
          </w:tcPr>
          <w:p w14:paraId="61B0FC27" w14:textId="77777777" w:rsidR="00631721" w:rsidRDefault="00631721" w:rsidP="00210461">
            <w:pPr>
              <w:rPr>
                <w:lang w:val="en-GB"/>
              </w:rPr>
            </w:pPr>
            <w:r>
              <w:rPr>
                <w:lang w:val="en-GB"/>
              </w:rPr>
              <w:t>IL6</w:t>
            </w:r>
          </w:p>
          <w:p w14:paraId="5DC653A9" w14:textId="77777777" w:rsidR="00631721" w:rsidRDefault="00631721" w:rsidP="00210461">
            <w:pPr>
              <w:rPr>
                <w:lang w:val="en-GB"/>
              </w:rPr>
            </w:pPr>
          </w:p>
          <w:p w14:paraId="1C845F07" w14:textId="77777777" w:rsidR="00631721" w:rsidRDefault="00631721" w:rsidP="00210461">
            <w:pPr>
              <w:rPr>
                <w:lang w:val="en-GB"/>
              </w:rPr>
            </w:pPr>
          </w:p>
          <w:p w14:paraId="1D3E40D9" w14:textId="77777777" w:rsidR="00631721" w:rsidRPr="00367A03" w:rsidRDefault="00631721" w:rsidP="00210461">
            <w:pPr>
              <w:rPr>
                <w:lang w:val="en-GB"/>
              </w:rPr>
            </w:pPr>
          </w:p>
        </w:tc>
        <w:tc>
          <w:tcPr>
            <w:tcW w:w="4222" w:type="dxa"/>
          </w:tcPr>
          <w:p w14:paraId="784A8C3C" w14:textId="77777777" w:rsidR="00914B15" w:rsidRDefault="00914B15" w:rsidP="00914B15">
            <w:pPr>
              <w:rPr>
                <w:lang w:val="en-GB"/>
              </w:rPr>
            </w:pPr>
            <w:r>
              <w:rPr>
                <w:lang w:val="en-GB"/>
              </w:rPr>
              <w:t>5’-</w:t>
            </w:r>
            <w:r w:rsidRPr="00914B15">
              <w:rPr>
                <w:lang w:val="en-GB"/>
              </w:rPr>
              <w:t>ACTCACCTCTTCAGAACGAATTG</w:t>
            </w:r>
            <w:r>
              <w:rPr>
                <w:lang w:val="en-GB"/>
              </w:rPr>
              <w:t>-3’</w:t>
            </w:r>
          </w:p>
          <w:p w14:paraId="5EF2DDF8" w14:textId="77777777" w:rsidR="00631721" w:rsidRPr="00367A03" w:rsidRDefault="00914B15" w:rsidP="00914B15">
            <w:pPr>
              <w:rPr>
                <w:lang w:val="en-GB"/>
              </w:rPr>
            </w:pPr>
            <w:r>
              <w:rPr>
                <w:lang w:val="en-GB"/>
              </w:rPr>
              <w:t>5’-</w:t>
            </w:r>
            <w:r w:rsidRPr="00914B15">
              <w:rPr>
                <w:lang w:val="en-GB"/>
              </w:rPr>
              <w:t>CCATCTTTGGAAGGTTCAGGTTG</w:t>
            </w:r>
            <w:r>
              <w:rPr>
                <w:lang w:val="en-GB"/>
              </w:rPr>
              <w:t>-3’</w:t>
            </w:r>
          </w:p>
        </w:tc>
      </w:tr>
      <w:tr w:rsidR="00631721" w:rsidRPr="00367A03" w14:paraId="7FF61A81" w14:textId="77777777" w:rsidTr="00631721">
        <w:tc>
          <w:tcPr>
            <w:tcW w:w="881" w:type="dxa"/>
          </w:tcPr>
          <w:p w14:paraId="2807A315" w14:textId="77777777" w:rsidR="00631721" w:rsidRPr="00367A03" w:rsidRDefault="00631721" w:rsidP="00210461">
            <w:pPr>
              <w:rPr>
                <w:lang w:val="en-GB"/>
              </w:rPr>
            </w:pPr>
            <w:r>
              <w:rPr>
                <w:lang w:val="en-GB"/>
              </w:rPr>
              <w:t>IFN</w:t>
            </w:r>
            <w:r>
              <w:rPr>
                <w:rFonts w:cstheme="minorHAnsi"/>
                <w:lang w:val="en-GB"/>
              </w:rPr>
              <w:t>β</w:t>
            </w:r>
          </w:p>
        </w:tc>
        <w:tc>
          <w:tcPr>
            <w:tcW w:w="4222" w:type="dxa"/>
          </w:tcPr>
          <w:p w14:paraId="48081859" w14:textId="77777777" w:rsidR="00914B15" w:rsidRPr="00914B15" w:rsidRDefault="00914B15" w:rsidP="00914B15">
            <w:pPr>
              <w:rPr>
                <w:lang w:val="en-GB"/>
              </w:rPr>
            </w:pPr>
            <w:r w:rsidRPr="00914B15">
              <w:rPr>
                <w:lang w:val="en-GB"/>
              </w:rPr>
              <w:t>5'- AGTAGGCGACACTGTTCGTG -3'</w:t>
            </w:r>
          </w:p>
          <w:p w14:paraId="799ADF40" w14:textId="77777777" w:rsidR="00631721" w:rsidRDefault="00914B15" w:rsidP="00914B15">
            <w:pPr>
              <w:rPr>
                <w:lang w:val="en-GB"/>
              </w:rPr>
            </w:pPr>
            <w:r w:rsidRPr="00914B15">
              <w:rPr>
                <w:lang w:val="en-GB"/>
              </w:rPr>
              <w:t>5'- GCCTCCCATTCAATTGCCAC -3'</w:t>
            </w:r>
          </w:p>
          <w:p w14:paraId="4573A10C" w14:textId="77777777" w:rsidR="00914B15" w:rsidRPr="00367A03" w:rsidRDefault="00914B15" w:rsidP="00914B15">
            <w:pPr>
              <w:rPr>
                <w:lang w:val="en-GB"/>
              </w:rPr>
            </w:pPr>
          </w:p>
        </w:tc>
      </w:tr>
    </w:tbl>
    <w:p w14:paraId="1F63BC34" w14:textId="77777777" w:rsidR="00631721" w:rsidRPr="00631721" w:rsidRDefault="00631721" w:rsidP="00631721">
      <w:pPr>
        <w:spacing w:after="16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5037DBC0" w14:textId="77777777" w:rsidR="00631721" w:rsidRPr="00631721" w:rsidRDefault="00631721" w:rsidP="00631721">
      <w:pPr>
        <w:spacing w:after="16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3172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>Western blot analysis</w:t>
      </w:r>
      <w:r w:rsidRPr="0063172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Protein lysates from SCLC cells were obtained by homogenization in RIPA lyses buffer [0.1% sodium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dodecylsulfate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(SDS), 0,5% deoxycholate, 1%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Nonidet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100 mmol/L NaCl, 10 mmol/L Tris–HCl (pH 7.4), 0.5 mmol/L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dithiotritol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and 0.5% phenylmethyl sulfonyl fluoride, protease inhibitor cocktail (Hoffmann-La Roche) and phosphatase inhibitor tablets (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PhosSTOP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; Roche Diagnostics) and clarification by centrifugation at 15,000 rpm for 20 min at 4 °C. Protein samples containing comparable amounts of proteins, estimated by a modified Bradford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assay (Bio-Rad), were resolved by sodium dodecyl sulfate-polyacrylamide gel electrophoresis (SDS-PAGE) gels and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electrotransferred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onto 0.2 µm nitrocellulose membranes (Trans-Blot Turbo;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BioRad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). After blocking membranes for 90 min at room temperature, they were incubated overnight at 4°C with primary antibodies, and then with a secondary antibody for 1 h at room temperature. Horseradish peroxidase-linked anti-rabbit (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BioRad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and anti-mouse (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BioRad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antibodies were used as secondary antibodies. Proteins were detected with </w:t>
      </w:r>
      <w:r w:rsidRPr="0063172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GB"/>
        </w:rPr>
        <w:t xml:space="preserve">Clarity Western ECL Substrate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using the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ChemiDoc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BioRad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).</w:t>
      </w:r>
      <w:r w:rsidRPr="00631721">
        <w:rPr>
          <w:rFonts w:ascii="Calibri" w:eastAsia="Calibri" w:hAnsi="Calibri" w:cs="Times New Roman"/>
          <w:color w:val="222222"/>
          <w:sz w:val="27"/>
          <w:szCs w:val="27"/>
          <w:shd w:val="clear" w:color="auto" w:fill="FFFFFF"/>
          <w:lang w:val="en-US"/>
        </w:rPr>
        <w:t xml:space="preserve"> </w:t>
      </w:r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 Images were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analysed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using </w:t>
      </w:r>
      <w:proofErr w:type="spellStart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BioRad</w:t>
      </w:r>
      <w:proofErr w:type="spellEnd"/>
      <w:r w:rsidRPr="006317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software Image Lab 3.0.1.</w:t>
      </w:r>
    </w:p>
    <w:p w14:paraId="09F62BD2" w14:textId="77777777" w:rsidR="00631721" w:rsidRPr="00631721" w:rsidRDefault="00631721" w:rsidP="00631721">
      <w:pPr>
        <w:spacing w:after="16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43FBCD50" w14:textId="77777777" w:rsidR="00631721" w:rsidRPr="00631721" w:rsidRDefault="00631721" w:rsidP="00E467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004E7B" w14:textId="77777777" w:rsidR="007928ED" w:rsidRPr="00631721" w:rsidRDefault="007928ED">
      <w:pPr>
        <w:rPr>
          <w:lang w:val="en-GB"/>
        </w:rPr>
      </w:pPr>
    </w:p>
    <w:sectPr w:rsidR="007928ED" w:rsidRPr="00631721" w:rsidSect="003B6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DD"/>
    <w:rsid w:val="00005ECC"/>
    <w:rsid w:val="00011891"/>
    <w:rsid w:val="000132D5"/>
    <w:rsid w:val="00020858"/>
    <w:rsid w:val="00033DE7"/>
    <w:rsid w:val="0003667D"/>
    <w:rsid w:val="0006097E"/>
    <w:rsid w:val="0007444C"/>
    <w:rsid w:val="0007679F"/>
    <w:rsid w:val="00076AAC"/>
    <w:rsid w:val="000844CE"/>
    <w:rsid w:val="000A046E"/>
    <w:rsid w:val="000C4C40"/>
    <w:rsid w:val="000E4DB3"/>
    <w:rsid w:val="000E6786"/>
    <w:rsid w:val="0010138F"/>
    <w:rsid w:val="00123931"/>
    <w:rsid w:val="00124230"/>
    <w:rsid w:val="00143055"/>
    <w:rsid w:val="00174740"/>
    <w:rsid w:val="001871A0"/>
    <w:rsid w:val="001A6197"/>
    <w:rsid w:val="001D2E7A"/>
    <w:rsid w:val="001F4541"/>
    <w:rsid w:val="00205519"/>
    <w:rsid w:val="002100C0"/>
    <w:rsid w:val="0021125D"/>
    <w:rsid w:val="002202A4"/>
    <w:rsid w:val="00270714"/>
    <w:rsid w:val="002733A6"/>
    <w:rsid w:val="002B30E1"/>
    <w:rsid w:val="002C2686"/>
    <w:rsid w:val="002C2801"/>
    <w:rsid w:val="003527BC"/>
    <w:rsid w:val="00372220"/>
    <w:rsid w:val="003B45ED"/>
    <w:rsid w:val="003B6B05"/>
    <w:rsid w:val="003C67FE"/>
    <w:rsid w:val="003D21C7"/>
    <w:rsid w:val="003E75BA"/>
    <w:rsid w:val="0040053F"/>
    <w:rsid w:val="00412A34"/>
    <w:rsid w:val="00451DFD"/>
    <w:rsid w:val="00477097"/>
    <w:rsid w:val="004A51C7"/>
    <w:rsid w:val="004E7754"/>
    <w:rsid w:val="005059B0"/>
    <w:rsid w:val="005101C2"/>
    <w:rsid w:val="00522944"/>
    <w:rsid w:val="005275CE"/>
    <w:rsid w:val="005B3080"/>
    <w:rsid w:val="005B5E70"/>
    <w:rsid w:val="005F5EE4"/>
    <w:rsid w:val="005F78A7"/>
    <w:rsid w:val="00631721"/>
    <w:rsid w:val="00634B5C"/>
    <w:rsid w:val="00657BB8"/>
    <w:rsid w:val="006A4620"/>
    <w:rsid w:val="006F027E"/>
    <w:rsid w:val="00704189"/>
    <w:rsid w:val="00743398"/>
    <w:rsid w:val="007928ED"/>
    <w:rsid w:val="00793051"/>
    <w:rsid w:val="007A2C6B"/>
    <w:rsid w:val="007C6520"/>
    <w:rsid w:val="00800DB0"/>
    <w:rsid w:val="0081670C"/>
    <w:rsid w:val="00817875"/>
    <w:rsid w:val="00840E64"/>
    <w:rsid w:val="00871ED4"/>
    <w:rsid w:val="008954A2"/>
    <w:rsid w:val="008A16B9"/>
    <w:rsid w:val="00914B15"/>
    <w:rsid w:val="00920C55"/>
    <w:rsid w:val="0098070D"/>
    <w:rsid w:val="009A63E8"/>
    <w:rsid w:val="009E306F"/>
    <w:rsid w:val="00A22000"/>
    <w:rsid w:val="00A84DE8"/>
    <w:rsid w:val="00AD584F"/>
    <w:rsid w:val="00AE144A"/>
    <w:rsid w:val="00AE6709"/>
    <w:rsid w:val="00AF7359"/>
    <w:rsid w:val="00B277A2"/>
    <w:rsid w:val="00B37191"/>
    <w:rsid w:val="00B53D70"/>
    <w:rsid w:val="00B6365A"/>
    <w:rsid w:val="00B63869"/>
    <w:rsid w:val="00B8055B"/>
    <w:rsid w:val="00BA0059"/>
    <w:rsid w:val="00BA65C5"/>
    <w:rsid w:val="00BD40FA"/>
    <w:rsid w:val="00BF5112"/>
    <w:rsid w:val="00C621DF"/>
    <w:rsid w:val="00C71B4F"/>
    <w:rsid w:val="00C726A6"/>
    <w:rsid w:val="00C9657E"/>
    <w:rsid w:val="00C979CC"/>
    <w:rsid w:val="00CC355D"/>
    <w:rsid w:val="00CC598B"/>
    <w:rsid w:val="00D422DA"/>
    <w:rsid w:val="00D53445"/>
    <w:rsid w:val="00D61794"/>
    <w:rsid w:val="00D64D24"/>
    <w:rsid w:val="00D67489"/>
    <w:rsid w:val="00D85AED"/>
    <w:rsid w:val="00DA7FF2"/>
    <w:rsid w:val="00E46743"/>
    <w:rsid w:val="00E61847"/>
    <w:rsid w:val="00EE33DD"/>
    <w:rsid w:val="00EF232E"/>
    <w:rsid w:val="00F12848"/>
    <w:rsid w:val="00F26D5A"/>
    <w:rsid w:val="00F417BE"/>
    <w:rsid w:val="00F5075A"/>
    <w:rsid w:val="00F5689B"/>
    <w:rsid w:val="00F57B68"/>
    <w:rsid w:val="00F76800"/>
    <w:rsid w:val="00FE4E6B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4F42"/>
  <w15:docId w15:val="{B55FA38E-E532-492A-B23A-97EF2086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55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4D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4DB3"/>
    <w:rPr>
      <w:rFonts w:ascii="Consolas" w:hAnsi="Consolas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65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652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65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652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BodyText">
    <w:name w:val="Body Text"/>
    <w:basedOn w:val="Normal"/>
    <w:link w:val="BodyTextChar"/>
    <w:uiPriority w:val="1"/>
    <w:qFormat/>
    <w:rsid w:val="004770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77097"/>
    <w:rPr>
      <w:rFonts w:ascii="Arial MT" w:eastAsia="Arial MT" w:hAnsi="Arial MT" w:cs="Arial MT"/>
      <w:sz w:val="20"/>
      <w:szCs w:val="20"/>
    </w:rPr>
  </w:style>
  <w:style w:type="table" w:styleId="TableGrid">
    <w:name w:val="Table Grid"/>
    <w:basedOn w:val="TableNormal"/>
    <w:uiPriority w:val="39"/>
    <w:rsid w:val="0063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865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868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Podsiadly</cp:lastModifiedBy>
  <cp:revision>2</cp:revision>
  <dcterms:created xsi:type="dcterms:W3CDTF">2023-12-19T11:30:00Z</dcterms:created>
  <dcterms:modified xsi:type="dcterms:W3CDTF">2023-12-19T11:30:00Z</dcterms:modified>
</cp:coreProperties>
</file>