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964A71" w:rsidRDefault="00654E8F" w:rsidP="0001436A">
      <w:pPr>
        <w:pStyle w:val="SupplementaryMaterial"/>
        <w:rPr>
          <w:b w:val="0"/>
          <w:color w:val="000000" w:themeColor="text1"/>
        </w:rPr>
      </w:pPr>
      <w:r w:rsidRPr="00964A71">
        <w:rPr>
          <w:color w:val="000000" w:themeColor="text1"/>
        </w:rPr>
        <w:t>Supplementary Material</w:t>
      </w:r>
    </w:p>
    <w:p w14:paraId="5E664979" w14:textId="77777777" w:rsidR="007F7447" w:rsidRDefault="007F7447" w:rsidP="00211E6A">
      <w:pPr>
        <w:spacing w:line="276" w:lineRule="auto"/>
        <w:contextualSpacing/>
        <w:jc w:val="both"/>
        <w:rPr>
          <w:b/>
          <w:bCs/>
          <w:color w:val="000000" w:themeColor="text1"/>
        </w:rPr>
      </w:pPr>
    </w:p>
    <w:p w14:paraId="3ECA908D" w14:textId="5F3DBC1B" w:rsidR="00690F62" w:rsidRDefault="00690F62" w:rsidP="00211E6A">
      <w:pPr>
        <w:spacing w:line="276" w:lineRule="auto"/>
        <w:contextualSpacing/>
        <w:jc w:val="both"/>
        <w:rPr>
          <w:rFonts w:cs="Times New Roman"/>
          <w:b/>
          <w:i/>
          <w:iCs/>
          <w:color w:val="000000" w:themeColor="text1"/>
        </w:rPr>
      </w:pPr>
      <w:r>
        <w:rPr>
          <w:rFonts w:cs="Times New Roman"/>
          <w:b/>
          <w:i/>
          <w:iCs/>
          <w:color w:val="000000" w:themeColor="text1"/>
        </w:rPr>
        <w:t>Materials and Methods</w:t>
      </w:r>
    </w:p>
    <w:p w14:paraId="790ED23D" w14:textId="37C5EAB9" w:rsidR="00964A71" w:rsidRPr="00964A71" w:rsidRDefault="00964A71" w:rsidP="00211E6A">
      <w:pPr>
        <w:spacing w:line="276" w:lineRule="auto"/>
        <w:contextualSpacing/>
        <w:jc w:val="both"/>
        <w:rPr>
          <w:rFonts w:cs="Times New Roman"/>
          <w:b/>
          <w:bCs/>
          <w:i/>
          <w:iCs/>
          <w:color w:val="000000" w:themeColor="text1"/>
        </w:rPr>
      </w:pPr>
      <w:r w:rsidRPr="00964A71">
        <w:rPr>
          <w:rFonts w:cs="Times New Roman"/>
          <w:b/>
          <w:i/>
          <w:iCs/>
          <w:color w:val="000000" w:themeColor="text1"/>
        </w:rPr>
        <w:t>Variant Calling and Downstream Data Description</w:t>
      </w:r>
    </w:p>
    <w:p w14:paraId="48A453EA"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 xml:space="preserve">Quality assessment was performed on paired-end WGS (minimum of 30X depth) in FASTQ format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{"citationItems":[{"id":"ITEM-1","itemData":{"author":[{"dropping-particle":"","family":"Cock","given":"Peter J A","non-dropping-particle":"","parse-names":false,"suffix":""},{"dropping-particle":"","family":"Fields","given":"Christopher J","non-dropping-particle":"","parse-names":false,"suffix":""},{"dropping-particle":"","family":"Goto","given":"Naohisa","non-dropping-particle":"","parse-names":false,"suffix":""},{"dropping-particle":"","family":"Heuer","given":"Michael L","non-dropping-particle":"","parse-names":false,"suffix":""},{"dropping-particle":"","family":"Rice","given":"Peter M","non-dropping-particle":"","parse-names":false,"suffix":""}],"container-title":"Nucleic acids research","id":"ITEM-1","issue":"6","issued":{"date-parts":[["2010"]]},"page":"1767-1771","publisher":"Oxford University Press","title":"The Sanger FASTQ file format for sequences with quality scores, and the Solexa/Illumina FASTQ variants","type":"article-journal","volume":"38"},"uris":["http://www.mendeley.com/documents/?uuid=d0a53f42-69f4-40ae-81a9-afad4b2d0c18"]}],"mendeley":{"formattedCitation":"(1)","plainTextFormattedCitation":"(1)","previouslyFormattedCitation":"(Cock et al., 2010)"},"properties":{"noteIndex":0},"schema":"https://github.com/citation-style-language/schema/raw/master/csl-citation.json"}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(1)</w:t>
      </w:r>
      <w:r w:rsidRPr="00964A71">
        <w:rPr>
          <w:rFonts w:cs="Times New Roman"/>
          <w:color w:val="000000" w:themeColor="text1"/>
        </w:rPr>
        <w:fldChar w:fldCharType="end"/>
      </w:r>
      <w:r w:rsidRPr="00964A71">
        <w:rPr>
          <w:rFonts w:cs="Times New Roman"/>
          <w:color w:val="000000" w:themeColor="text1"/>
        </w:rPr>
        <w:t xml:space="preserve"> using FastQC </w:t>
      </w:r>
      <w:bookmarkStart w:id="0" w:name="_Hlk32564209"/>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{"citationItems":[{"id":"ITEM-1","itemData":{"DOI":"10.1002/0471250953.bi1110s43.From","ISBN":"0471250953","author":[{"dropping-particle":"","family":"Auwera","given":"Geraldine A","non-dropping-particle":"Van Der","parse-names":false,"suffix":""},{"dropping-particle":"","family":"Carneiro","given":"Mauricio O","non-dropping-particle":"","parse-names":false,"suffix":""},{"dropping-particle":"","family":"Hartl","given":"Chris","non-dropping-particle":"","parse-names":false,"suffix":""},{"dropping-particle":"","family":"Poplin","given":"Ryan","non-dropping-particle":"","parse-names":false,"suffix":""},{"dropping-particle":"","family":"Levy-moonshine","given":"Ami","non-dropping-particle":"","parse-names":false,"suffix":""},{"dropping-particle":"","family":"Jordan","given":"Tadeusz","non-dropping-particle":"","parse-names":false,"suffix":""},{"dropping-particle":"","family":"Shakir","given":"Khalid","non-dropping-particle":"","parse-names":false,"suffix":""},{"dropping-particle":"","family":"Roazen","given":"David","non-dropping-particle":"","parse-names":false,"suffix":""},{"dropping-particle":"","family":"Thibault","given":"Joel","non-dropping-particle":"","parse-names":false,"suffix":""},{"dropping-particle":"","family":"Banks","given":"Eric","non-dropping-particle":"","parse-names":false,"suffix":""},{"dropping-particle":"V","family":"Garimella","given":"Kiran","non-dropping-particle":"","parse-names":false,"suffix":""},{"dropping-particle":"","family":"Altshuler","given":"David","non-dropping-particle":"","parse-names":false,"suffix":""},{"dropping-particle":"","family":"Gabriel","given":"Stacey","non-dropping-particle":"","parse-names":false,"suffix":""},{"dropping-particle":"","family":"Depristo","given":"Mark A","non-dropping-particle":"","parse-names":false,"suffix":""}],"container-title":"Curr Protoc Bioinformatics","id":"ITEM-1","issue":"1110","issued":{"date-parts":[["2014"]]},"title":"From FastQ data to high confidence varant calls: the Genome Analysis Toolkit best practices pipeline","type":"article-journal","volume":"11"},"uris":["http://www.mendeley.com/documents/?uuid=728c5094-8295-468d-8e99-40a4a78c8a4b","http://www.mendeley.com/documents/?uuid=e990397d-7f49-47ed-b06a-8499f64c14f2"]}],"mendeley":{"formattedCitation":"(2)","plainTextFormattedCitation":"(2)","previouslyFormattedCitation":"(Van Der Auwera et al., 2014)"},"properties":{"noteIndex":0},"schema":"https://github.com/citation-style-language/schema/raw/master/csl-citation.json"}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(2)</w:t>
      </w:r>
      <w:r w:rsidRPr="00964A71">
        <w:rPr>
          <w:rFonts w:cs="Times New Roman"/>
          <w:color w:val="000000" w:themeColor="text1"/>
        </w:rPr>
        <w:fldChar w:fldCharType="end"/>
      </w:r>
      <w:bookmarkEnd w:id="0"/>
      <w:r w:rsidRPr="00964A71">
        <w:rPr>
          <w:rFonts w:cs="Times New Roman"/>
          <w:color w:val="000000" w:themeColor="text1"/>
        </w:rPr>
        <w:t xml:space="preserve">. Low-quality sequence bases and adapters were trimmed using Trimmomatic with default parameters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{"citationItems":[{"id":"ITEM-1","itemData":{"author":[{"dropping-particle":"","family":"Bolger","given":"Anthony M","non-dropping-particle":"","parse-names":false,"suffix":""},{"dropping-particle":"","family":"Lohse","given":"Marc","non-dropping-particle":"","parse-names":false,"suffix":""},{"dropping-particle":"","family":"Usadel","given":"Bjoern","non-dropping-particle":"","parse-names":false,"suffix":""}],"container-title":"Bioinformatics","id":"ITEM-1","issue":"15","issued":{"date-parts":[["2014"]]},"page":"2114-2120","publisher":"Oxford University Press","title":"Trimmomatic: a flexible trimmer for Illumina sequence data","type":"article-journal","volume":"30"},"uris":["http://www.mendeley.com/documents/?uuid=3129ce8d-92eb-4b6c-a8fb-2a7e73c592ec"]}],"mendeley":{"formattedCitation":"(3)","plainTextFormattedCitation":"(3)","previouslyFormattedCitation":"(Bolger et al., 2014)"},"properties":{"noteIndex":0},"schema":"https://github.com/citation-style-language/schema/raw/master/csl-citation.json"}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(3)</w:t>
      </w:r>
      <w:r w:rsidRPr="00964A71">
        <w:rPr>
          <w:rFonts w:cs="Times New Roman"/>
          <w:color w:val="000000" w:themeColor="text1"/>
        </w:rPr>
        <w:fldChar w:fldCharType="end"/>
      </w:r>
      <w:r w:rsidRPr="00964A71">
        <w:rPr>
          <w:rFonts w:cs="Times New Roman"/>
          <w:color w:val="000000" w:themeColor="text1"/>
        </w:rPr>
        <w:t xml:space="preserve">. The sequencing reads were aligned to the </w:t>
      </w:r>
      <w:r w:rsidRPr="00964A71">
        <w:rPr>
          <w:rFonts w:cs="Times New Roman"/>
          <w:bCs/>
          <w:iCs/>
          <w:color w:val="000000" w:themeColor="text1"/>
        </w:rPr>
        <w:t>GRCh38</w:t>
      </w:r>
      <w:r w:rsidRPr="00964A71">
        <w:rPr>
          <w:rFonts w:cs="Times New Roman"/>
          <w:color w:val="000000" w:themeColor="text1"/>
        </w:rPr>
        <w:t xml:space="preserve"> human reference genome using Burrows-Wheeler Aligner (BWA-MEM)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10.1101/gr.078212.108","author":[{"dropping-particle":"","family":"Li","given":"Heng","non-dropping-particle":"","parse-names":false,"suffix":""},{"dropping-particle":"","family":"Ruan","given":"Jue","non-dropping-particle":"","parse-names":false,"suffix":""},{"dropping-particle":"","family":"Durbin","given":"Richard","non-dropping-particle":"","parse-names":false,"suffix":""},{"dropping-particle":"","family":"Li","given":"Heng","non-dropping-particle":"","parse-names":false,"suffix":""},{"dropping-particle":"","family":"Ruan","given":"Jue","non-dropping-particle":"","parse-names":false,"suffix":""},{"dropping-particle":"","family":"Durbin","given":"Richard","non-dropping-particle":"","parse-names":false,"suffix":""}],"id":"ITEM-1","issued":{"date-parts":[["2008"]]},"page":"1851-1858","title":"Mapping short DNA sequencing reads and calling variants using mapping quality scores Mapping short DNA sequencing reads and calling variants using mapping quality scores","type":"article-journal"},"uris":["http://www.mendeley.com/documents/?uuid=f9132f81-a022-4e77-a2da-e20e6a06365f","http://www.mendeley.com/documents/?uuid=54b00b93-3661-4b03-b1c1-fe6d2a872e89"]},{"id":"ITEM-2","itemData":{"DOI":"10.1093/bioinformatics/btp324","ISSN":"1367-4811 (Electronic)","PMID":"19451168","abstract":"MOTIVATION: The enormous amount of short reads generated by the new DNA sequencing technologies call for the development of fast and accurate read alignment programs. A first generation of hash table-based methods has been developed, including MAQ, which is accurate, feature rich and fast enough to align short reads from a single individual. However, MAQ does not support gapped alignment for single-end reads, which makes it unsuitable for alignment of longer reads where indels may occur frequently. The speed of MAQ is also a concern when the alignment is scaled up to the resequencing of hundreds of individuals. RESULTS: We implemented Burrows-Wheeler Alignment tool (BWA), a new read alignment package that is based on backward search with Burrows-Wheeler Transform (BWT), to efficiently align short sequencing reads against a large reference sequence such as the human genome, allowing mismatches and gaps. BWA supports both base space reads, e.g. from Illumina sequencing machines, and color space reads from AB SOLiD machines. Evaluations on both simulated and real data suggest that BWA is approximately 10-20x faster than MAQ, while achieving similar accuracy. In addition, BWA outputs alignment in the new standard SAM (Sequence Alignment/Map) format. Variant calling and other downstream analyses after the alignment can be achieved with the open source SAMtools software package. AVAILABILITY: http://maq.sourceforge.net.","author":[{"dropping-particle":"","family":"Li","given":"Heng","non-dropping-particle":"","parse-names":false,"suffix":""},{"dropping-particle":"","family":"Durbin","given":"Richard","non-dropping-particle":"","parse-names":false,"suffix":""}],"container-title":"Bioinformatics (Oxford, England)","id":"ITEM-2","issue":"14","issued":{"date-parts":[["2009","7"]]},"language":"eng","page":"1754-1760","publisher-place":"England","title":"Fast and accurate short read alignment with Burrows-Wheeler transform.","type":"article-journal","volume":"25"},"uris":["http://www.mendeley.com/documents/?uuid=150e0c20-abda-49e1-b7d2-1f55cbd2edf1"]}],"mendeley":{"formattedCitation":"(4,5)","plainTextFormattedCitation":"(4,5)","previouslyFormattedCitation":"(Li et al., 2008; Li and Durbin, 2009)"},"properties":{"noteIndex":0},"schema":"https://github.com/citation-style-language/schema/raw/master/csl-citation.json"}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(4,5)</w:t>
      </w:r>
      <w:r w:rsidRPr="00964A71">
        <w:rPr>
          <w:rFonts w:cs="Times New Roman"/>
          <w:color w:val="000000" w:themeColor="text1"/>
        </w:rPr>
        <w:fldChar w:fldCharType="end"/>
      </w:r>
      <w:r w:rsidRPr="00964A71">
        <w:rPr>
          <w:rFonts w:cs="Times New Roman"/>
          <w:color w:val="000000" w:themeColor="text1"/>
        </w:rPr>
        <w:t xml:space="preserve"> and post-alignment quality control including adding of read groups, marking duplicates, fix mating and recalibration of base quality scores was performed using Picard tools, SAMtools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{"citationItems":[{"id":"ITEM-1","itemData":{"DOI":"10.1093/bioinformatics/btr509","ISSN":"1367-4811 (Electronic)","PMID":"21903627","abstract":"MOTIVATION: Most existing methods for DNA sequence analysis rely on accurate  sequences or genotypes. However, in applications of the next-generation sequencing (NGS), accurate genotypes may not be easily obtained (e.g. multi-sample low-coverage sequencing or somatic mutation discovery). These applications press for the development of new methods for analyzing sequence data with uncertainty. RESULTS: We present a statistical framework for calling SNPs, discovering somatic mutations, inferring population genetical parameters and performing association tests directly based on sequencing data without explicit genotyping or linkage-based imputation. On real data, we demonstrate that our method achieves comparable accuracy to alternative methods for estimating site allele count, for inferring allele frequency spectrum and for association mapping. We also highlight the necessity of using symmetric datasets for finding somatic mutations and confirm that for discovering rare events, mismapping is frequently the leading source of errors. AVAILABILITY: http://samtools.sourceforge.net. CONTACT: hengli@broadinstitute.org.","author":[{"dropping-particle":"","family":"Li","given":"Heng","non-dropping-particle":"","parse-names":false,"suffix":""}],"container-title":"Bioinformatics (Oxford, England)","id":"ITEM-1","issue":"21","issued":{"date-parts":[["2011","11"]]},"language":"eng","page":"2987-2993","title":"A statistical framework for SNP calling, mutation discovery, association mapping and  population genetical parameter estimation from sequencing data.","type":"article-journal","volume":"27"},"uris":["http://www.mendeley.com/documents/?uuid=065179ce-8ee7-40dd-87c9-4e471747d247"]}],"mendeley":{"formattedCitation":"(6)","plainTextFormattedCitation":"(6)","previouslyFormattedCitation":"(Li, 2011)"},"properties":{"noteIndex":0},"schema":"https://github.com/citation-style-language/schema/raw/master/csl-citation.json"}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(6)</w:t>
      </w:r>
      <w:r w:rsidRPr="00964A71">
        <w:rPr>
          <w:rFonts w:cs="Times New Roman"/>
          <w:color w:val="000000" w:themeColor="text1"/>
        </w:rPr>
        <w:fldChar w:fldCharType="end"/>
      </w:r>
      <w:r w:rsidRPr="00964A71">
        <w:rPr>
          <w:rFonts w:cs="Times New Roman"/>
          <w:color w:val="000000" w:themeColor="text1"/>
        </w:rPr>
        <w:t xml:space="preserve"> and Genome Analysis Toolkit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{"citationItems":[{"id":"ITEM-1","itemData":{"DOI":"10.1101/gr.107524.110","ISSN":"1088-9051/10","PMID":"20644199","abstract":"Next-generation DNA sequencing (NGS) projects, such as the 1000 Genomes Project, are already revolutionizing our understanding of genetic variation among individuals. However, the massive data sets generated by NGS—the 1000 Genome pilot alone includes nearly five terabases—make writing feature-rich, efficient, and robust analysis tools difficult for even computationally sophisticated individuals. Indeed, many professionals are limited in the scope and the ease with which they can answer scientific questions by the complexity of accessing and manipulating the data produced by these machines. Here, we discuss our Genome Analysis Toolkit (GATK), a structured programming framework designed to ease the development of efficient and robust analysis tools for next-generation DNA sequencers using the functional programming philosophy of MapReduce. The GATK provides a small but rich set of data access patterns that encompass the majority of analysis tool needs. Separating specific analysis calculations from common data management in- frastructure enables us to optimize the GATK framework for correctness, stability, and CPU and memory efficiency and to enable distributed and shared memory parallelization. We highlight the capabilities of the GATK by describing the implementation and application of robust, scale-tolerant tools like coverage calculators and single nucleotide poly- morphism (SNP) calling. We conclude that the GATK programming framework enables developers and analysts to quickly and easily write efficient and robust NGS tools, many of which have already been incorporated into large-scale sequencing projects like the 1000 Genomes Project and The Cancer Genome Atlas.","author":[{"dropping-particle":"","family":"McKenna","given":"Aaron","non-dropping-particle":"","parse-names":false,"suffix":""},{"dropping-particle":"","family":"Hanna","given":"Matthew","non-dropping-particle":"","parse-names":false,"suffix":""},{"dropping-particle":"","family":"Banks","given":"Eric","non-dropping-particle":"","parse-names":false,"suffix":""},{"dropping-particle":"","family":"Sivachenko","given":"Andrey","non-dropping-particle":"","parse-names":false,"suffix":""},{"dropping-particle":"","family":"Cibulskis","given":"Kristian","non-dropping-particle":"","parse-names":false,"suffix":""},{"dropping-particle":"","family":"Kernytsky","given":"Andrew","non-dropping-particle":"","parse-names":false,"suffix":""},{"dropping-particle":"","family":"Garimella","given":"Kiran","non-dropping-particle":"","parse-names":false,"suffix":""},{"dropping-particle":"","family":"Altshuler","given":"David","non-dropping-particle":"","parse-names":false,"suffix":""},{"dropping-particle":"","family":"Gabriel","given":"Stacey","non-dropping-particle":"","parse-names":false,"suffix":""},{"dropping-particle":"","family":"Daly","given":"Mark","non-dropping-particle":"","parse-names":false,"suffix":""},{"dropping-particle":"","family":"DePristo","given":"Mark A.","non-dropping-particle":"","parse-names":false,"suffix":""}],"container-title":"Genome Research Sep;20(9):1297-303. doi: 10.1101/gr.107524.110","id":"ITEM-1","issue":"9","issued":{"date-parts":[["2010"]]},"page":"1297-303","title":"The Genome Analysis Toolkit: A MapReduce framework for analyzing next-generation DNA sequencing data","type":"article-journal","volume":"Sep 20"},"uris":["http://www.mendeley.com/documents/?uuid=b5683687-6554-4d14-b6f8-a1741e1a57cd"]}],"mendeley":{"formattedCitation":"(7)","plainTextFormattedCitation":"(7)","previouslyFormattedCitation":"(McKenna et al., 2010)"},"properties":{"noteIndex":0},"schema":"https://github.com/citation-style-language/schema/raw/master/csl-citation.json"}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(7)</w:t>
      </w:r>
      <w:r w:rsidRPr="00964A71">
        <w:rPr>
          <w:rFonts w:cs="Times New Roman"/>
          <w:color w:val="000000" w:themeColor="text1"/>
        </w:rPr>
        <w:fldChar w:fldCharType="end"/>
      </w:r>
      <w:r w:rsidRPr="00964A71">
        <w:rPr>
          <w:rFonts w:cs="Times New Roman"/>
          <w:color w:val="000000" w:themeColor="text1"/>
        </w:rPr>
        <w:t xml:space="preserve">. Four samples  (HIV-1 positive females) were excluded due to poor quality of sequences, the remaining dataset had 390 individuals. We have run FastQC on all final BAM files prior the variant calling, then we aggregated the results from FastQC into a single report by using MultiQC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{"citationItems":[{"id":"ITEM-1","itemData":{"DOI":"10.1093/bioinformatics/btw354","ISSN":"1367-4803","abstract":"Motivation: Fast and accurate quality control is essential for studies involving next-generation sequencing data. Whilst numerous tools exist to quantify QC metrics, there is no common approach to flexibly integrate these across tools and large sample sets. Assessing analysis results across an entire project can be time consuming and error prone; batch effects and outlier samples can easily be missed in the early stages of analysis.Results: We present MultiQC, a tool to create a single report visualising output from multiple tools across many samples, enabling global trends and biases to be quickly identified. MultiQC can plot data from many common bioinformatics tools and is built to allow easy extension and customization.Availability and implementation: MultiQC is available with an GNU GPLv3 license on GitHub, the Python Package Index and Bioconda. Documentation and example reports are available at http://multiqc.infoContact:phil.ewels@scilifelab.se","author":[{"dropping-particle":"","family":"Ewels","given":"Philip","non-dropping-particle":"","parse-names":false,"suffix":""},{"dropping-particle":"","family":"Magnusson","given":"Måns","non-dropping-particle":"","parse-names":false,"suffix":""},{"dropping-particle":"","family":"Lundin","given":"Sverker","non-dropping-particle":"","parse-names":false,"suffix":""},{"dropping-particle":"","family":"Käller","given":"Max","non-dropping-particle":"","parse-names":false,"suffix":""}],"container-title":"Bioinformatics","id":"ITEM-1","issue":"19","issued":{"date-parts":[["2016","10","1"]]},"page":"3047-3048","title":"MultiQC: summarize analysis results for multiple tools and samples in a single report","type":"article-journal","volume":"32"},"uris":["http://www.mendeley.com/documents/?uuid=2354fd9c-e845-4586-8b54-96aa62f0e1ab"]}],"mendeley":{"formattedCitation":"(8)","plainTextFormattedCitation":"(8)","previouslyFormattedCitation":"(Ewels et al., 2016)"},"properties":{"noteIndex":0},"schema":"https://github.com/citation-style-language/schema/raw/master/csl-citation.json"}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(8)</w:t>
      </w:r>
      <w:r w:rsidRPr="00964A71">
        <w:rPr>
          <w:rFonts w:cs="Times New Roman"/>
          <w:color w:val="000000" w:themeColor="text1"/>
        </w:rPr>
        <w:fldChar w:fldCharType="end"/>
      </w:r>
      <w:r w:rsidRPr="00964A71">
        <w:rPr>
          <w:rFonts w:cs="Times New Roman"/>
          <w:color w:val="000000" w:themeColor="text1"/>
        </w:rPr>
        <w:t>.</w:t>
      </w:r>
    </w:p>
    <w:p w14:paraId="63340542" w14:textId="77777777" w:rsidR="00964A71" w:rsidRPr="00964A71" w:rsidRDefault="00964A71" w:rsidP="00211E6A">
      <w:pPr>
        <w:spacing w:line="276" w:lineRule="auto"/>
        <w:contextualSpacing/>
        <w:jc w:val="both"/>
        <w:rPr>
          <w:rFonts w:cs="Times New Roman"/>
          <w:color w:val="000000" w:themeColor="text1"/>
        </w:rPr>
      </w:pPr>
    </w:p>
    <w:p w14:paraId="5DBA993B"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 xml:space="preserve">Variant calling is a process of determining nucleotide differences between the reference sequence and the sequence of a sample. In population genetics, it is best to perform the identification of variants from different individuals simultaneously – a process known as population joint calling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{"citationItems":[{"id":"ITEM-1","itemData":{"author":[{"dropping-particle":"","family":"Pfeifer","given":"S P","non-dropping-particle":"","parse-names":false,"suffix":""}],"container-title":"Heredity","id":"ITEM-1","issue":"2","issued":{"date-parts":[["2017"]]},"page":"111-124","publisher":"Nature Publishing Group","title":"From next-generation resequencing reads to a high-quality variant data set","type":"article-journal","volume":"118"},"uris":["http://www.mendeley.com/documents/?uuid=fa3e2db2-8f5f-4254-bbb4-31b92fee815c"]},{"id":"ITEM-2","itemData":{"DOI":"10.1038/nrg2986","ISSN":"1471-0064","abstract":"Converting next-generation sequencing (NGS) image files into a set of called SNPs involves a number of steps including image analysis, alignment and assembly, SNP calling and genotype calling.Genotype probabilities for a single individual can be calculated from alignments using recalibrated quality scores.SNP calling and genotype calling is best done using information from multiple individuals simultaneously. The pattern of linkage disequilibrium should be used to call SNPs and genotypes when possible.Analyses of low coverage data can proceed by taking uncertainty in the genotype calls into account, rather than assuming any particular genotype call is correct.The methods used for calling SNPs and for taking uncertainty in SNP genotypes into account can have a strong effect on downstream analyses, including association mapping analyses.","author":[{"dropping-particle":"","family":"Nielsen","given":"Rasmus","non-dropping-particle":"","parse-names":false,"suffix":""},{"dropping-particle":"","family":"Paul","given":"Joshua S","non-dropping-particle":"","parse-names":false,"suffix":""},{"dropping-particle":"","family":"Albrechtsen","given":"Anders","non-dropping-particle":"","parse-names":false,"suffix":""},{"dropping-particle":"","family":"Song","given":"Yun S","non-dropping-particle":"","parse-names":false,"suffix":""}],"container-title":"Nature Reviews Genetics","id":"ITEM-2","issue":"6","issued":{"date-parts":[["2011"]]},"page":"443-451","title":"Genotype and SNP calling from next-generation sequencing data","type":"article-journal","volume":"12"},"uris":["http://www.mendeley.com/documents/?uuid=46b85d55-3208-45f2-9dc6-63caea79314d"]}],"mendeley":{"formattedCitation":"(9,10)","plainTextFormattedCitation":"(9,10)","previouslyFormattedCitation":"(Nielsen et al., 2011; Pfeifer, 2017)"},"properties":{"noteIndex":0},"schema":"https://github.com/citation-style-language/schema/raw/master/csl-citation.json"}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(9,10)</w:t>
      </w:r>
      <w:r w:rsidRPr="00964A71">
        <w:rPr>
          <w:rFonts w:cs="Times New Roman"/>
          <w:color w:val="000000" w:themeColor="text1"/>
        </w:rPr>
        <w:fldChar w:fldCharType="end"/>
      </w:r>
      <w:r w:rsidRPr="00964A71">
        <w:rPr>
          <w:rFonts w:cs="Times New Roman"/>
          <w:color w:val="000000" w:themeColor="text1"/>
        </w:rPr>
        <w:t xml:space="preserve">. We performed variant calling using two different population joint calling methods to leverage the quality and accuracy of our results: GATK’s HaplotypeCaller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{"citationItems":[{"id":"ITEM-1","itemData":{"DOI":"10.1101/gr.107524.110","ISSN":"1088-9051/10","PMID":"20644199","abstract":"Next-generation DNA sequencing (NGS) projects, such as the 1000 Genomes Project, are already revolutionizing our understanding of genetic variation among individuals. However, the massive data sets generated by NGS—the 1000 Genome pilot alone includes nearly five terabases—make writing feature-rich, efficient, and robust analysis tools difficult for even computationally sophisticated individuals. Indeed, many professionals are limited in the scope and the ease with which they can answer scientific questions by the complexity of accessing and manipulating the data produced by these machines. Here, we discuss our Genome Analysis Toolkit (GATK), a structured programming framework designed to ease the development of efficient and robust analysis tools for next-generation DNA sequencers using the functional programming philosophy of MapReduce. The GATK provides a small but rich set of data access patterns that encompass the majority of analysis tool needs. Separating specific analysis calculations from common data management in- frastructure enables us to optimize the GATK framework for correctness, stability, and CPU and memory efficiency and to enable distributed and shared memory parallelization. We highlight the capabilities of the GATK by describing the implementation and application of robust, scale-tolerant tools like coverage calculators and single nucleotide poly- morphism (SNP) calling. We conclude that the GATK programming framework enables developers and analysts to quickly and easily write efficient and robust NGS tools, many of which have already been incorporated into large-scale sequencing projects like the 1000 Genomes Project and The Cancer Genome Atlas.","author":[{"dropping-particle":"","family":"McKenna","given":"Aaron","non-dropping-particle":"","parse-names":false,"suffix":""},{"dropping-particle":"","family":"Hanna","given":"Matthew","non-dropping-particle":"","parse-names":false,"suffix":""},{"dropping-particle":"","family":"Banks","given":"Eric","non-dropping-particle":"","parse-names":false,"suffix":""},{"dropping-particle":"","family":"Sivachenko","given":"Andrey","non-dropping-particle":"","parse-names":false,"suffix":""},{"dropping-particle":"","family":"Cibulskis","given":"Kristian","non-dropping-particle":"","parse-names":false,"suffix":""},{"dropping-particle":"","family":"Kernytsky","given":"Andrew","non-dropping-particle":"","parse-names":false,"suffix":""},{"dropping-particle":"","family":"Garimella","given":"Kiran","non-dropping-particle":"","parse-names":false,"suffix":""},{"dropping-particle":"","family":"Altshuler","given":"David","non-dropping-particle":"","parse-names":false,"suffix":""},{"dropping-particle":"","family":"Gabriel","given":"Stacey","non-dropping-particle":"","parse-names":false,"suffix":""},{"dropping-particle":"","family":"Daly","given":"Mark","non-dropping-particle":"","parse-names":false,"suffix":""},{"dropping-particle":"","family":"DePristo","given":"Mark A.","non-dropping-particle":"","parse-names":false,"suffix":""}],"container-title":"Genome Research Sep;20(9):1297-303. doi: 10.1101/gr.107524.110","id":"ITEM-1","issue":"9","issued":{"date-parts":[["2010"]]},"page":"1297-303","title":"The Genome Analysis Toolkit: A MapReduce framework for analyzing next-generation DNA sequencing data","type":"article-journal","volume":"Sep 20"},"uris":["http://www.mendeley.com/documents/?uuid=b5683687-6554-4d14-b6f8-a1741e1a57cd"]},{"id":"ITEM-2","itemData":{"DOI":"10.1038/ng.806","ISSN":"1546-1718 (Electronic)","PMID":"21478889","abstract":"Recent advances in sequencing technology make it possible to comprehensively catalog  genetic variation in population samples, creating a foundation for understanding human disease, ancestry and evolution. The amounts of raw data produced are prodigious, and many computational steps are required to translate this output into high-quality variant calls. We present a unified analytic framework to discover and genotype variation among multiple samples simultaneously that achieves sensitive and specific results across five sequencing technologies and three distinct, canonical experimental designs. Our process includes (i) initial read mapping; (ii) local realignment around indels; (iii) base quality score recalibration; (iv) SNP discovery and genotyping to find all potential variants; and (v) machine learning to separate true segregating variation from machine artifacts common to next-generation sequencing technologies. We here discuss the application of these tools, instantiated in the Genome Analysis Toolkit, to deep whole-genome, whole-exome capture and multi-sample low-pass (</w:instrText>
      </w:r>
      <w:r w:rsidRPr="00964A71">
        <w:rPr>
          <w:rFonts w:ascii="Cambria Math" w:hAnsi="Cambria Math" w:cs="Cambria Math"/>
          <w:color w:val="000000" w:themeColor="text1"/>
        </w:rPr>
        <w:instrText>∼</w:instrText>
      </w:r>
      <w:r w:rsidRPr="00964A71">
        <w:rPr>
          <w:rFonts w:cs="Times New Roman"/>
          <w:color w:val="000000" w:themeColor="text1"/>
        </w:rPr>
        <w:instrText>4×) 1000 Genomes Project datasets.","author":[{"dropping-particle":"","family":"DePristo","given":"Mark A","non-dropping-particle":"","parse-names":false,"suffix":""},{"dropping-particle":"","family":"Banks","given":"Eric","non-dropping-particle":"","parse-names":false,"suffix":""},{"dropping-particle":"","family":"Poplin","given":"Ryan","non-dropping-particle":"","parse-names":false,"suffix":""},{"dropping-particle":"V","family":"Garimella","given":"Kiran","non-dropping-particle":"","parse-names":false,"suffix":""},{"dropping-particle":"","family":"Maguire","given":"Jared R","non-dropping-particle":"","parse-names":false,"suffix":""},{"dropping-particle":"","family":"Hartl","given":"Christopher","non-dropping-particle":"","parse-names":false,"suffix":""},{"dropping-particle":"","family":"Philippakis","given":"Anthony A","non-dropping-particle":"","parse-names":false,"suffix":""},{"dropping-particle":"","family":"Angel","given":"Guillermo","non-dropping-particle":"del","parse-names":false,"suffix":""},{"dropping-particle":"","family":"Rivas","given":"Manuel A","non-dropping-particle":"","parse-names":false,"suffix":""},{"dropping-particle":"","family":"Hanna","given":"Matt","non-dropping-particle":"","parse-names":false,"suffix":""},{"dropping-particle":"","family":"McKenna","given":"Aaron","non-dropping-particle":"","parse-names":false,"suffix":""},{"dropping-particle":"","family":"Fennell","given":"Tim J","non-dropping-particle":"","parse-names":false,"suffix":""},{"dropping-particle":"","family":"Kernytsky","given":"Andrew M","non-dropping-particle":"","parse-names":false,"suffix":""},{"dropping-particle":"","family":"Sivachenko","given":"Andrey Y","non-dropping-particle":"","parse-names":false,"suffix":""},{"dropping-particle":"","family":"Cibulskis","given":"Kristian","non-dropping-particle":"","parse-names":false,"suffix":""},{"dropping-particle":"","family":"Gabriel","given":"Stacey B","non-dropping-particle":"","parse-names":false,"suffix":""},{"dropping-particle":"","family":"Altshuler","given":"David","non-dropping-particle":"","parse-names":false,"suffix":""},{"dropping-particle":"","family":"Daly","given":"Mark J","non-dropping-particle":"","parse-names":false,"suffix":""}],"container-title":"Nature genetics","id":"ITEM-2","issue":"5","issued":{"date-parts":[["2011","5"]]},"language":"eng","page":"491-498","title":"A framework for variation discovery and genotyping using next-generation DNA  sequencing data.","type":"article-journal","volume":"43"},"uris":["http://www.mendeley.com/documents/?uuid=8fbb810f-953e-4664-b55b-0efa5a225c89"]}],"mendeley":{"formattedCitation":"(7,11)","plainTextFormattedCitation":"(7,11)","previouslyFormattedCitation":"(DePristo et al., 2011; McKenna et al., 2010)"},"properties":{"noteIndex":0},"schema":"https://github.com/citation-style-language/schema/raw/master/csl-citation.json"}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(7,11)</w:t>
      </w:r>
      <w:r w:rsidRPr="00964A71">
        <w:rPr>
          <w:rFonts w:cs="Times New Roman"/>
          <w:color w:val="000000" w:themeColor="text1"/>
        </w:rPr>
        <w:fldChar w:fldCharType="end"/>
      </w:r>
      <w:r w:rsidRPr="00964A71">
        <w:rPr>
          <w:rFonts w:cs="Times New Roman"/>
          <w:color w:val="000000" w:themeColor="text1"/>
        </w:rPr>
        <w:t xml:space="preserve"> and BCFtools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{"citationItems":[{"id":"ITEM-1","itemData":{"DOI":"10.1093/bioinformatics/btr509","ISSN":"1367-4811 (Electronic)","PMID":"21903627","abstract":"MOTIVATION: Most existing methods for DNA sequence analysis rely on accurate  sequences or genotypes. However, in applications of the next-generation sequencing (NGS), accurate genotypes may not be easily obtained (e.g. multi-sample low-coverage sequencing or somatic mutation discovery). These applications press for the development of new methods for analyzing sequence data with uncertainty. RESULTS: We present a statistical framework for calling SNPs, discovering somatic mutations, inferring population genetical parameters and performing association tests directly based on sequencing data without explicit genotyping or linkage-based imputation. On real data, we demonstrate that our method achieves comparable accuracy to alternative methods for estimating site allele count, for inferring allele frequency spectrum and for association mapping. We also highlight the necessity of using symmetric datasets for finding somatic mutations and confirm that for discovering rare events, mismapping is frequently the leading source of errors. AVAILABILITY: http://samtools.sourceforge.net. CONTACT: hengli@broadinstitute.org.","author":[{"dropping-particle":"","family":"Li","given":"Heng","non-dropping-particle":"","parse-names":false,"suffix":""}],"container-title":"Bioinformatics (Oxford, England)","id":"ITEM-1","issue":"21","issued":{"date-parts":[["2011","11"]]},"language":"eng","page":"2987-2993","title":"A statistical framework for SNP calling, mutation discovery, association mapping and  population genetical parameter estimation from sequencing data.","type":"article-journal","volume":"27"},"uris":["http://www.mendeley.com/documents/?uuid=065179ce-8ee7-40dd-87c9-4e471747d247"]}],"mendeley":{"formattedCitation":"(6)","plainTextFormattedCitation":"(6)","previouslyFormattedCitation":"(Li, 2011)"},"properties":{"noteIndex":0},"schema":"https://github.com/citation-style-language/schema/raw/master/csl-citation.json"}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(6)</w:t>
      </w:r>
      <w:r w:rsidRPr="00964A71">
        <w:rPr>
          <w:rFonts w:cs="Times New Roman"/>
          <w:color w:val="000000" w:themeColor="text1"/>
        </w:rPr>
        <w:fldChar w:fldCharType="end"/>
      </w:r>
      <w:r w:rsidRPr="00964A71">
        <w:rPr>
          <w:rFonts w:cs="Times New Roman"/>
          <w:color w:val="000000" w:themeColor="text1"/>
        </w:rPr>
        <w:t xml:space="preserve">. The variant call format (VCF) dataset was filtered using VCFTOOLS </w:t>
      </w:r>
      <w:r w:rsidRPr="00964A71">
        <w:rPr>
          <w:rFonts w:cs="Times New Roman"/>
          <w:color w:val="000000" w:themeColor="text1"/>
        </w:rPr>
        <w:fldChar w:fldCharType="begin" w:fldLock="1"/>
      </w:r>
      <w:r w:rsidRPr="00964A71">
        <w:rPr>
          <w:rFonts w:cs="Times New Roman"/>
          <w:color w:val="000000" w:themeColor="text1"/>
        </w:rPr>
        <w:instrText>ADDIN CSL_CITATION {"citationItems":[{"id":"ITEM-1","itemData":{"author":[{"dropping-particle":"","family":"Danecek","given":"Petr","non-dropping-particle":"","parse-names":false,"suffix":""},{"dropping-particle":"","family":"Auton","given":"Adam","non-dropping-particle":"","parse-names":false,"suffix":""},{"dropping-particle":"","family":"Abecasis","given":"Goncalo","non-dropping-particle":"","parse-names":false,"suffix":""},{"dropping-particle":"","family":"Albers","given":"Cornelis A","non-dropping-particle":"","parse-names":false,"suffix":""},{"dropping-particle":"","family":"Banks","given":"Eric","non-dropping-particle":"","parse-names":false,"suffix":""},{"dropping-particle":"","family":"DePristo","given":"Mark A","non-dropping-particle":"","parse-names":false,"suffix":""},{"dropping-particle":"","family":"Handsaker","given":"Robert E","non-dropping-particle":"","parse-names":false,"suffix":""},{"dropping-particle":"","family":"Lunter","given":"Gerton","non-dropping-particle":"","parse-names":false,"suffix":""},{"dropping-particle":"","family":"Marth","given":"Gabor T","non-dropping-particle":"","parse-names":false,"suffix":""},{"dropping-particle":"","family":"Sherry","given":"Stephen T","non-dropping-particle":"","parse-names":false,"suffix":""},{"dropping-particle":"","family":"others","given":"","non-dropping-particle":"","parse-names":false,"suffix":""}],"container-title":"Bioinformatics","id":"ITEM-1","issue":"15","issued":{"date-parts":[["2011"]]},"page":"2156-2158","publisher":"Oxford University Press","title":"The variant call format and VCFtools","type":"article-journal","volume":"27"},"uris":["http://www.mendeley.com/documents/?uuid=0610b26f-59c9-49e0-b83d-5970ef61b04c"]}],"mendeley":{"formattedCitation":"(12)","plainTextFormattedCitation":"(12)","previouslyFormattedCitation":"(Danecek et al., 2011)"},"properties":{"noteIndex":0},"schema":"https://github.com/citation-style-language/schema/raw/master/csl-citation.json"}</w:instrText>
      </w:r>
      <w:r w:rsidRPr="00964A71">
        <w:rPr>
          <w:rFonts w:cs="Times New Roman"/>
          <w:color w:val="000000" w:themeColor="text1"/>
        </w:rPr>
        <w:fldChar w:fldCharType="separate"/>
      </w:r>
      <w:r w:rsidRPr="00964A71">
        <w:rPr>
          <w:rFonts w:cs="Times New Roman"/>
          <w:noProof/>
          <w:color w:val="000000" w:themeColor="text1"/>
        </w:rPr>
        <w:t>(12)</w:t>
      </w:r>
      <w:r w:rsidRPr="00964A71">
        <w:rPr>
          <w:rFonts w:cs="Times New Roman"/>
          <w:color w:val="000000" w:themeColor="text1"/>
        </w:rPr>
        <w:fldChar w:fldCharType="end"/>
      </w:r>
      <w:r w:rsidRPr="00964A71">
        <w:rPr>
          <w:rFonts w:cs="Times New Roman"/>
          <w:color w:val="000000" w:themeColor="text1"/>
        </w:rPr>
        <w:t>, GATK’s Variant Quality Score Recalibration and BCFtools. The specific filtering parameters employed for both call-sets have been detailed below. Downstream analyses were performed with GATK call-set and BCFtools call-set used as a validation set.</w:t>
      </w:r>
    </w:p>
    <w:p w14:paraId="5A95479F" w14:textId="77777777" w:rsidR="00964A71" w:rsidRPr="00964A71" w:rsidRDefault="00964A71" w:rsidP="00211E6A">
      <w:pPr>
        <w:spacing w:line="276" w:lineRule="auto"/>
        <w:contextualSpacing/>
        <w:jc w:val="both"/>
        <w:rPr>
          <w:rFonts w:cs="Times New Roman"/>
          <w:color w:val="000000" w:themeColor="text1"/>
        </w:rPr>
      </w:pPr>
    </w:p>
    <w:p w14:paraId="2BE97AC6" w14:textId="77777777" w:rsidR="00964A71" w:rsidRPr="00964A71" w:rsidRDefault="00964A71" w:rsidP="00211E6A">
      <w:pPr>
        <w:spacing w:line="276" w:lineRule="auto"/>
        <w:contextualSpacing/>
        <w:jc w:val="both"/>
        <w:rPr>
          <w:rFonts w:cs="Times New Roman"/>
          <w:b/>
          <w:i/>
          <w:iCs/>
          <w:color w:val="000000" w:themeColor="text1"/>
        </w:rPr>
      </w:pPr>
      <w:r w:rsidRPr="00964A71">
        <w:rPr>
          <w:rFonts w:cs="Times New Roman"/>
          <w:b/>
          <w:i/>
          <w:iCs/>
          <w:color w:val="000000" w:themeColor="text1"/>
        </w:rPr>
        <w:t>Variant Calling parameters applied to the sequence data</w:t>
      </w:r>
    </w:p>
    <w:p w14:paraId="3717D9DE"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All the sequences passed quality control. Over 90% of the samples had a high sequence quality (at least 30 Phred score). This means that for these sequences a 99.9% accuracy in base calling was achieved. The acceptable Phred score for sequencing downstream analyses (population structure and genetic association) is at least 20. Although the sequence quality of the study samples was good, for variant calling bases with a Phred score of at least 30 were considered to ensure accurate identification of variants.</w:t>
      </w:r>
    </w:p>
    <w:p w14:paraId="290DEE9E" w14:textId="77777777" w:rsidR="00964A71" w:rsidRPr="00964A71" w:rsidRDefault="00964A71" w:rsidP="00211E6A">
      <w:pPr>
        <w:spacing w:line="276" w:lineRule="auto"/>
        <w:contextualSpacing/>
        <w:jc w:val="both"/>
        <w:rPr>
          <w:rFonts w:cs="Times New Roman"/>
          <w:b/>
          <w:color w:val="000000" w:themeColor="text1"/>
        </w:rPr>
      </w:pPr>
    </w:p>
    <w:p w14:paraId="1687FC7E" w14:textId="77777777" w:rsidR="00964A71" w:rsidRPr="00964A71" w:rsidRDefault="00964A71" w:rsidP="00211E6A">
      <w:pPr>
        <w:spacing w:line="276" w:lineRule="auto"/>
        <w:contextualSpacing/>
        <w:jc w:val="both"/>
        <w:rPr>
          <w:rFonts w:cs="Times New Roman"/>
          <w:b/>
          <w:color w:val="000000" w:themeColor="text1"/>
        </w:rPr>
      </w:pPr>
      <w:r w:rsidRPr="00964A71">
        <w:rPr>
          <w:rFonts w:cs="Times New Roman"/>
          <w:color w:val="000000" w:themeColor="text1"/>
        </w:rPr>
        <w:t xml:space="preserve">For </w:t>
      </w:r>
      <w:r w:rsidRPr="00964A71">
        <w:rPr>
          <w:rFonts w:cs="Times New Roman"/>
          <w:b/>
          <w:color w:val="000000" w:themeColor="text1"/>
        </w:rPr>
        <w:t xml:space="preserve">GATK </w:t>
      </w:r>
      <w:r w:rsidRPr="00964A71">
        <w:rPr>
          <w:rFonts w:cs="Times New Roman"/>
          <w:color w:val="000000" w:themeColor="text1"/>
        </w:rPr>
        <w:t>variant calling and filtration, we used GATK version 4.1.4.1. We performed variant calling using GATK’s HaplotypeCaller to identify potential variants in each sample, then performed population joint genotyping to ensure high accuracy of calling. The variant calling followed GATK’s best practices the following parameters:</w:t>
      </w:r>
    </w:p>
    <w:p w14:paraId="79EE201F" w14:textId="77777777" w:rsidR="00964A71" w:rsidRPr="00964A71" w:rsidRDefault="00964A71" w:rsidP="00211E6A">
      <w:pPr>
        <w:spacing w:line="276" w:lineRule="auto"/>
        <w:contextualSpacing/>
        <w:jc w:val="both"/>
        <w:rPr>
          <w:rFonts w:cs="Times New Roman"/>
          <w:color w:val="000000" w:themeColor="text1"/>
        </w:rPr>
      </w:pPr>
    </w:p>
    <w:p w14:paraId="3F5347DD"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gatk --java-options " -Xmx8g " HaplotypeCaller \</w:t>
      </w:r>
    </w:p>
    <w:p w14:paraId="78F8B3D6"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-R hg38.fasta \</w:t>
      </w:r>
    </w:p>
    <w:p w14:paraId="78180EAD"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lastRenderedPageBreak/>
        <w:t>-I SAMPLE.bam \</w:t>
      </w:r>
    </w:p>
    <w:p w14:paraId="4DF7FF74"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--dbsnp dbsnp151.vcf.gz \</w:t>
      </w:r>
    </w:p>
    <w:p w14:paraId="3E0FE1AD"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--emit-ref-confidence GVCF \</w:t>
      </w:r>
    </w:p>
    <w:p w14:paraId="02519034"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-stand-call-conf 30 \</w:t>
      </w:r>
    </w:p>
    <w:p w14:paraId="0E15D304"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-O SAMPLE.g.vcf</w:t>
      </w:r>
    </w:p>
    <w:p w14:paraId="764CF5CD" w14:textId="77777777" w:rsidR="00964A71" w:rsidRPr="00964A71" w:rsidRDefault="00964A71" w:rsidP="00211E6A">
      <w:pPr>
        <w:spacing w:line="276" w:lineRule="auto"/>
        <w:contextualSpacing/>
        <w:jc w:val="both"/>
        <w:rPr>
          <w:rFonts w:cs="Times New Roman"/>
          <w:color w:val="000000" w:themeColor="text1"/>
        </w:rPr>
      </w:pPr>
    </w:p>
    <w:p w14:paraId="017EB6E8"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The genotype VCF files were combined into a cohort file then population joint-calling was performed using the following parameters:</w:t>
      </w:r>
    </w:p>
    <w:p w14:paraId="753B9874" w14:textId="77777777" w:rsidR="00964A71" w:rsidRPr="00964A71" w:rsidRDefault="00964A71" w:rsidP="00211E6A">
      <w:pPr>
        <w:spacing w:line="276" w:lineRule="auto"/>
        <w:contextualSpacing/>
        <w:jc w:val="both"/>
        <w:rPr>
          <w:rFonts w:cs="Times New Roman"/>
          <w:color w:val="000000" w:themeColor="text1"/>
        </w:rPr>
      </w:pPr>
    </w:p>
    <w:p w14:paraId="0A54807F"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gatk --java-options " -Xmx100g" GenotypeGVCFs \</w:t>
      </w:r>
    </w:p>
    <w:p w14:paraId="66D24BCC"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-R hg38.fasta \</w:t>
      </w:r>
    </w:p>
    <w:p w14:paraId="2CB2ABC6"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--dbsnp dbsnp151.vcf.gz \</w:t>
      </w:r>
    </w:p>
    <w:p w14:paraId="5D749C86"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-V combine.vcf.gz \</w:t>
      </w:r>
    </w:p>
    <w:p w14:paraId="5DA5B976"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-stand-call-conf 30.0 \</w:t>
      </w:r>
    </w:p>
    <w:p w14:paraId="39C8DC94"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-A Coverage -A FisherStrand -A StrandOddsRatio -A MappingQualityRankSumTest \</w:t>
      </w:r>
    </w:p>
    <w:p w14:paraId="69C2E524"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-A QualByDepth -A RMSMappingQuality -A ReadPosRankSumTest \</w:t>
      </w:r>
    </w:p>
    <w:p w14:paraId="74DD8BF0"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--allow-old-rms-mapping-quality-annotation-data \</w:t>
      </w:r>
    </w:p>
    <w:p w14:paraId="724E6BAC"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 xml:space="preserve">-O gatk.cohort.vcf.gz </w:t>
      </w:r>
    </w:p>
    <w:p w14:paraId="45859E7E" w14:textId="77777777" w:rsidR="00964A71" w:rsidRPr="00964A71" w:rsidRDefault="00964A71" w:rsidP="00211E6A">
      <w:pPr>
        <w:spacing w:line="276" w:lineRule="auto"/>
        <w:contextualSpacing/>
        <w:jc w:val="both"/>
        <w:rPr>
          <w:rFonts w:cs="Times New Roman"/>
          <w:color w:val="000000" w:themeColor="text1"/>
        </w:rPr>
      </w:pPr>
    </w:p>
    <w:p w14:paraId="321E2F1A" w14:textId="77777777" w:rsidR="00964A71" w:rsidRPr="00964A71" w:rsidRDefault="00964A71" w:rsidP="00211E6A">
      <w:pPr>
        <w:spacing w:line="276" w:lineRule="auto"/>
        <w:contextualSpacing/>
        <w:jc w:val="both"/>
        <w:rPr>
          <w:rFonts w:cs="Times New Roman"/>
          <w:b/>
          <w:color w:val="000000" w:themeColor="text1"/>
        </w:rPr>
      </w:pPr>
      <w:r w:rsidRPr="00964A71">
        <w:rPr>
          <w:rFonts w:cs="Times New Roman"/>
          <w:color w:val="000000" w:themeColor="text1"/>
        </w:rPr>
        <w:t xml:space="preserve">For </w:t>
      </w:r>
      <w:r w:rsidRPr="00964A71">
        <w:rPr>
          <w:rFonts w:cs="Times New Roman"/>
          <w:b/>
          <w:color w:val="000000" w:themeColor="text1"/>
        </w:rPr>
        <w:t xml:space="preserve">BCFTOOLS </w:t>
      </w:r>
      <w:r w:rsidRPr="00964A71">
        <w:rPr>
          <w:rFonts w:cs="Times New Roman"/>
          <w:color w:val="000000" w:themeColor="text1"/>
        </w:rPr>
        <w:t>variant calling we used multiallelic calling model with the following parameters:</w:t>
      </w:r>
    </w:p>
    <w:p w14:paraId="4B01BE6E"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bcftools mpileup -Q30 -Ou -f hg38.fasta \</w:t>
      </w:r>
    </w:p>
    <w:p w14:paraId="1CF34E77"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SAMPLE1.bam \</w:t>
      </w:r>
    </w:p>
    <w:p w14:paraId="3D15F02A"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SAMPLE2.bam \</w:t>
      </w:r>
    </w:p>
    <w:p w14:paraId="0DAB594C"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SAMPLE390.bam | bcftools call -mv -Oz -o bcf.cohort.vcf.gz</w:t>
      </w:r>
    </w:p>
    <w:p w14:paraId="018D6A84" w14:textId="77777777" w:rsidR="00964A71" w:rsidRPr="00964A71" w:rsidRDefault="00964A71" w:rsidP="00211E6A">
      <w:pPr>
        <w:spacing w:line="276" w:lineRule="auto"/>
        <w:contextualSpacing/>
        <w:jc w:val="both"/>
        <w:rPr>
          <w:rFonts w:cs="Times New Roman"/>
          <w:color w:val="000000" w:themeColor="text1"/>
        </w:rPr>
      </w:pPr>
    </w:p>
    <w:p w14:paraId="293BFC62"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 xml:space="preserve">Raw variants called from GATK were filtered on minimum depth (DP) of 10, minimum genotype quality (GQ) of 20 and genotype call rate of 90% using VCFTOOLS. Following GATK guidelines, we filtered variants that had excess heterozygosity (&gt; 54.69) and further filtered the data using machine learning framework implemented in GATK’s Variant Quality Score Recalibration (VQSR) with the above-mentioned annotation features and the following training data sets: </w:t>
      </w:r>
    </w:p>
    <w:p w14:paraId="7D4DF871" w14:textId="77777777" w:rsidR="00964A71" w:rsidRPr="00964A71" w:rsidRDefault="00964A71" w:rsidP="00211E6A">
      <w:pPr>
        <w:spacing w:line="276" w:lineRule="auto"/>
        <w:contextualSpacing/>
        <w:jc w:val="both"/>
        <w:rPr>
          <w:rFonts w:cs="Times New Roman"/>
          <w:color w:val="000000" w:themeColor="text1"/>
        </w:rPr>
      </w:pPr>
    </w:p>
    <w:p w14:paraId="3340FF46" w14:textId="77777777" w:rsidR="00964A71" w:rsidRPr="00964A71" w:rsidRDefault="00964A71" w:rsidP="00211E6A">
      <w:pPr>
        <w:spacing w:line="276" w:lineRule="auto"/>
        <w:contextualSpacing/>
        <w:jc w:val="both"/>
        <w:rPr>
          <w:rFonts w:cs="Times New Roman"/>
          <w:b/>
          <w:color w:val="000000" w:themeColor="text1"/>
        </w:rPr>
      </w:pPr>
      <w:r w:rsidRPr="00964A71">
        <w:rPr>
          <w:rFonts w:cs="Times New Roman"/>
          <w:b/>
          <w:color w:val="000000" w:themeColor="text1"/>
        </w:rPr>
        <w:t>INDELs</w:t>
      </w:r>
    </w:p>
    <w:p w14:paraId="5F8DF82B"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Mills_and_1000G_gold_standard.indels.hg38.vcf (prior=12.0)</w:t>
      </w:r>
    </w:p>
    <w:p w14:paraId="64767E5C"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dbsnp151.vcf (prior=2.0)</w:t>
      </w:r>
    </w:p>
    <w:p w14:paraId="30DA691D" w14:textId="77777777" w:rsidR="00964A71" w:rsidRPr="00964A71" w:rsidRDefault="00964A71" w:rsidP="00211E6A">
      <w:pPr>
        <w:spacing w:line="276" w:lineRule="auto"/>
        <w:contextualSpacing/>
        <w:jc w:val="both"/>
        <w:rPr>
          <w:rFonts w:cs="Times New Roman"/>
          <w:color w:val="000000" w:themeColor="text1"/>
        </w:rPr>
      </w:pPr>
    </w:p>
    <w:p w14:paraId="45FF4145" w14:textId="77777777" w:rsidR="00964A71" w:rsidRPr="00964A71" w:rsidRDefault="00964A71" w:rsidP="00211E6A">
      <w:pPr>
        <w:spacing w:line="276" w:lineRule="auto"/>
        <w:contextualSpacing/>
        <w:jc w:val="both"/>
        <w:rPr>
          <w:rFonts w:cs="Times New Roman"/>
          <w:b/>
          <w:color w:val="000000" w:themeColor="text1"/>
        </w:rPr>
      </w:pPr>
      <w:r w:rsidRPr="00964A71">
        <w:rPr>
          <w:rFonts w:cs="Times New Roman"/>
          <w:b/>
          <w:color w:val="000000" w:themeColor="text1"/>
        </w:rPr>
        <w:t>SNVs</w:t>
      </w:r>
    </w:p>
    <w:p w14:paraId="6C77D5B2"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hapmap_3.3.hg38.vcf (prior=15.0)</w:t>
      </w:r>
    </w:p>
    <w:p w14:paraId="4C4E0181"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1000G_omni2.5.hg38.vcf (prior=12.0)</w:t>
      </w:r>
    </w:p>
    <w:p w14:paraId="679C84CF"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1000G_phase1.snps.high_confidence.hg38.vcf (prior=10.0)</w:t>
      </w:r>
    </w:p>
    <w:p w14:paraId="7A9FD5F5"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dbsnp151.vcf (prior=7.0)</w:t>
      </w:r>
    </w:p>
    <w:p w14:paraId="60E01342"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lastRenderedPageBreak/>
        <w:t xml:space="preserve">The training models were applied to the data using GATK’s ApplyVQSR with truth sensitivity level of 99.9%. </w:t>
      </w:r>
    </w:p>
    <w:p w14:paraId="0F4FC38A" w14:textId="77777777" w:rsidR="00964A71" w:rsidRPr="00964A71" w:rsidRDefault="00964A71" w:rsidP="00211E6A">
      <w:pPr>
        <w:spacing w:line="276" w:lineRule="auto"/>
        <w:contextualSpacing/>
        <w:jc w:val="both"/>
        <w:rPr>
          <w:rFonts w:cs="Times New Roman"/>
          <w:color w:val="000000" w:themeColor="text1"/>
        </w:rPr>
      </w:pPr>
    </w:p>
    <w:p w14:paraId="020D4294" w14:textId="77777777" w:rsidR="00964A71" w:rsidRPr="00964A71" w:rsidRDefault="00964A71" w:rsidP="00211E6A">
      <w:pPr>
        <w:spacing w:line="276" w:lineRule="auto"/>
        <w:contextualSpacing/>
        <w:jc w:val="both"/>
        <w:rPr>
          <w:rFonts w:cs="Times New Roman"/>
          <w:color w:val="000000" w:themeColor="text1"/>
        </w:rPr>
      </w:pPr>
      <w:r w:rsidRPr="00964A71">
        <w:rPr>
          <w:rFonts w:cs="Times New Roman"/>
          <w:color w:val="000000" w:themeColor="text1"/>
        </w:rPr>
        <w:t>We used the following filters on the BCFtools call set: and the following filters: depth (DP) &gt; 10; mapping quality (MQ) &gt; 30; variant quality (QUAL) &gt; 20; &lt;10% missing genotypes; &lt;10% heterozygosity; and filtering SNP within 3bp around a gap (--SnpGap 3).</w:t>
      </w:r>
    </w:p>
    <w:p w14:paraId="47FA2ED2" w14:textId="77777777" w:rsidR="00964A71" w:rsidRPr="00964A71" w:rsidRDefault="00964A71" w:rsidP="00964A71">
      <w:pPr>
        <w:spacing w:line="276" w:lineRule="auto"/>
        <w:contextualSpacing/>
        <w:rPr>
          <w:rFonts w:eastAsiaTheme="majorEastAsia" w:cs="Times New Roman"/>
          <w:b/>
          <w:bCs/>
          <w:color w:val="000000" w:themeColor="text1"/>
        </w:rPr>
      </w:pPr>
    </w:p>
    <w:p w14:paraId="63E2F89E" w14:textId="77777777" w:rsidR="00964A71" w:rsidRPr="00964A71" w:rsidRDefault="00964A71" w:rsidP="00964A71">
      <w:pPr>
        <w:spacing w:line="276" w:lineRule="auto"/>
        <w:contextualSpacing/>
        <w:rPr>
          <w:rFonts w:cs="Times New Roman"/>
          <w:b/>
          <w:bCs/>
          <w:i/>
          <w:color w:val="000000" w:themeColor="text1"/>
        </w:rPr>
      </w:pPr>
      <w:r w:rsidRPr="00964A71">
        <w:rPr>
          <w:rFonts w:eastAsiaTheme="majorEastAsia" w:cs="Times New Roman"/>
          <w:b/>
          <w:bCs/>
          <w:i/>
          <w:color w:val="000000" w:themeColor="text1"/>
        </w:rPr>
        <w:t>List and description of software and tools used</w:t>
      </w:r>
    </w:p>
    <w:p w14:paraId="1568A66F" w14:textId="77777777" w:rsidR="00964A71" w:rsidRPr="00964A71" w:rsidRDefault="00964A71" w:rsidP="00964A71">
      <w:pPr>
        <w:rPr>
          <w:rFonts w:cs="Times New Roman"/>
          <w:color w:val="000000" w:themeColor="text1"/>
        </w:rPr>
      </w:pPr>
    </w:p>
    <w:tbl>
      <w:tblPr>
        <w:tblStyle w:val="TableGrid"/>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828"/>
        <w:gridCol w:w="3114"/>
      </w:tblGrid>
      <w:tr w:rsidR="00964A71" w:rsidRPr="00964A71" w14:paraId="6D437DCA" w14:textId="77777777" w:rsidTr="00537AD7">
        <w:tc>
          <w:tcPr>
            <w:tcW w:w="2835" w:type="dxa"/>
            <w:tcBorders>
              <w:top w:val="single" w:sz="18" w:space="0" w:color="auto"/>
              <w:bottom w:val="single" w:sz="18" w:space="0" w:color="auto"/>
            </w:tcBorders>
            <w:shd w:val="clear" w:color="auto" w:fill="B8CCE4" w:themeFill="accent1" w:themeFillTint="66"/>
          </w:tcPr>
          <w:p w14:paraId="6AC5AC6A" w14:textId="77777777" w:rsidR="00964A71" w:rsidRPr="00964A71" w:rsidRDefault="00964A71" w:rsidP="00CD176C">
            <w:pPr>
              <w:rPr>
                <w:rFonts w:cs="Times New Roman"/>
                <w:b/>
                <w:color w:val="000000" w:themeColor="text1"/>
              </w:rPr>
            </w:pPr>
            <w:r w:rsidRPr="00964A71">
              <w:rPr>
                <w:rFonts w:cs="Times New Roman"/>
                <w:b/>
                <w:color w:val="000000" w:themeColor="text1"/>
              </w:rPr>
              <w:t>Software</w:t>
            </w:r>
          </w:p>
        </w:tc>
        <w:tc>
          <w:tcPr>
            <w:tcW w:w="3828" w:type="dxa"/>
            <w:tcBorders>
              <w:top w:val="single" w:sz="18" w:space="0" w:color="auto"/>
              <w:bottom w:val="single" w:sz="18" w:space="0" w:color="auto"/>
            </w:tcBorders>
            <w:shd w:val="clear" w:color="auto" w:fill="B8CCE4" w:themeFill="accent1" w:themeFillTint="66"/>
          </w:tcPr>
          <w:p w14:paraId="3C745246" w14:textId="77777777" w:rsidR="00964A71" w:rsidRPr="00964A71" w:rsidRDefault="00964A71" w:rsidP="00CD176C">
            <w:pPr>
              <w:rPr>
                <w:rFonts w:cs="Times New Roman"/>
                <w:b/>
                <w:color w:val="000000" w:themeColor="text1"/>
              </w:rPr>
            </w:pPr>
            <w:r w:rsidRPr="00964A71">
              <w:rPr>
                <w:rFonts w:cs="Times New Roman"/>
                <w:b/>
                <w:color w:val="000000" w:themeColor="text1"/>
              </w:rPr>
              <w:t>URL</w:t>
            </w:r>
          </w:p>
        </w:tc>
        <w:tc>
          <w:tcPr>
            <w:tcW w:w="3114" w:type="dxa"/>
            <w:tcBorders>
              <w:top w:val="single" w:sz="18" w:space="0" w:color="auto"/>
              <w:bottom w:val="single" w:sz="18" w:space="0" w:color="auto"/>
            </w:tcBorders>
            <w:shd w:val="clear" w:color="auto" w:fill="B8CCE4" w:themeFill="accent1" w:themeFillTint="66"/>
          </w:tcPr>
          <w:p w14:paraId="55851355" w14:textId="77777777" w:rsidR="00964A71" w:rsidRPr="00964A71" w:rsidRDefault="00964A71" w:rsidP="00CD176C">
            <w:pPr>
              <w:rPr>
                <w:rFonts w:cs="Times New Roman"/>
                <w:b/>
                <w:color w:val="000000" w:themeColor="text1"/>
              </w:rPr>
            </w:pPr>
            <w:r w:rsidRPr="00964A71">
              <w:rPr>
                <w:rFonts w:cs="Times New Roman"/>
                <w:b/>
                <w:color w:val="000000" w:themeColor="text1"/>
              </w:rPr>
              <w:t>Use</w:t>
            </w:r>
          </w:p>
        </w:tc>
      </w:tr>
      <w:tr w:rsidR="00964A71" w:rsidRPr="00964A71" w14:paraId="0BED0B89" w14:textId="77777777" w:rsidTr="00537AD7">
        <w:tc>
          <w:tcPr>
            <w:tcW w:w="2835" w:type="dxa"/>
            <w:tcBorders>
              <w:top w:val="single" w:sz="18" w:space="0" w:color="auto"/>
            </w:tcBorders>
          </w:tcPr>
          <w:p w14:paraId="513DAD63" w14:textId="77777777" w:rsidR="00964A71" w:rsidRPr="00964A71" w:rsidRDefault="00964A71" w:rsidP="00CD176C">
            <w:pPr>
              <w:rPr>
                <w:rFonts w:cs="Times New Roman"/>
                <w:color w:val="000000" w:themeColor="text1"/>
              </w:rPr>
            </w:pPr>
            <w:r w:rsidRPr="00964A71">
              <w:rPr>
                <w:rFonts w:cs="Times New Roman"/>
                <w:color w:val="000000" w:themeColor="text1"/>
              </w:rPr>
              <w:t>FastQC</w:t>
            </w:r>
          </w:p>
        </w:tc>
        <w:tc>
          <w:tcPr>
            <w:tcW w:w="3828" w:type="dxa"/>
            <w:tcBorders>
              <w:top w:val="single" w:sz="18" w:space="0" w:color="auto"/>
            </w:tcBorders>
          </w:tcPr>
          <w:p w14:paraId="74ADA044" w14:textId="4AE085D3" w:rsidR="00964A71" w:rsidRPr="00964A71" w:rsidRDefault="00486328" w:rsidP="00CD176C">
            <w:pPr>
              <w:rPr>
                <w:rFonts w:eastAsia="Times New Roman" w:cs="Times New Roman"/>
                <w:color w:val="000000" w:themeColor="text1"/>
              </w:rPr>
            </w:pPr>
            <w:hyperlink r:id="rId12" w:tgtFrame="_blank" w:history="1">
              <w:r w:rsidR="00964A71" w:rsidRPr="00964A71">
                <w:rPr>
                  <w:rFonts w:eastAsia="Times New Roman" w:cs="Times New Roman"/>
                  <w:color w:val="000000" w:themeColor="text1"/>
                  <w:u w:val="single"/>
                </w:rPr>
                <w:t>https://www.bioinformatics.babraham.ac.uk/projects/fastqc/</w:t>
              </w:r>
            </w:hyperlink>
          </w:p>
        </w:tc>
        <w:tc>
          <w:tcPr>
            <w:tcW w:w="3114" w:type="dxa"/>
            <w:tcBorders>
              <w:top w:val="single" w:sz="18" w:space="0" w:color="auto"/>
            </w:tcBorders>
          </w:tcPr>
          <w:p w14:paraId="43EA3B2D" w14:textId="77777777" w:rsidR="00964A71" w:rsidRPr="00964A71" w:rsidRDefault="00964A71" w:rsidP="00CD176C">
            <w:pPr>
              <w:rPr>
                <w:rFonts w:cs="Times New Roman"/>
                <w:color w:val="000000" w:themeColor="text1"/>
              </w:rPr>
            </w:pPr>
            <w:r w:rsidRPr="00964A71">
              <w:rPr>
                <w:rFonts w:cs="Times New Roman"/>
                <w:color w:val="000000" w:themeColor="text1"/>
              </w:rPr>
              <w:t>Quality control of raw sequence data</w:t>
            </w:r>
          </w:p>
        </w:tc>
      </w:tr>
      <w:tr w:rsidR="00964A71" w:rsidRPr="00964A71" w14:paraId="392C4870" w14:textId="77777777" w:rsidTr="00537AD7">
        <w:tc>
          <w:tcPr>
            <w:tcW w:w="2835" w:type="dxa"/>
            <w:shd w:val="clear" w:color="auto" w:fill="B8CCE4" w:themeFill="accent1" w:themeFillTint="66"/>
          </w:tcPr>
          <w:p w14:paraId="1FE0469C" w14:textId="77777777" w:rsidR="00964A71" w:rsidRPr="00964A71" w:rsidRDefault="00964A71" w:rsidP="00CD176C">
            <w:pPr>
              <w:rPr>
                <w:rFonts w:cs="Times New Roman"/>
                <w:color w:val="000000" w:themeColor="text1"/>
              </w:rPr>
            </w:pPr>
            <w:r w:rsidRPr="00964A71">
              <w:rPr>
                <w:rFonts w:cs="Times New Roman"/>
                <w:color w:val="000000" w:themeColor="text1"/>
              </w:rPr>
              <w:t>Trimmomatic</w:t>
            </w:r>
          </w:p>
        </w:tc>
        <w:tc>
          <w:tcPr>
            <w:tcW w:w="3828" w:type="dxa"/>
            <w:shd w:val="clear" w:color="auto" w:fill="B8CCE4" w:themeFill="accent1" w:themeFillTint="66"/>
          </w:tcPr>
          <w:p w14:paraId="7A019F37" w14:textId="77777777" w:rsidR="00964A71" w:rsidRPr="00964A71" w:rsidRDefault="00486328" w:rsidP="00CD176C">
            <w:pPr>
              <w:rPr>
                <w:rFonts w:eastAsia="Times New Roman" w:cs="Times New Roman"/>
                <w:color w:val="000000" w:themeColor="text1"/>
              </w:rPr>
            </w:pPr>
            <w:hyperlink r:id="rId13" w:tgtFrame="_blank" w:history="1">
              <w:r w:rsidR="00964A71" w:rsidRPr="00964A71">
                <w:rPr>
                  <w:rFonts w:eastAsia="Times New Roman" w:cs="Times New Roman"/>
                  <w:color w:val="000000" w:themeColor="text1"/>
                  <w:u w:val="single"/>
                </w:rPr>
                <w:t>https://github.com/usadellab/Trimmomatic</w:t>
              </w:r>
            </w:hyperlink>
          </w:p>
        </w:tc>
        <w:tc>
          <w:tcPr>
            <w:tcW w:w="3114" w:type="dxa"/>
            <w:shd w:val="clear" w:color="auto" w:fill="B8CCE4" w:themeFill="accent1" w:themeFillTint="66"/>
          </w:tcPr>
          <w:p w14:paraId="2B460B4D" w14:textId="77777777" w:rsidR="00964A71" w:rsidRPr="00964A71" w:rsidRDefault="00964A71" w:rsidP="00CD176C">
            <w:pPr>
              <w:rPr>
                <w:rFonts w:cs="Times New Roman"/>
                <w:color w:val="000000" w:themeColor="text1"/>
              </w:rPr>
            </w:pPr>
            <w:r w:rsidRPr="00964A71">
              <w:rPr>
                <w:rFonts w:cs="Times New Roman"/>
                <w:color w:val="000000" w:themeColor="text1"/>
              </w:rPr>
              <w:t>Trimming poor quality reads and removal of adapter sequences</w:t>
            </w:r>
          </w:p>
        </w:tc>
      </w:tr>
      <w:tr w:rsidR="00964A71" w:rsidRPr="00964A71" w14:paraId="3F0E9A64" w14:textId="77777777" w:rsidTr="00537AD7">
        <w:tc>
          <w:tcPr>
            <w:tcW w:w="2835" w:type="dxa"/>
          </w:tcPr>
          <w:p w14:paraId="72E3C4C1" w14:textId="77777777" w:rsidR="00964A71" w:rsidRPr="00964A71" w:rsidRDefault="00964A71" w:rsidP="00CD176C">
            <w:pPr>
              <w:rPr>
                <w:rFonts w:cs="Times New Roman"/>
                <w:color w:val="000000" w:themeColor="text1"/>
              </w:rPr>
            </w:pPr>
            <w:r w:rsidRPr="00964A71">
              <w:rPr>
                <w:rFonts w:cs="Times New Roman"/>
                <w:color w:val="000000" w:themeColor="text1"/>
              </w:rPr>
              <w:t>Burrows-Wheeler Aligner</w:t>
            </w:r>
          </w:p>
        </w:tc>
        <w:tc>
          <w:tcPr>
            <w:tcW w:w="3828" w:type="dxa"/>
          </w:tcPr>
          <w:p w14:paraId="49BF625D" w14:textId="227ABFD4" w:rsidR="00964A71" w:rsidRPr="00964A71" w:rsidRDefault="00486328" w:rsidP="00CD176C">
            <w:pPr>
              <w:rPr>
                <w:rFonts w:eastAsia="Times New Roman" w:cs="Times New Roman"/>
                <w:color w:val="000000" w:themeColor="text1"/>
              </w:rPr>
            </w:pPr>
            <w:hyperlink r:id="rId14" w:tgtFrame="_blank" w:history="1">
              <w:r w:rsidR="00964A71" w:rsidRPr="00964A71">
                <w:rPr>
                  <w:rFonts w:eastAsia="Times New Roman" w:cs="Times New Roman"/>
                  <w:color w:val="000000" w:themeColor="text1"/>
                  <w:u w:val="single"/>
                </w:rPr>
                <w:t>https://sourceforge.net/projects/bio-bwa/</w:t>
              </w:r>
            </w:hyperlink>
          </w:p>
        </w:tc>
        <w:tc>
          <w:tcPr>
            <w:tcW w:w="3114" w:type="dxa"/>
          </w:tcPr>
          <w:p w14:paraId="4E2D687E" w14:textId="77777777" w:rsidR="00964A71" w:rsidRPr="00964A71" w:rsidRDefault="00964A71" w:rsidP="00CD176C">
            <w:pPr>
              <w:rPr>
                <w:rFonts w:cs="Times New Roman"/>
                <w:color w:val="000000" w:themeColor="text1"/>
              </w:rPr>
            </w:pPr>
            <w:r w:rsidRPr="00964A71">
              <w:rPr>
                <w:rFonts w:cs="Times New Roman"/>
                <w:color w:val="000000" w:themeColor="text1"/>
              </w:rPr>
              <w:t>Read alignment</w:t>
            </w:r>
          </w:p>
        </w:tc>
      </w:tr>
      <w:tr w:rsidR="00964A71" w:rsidRPr="00964A71" w14:paraId="31988CE9" w14:textId="77777777" w:rsidTr="00537AD7">
        <w:tc>
          <w:tcPr>
            <w:tcW w:w="2835" w:type="dxa"/>
            <w:shd w:val="clear" w:color="auto" w:fill="B8CCE4" w:themeFill="accent1" w:themeFillTint="66"/>
          </w:tcPr>
          <w:p w14:paraId="2E45C865" w14:textId="77777777" w:rsidR="00964A71" w:rsidRPr="00964A71" w:rsidRDefault="00964A71" w:rsidP="00CD176C">
            <w:pPr>
              <w:rPr>
                <w:rFonts w:cs="Times New Roman"/>
                <w:color w:val="000000" w:themeColor="text1"/>
              </w:rPr>
            </w:pPr>
            <w:r w:rsidRPr="00964A71">
              <w:rPr>
                <w:rFonts w:cs="Times New Roman"/>
                <w:color w:val="000000" w:themeColor="text1"/>
              </w:rPr>
              <w:t>Picard tools</w:t>
            </w:r>
          </w:p>
        </w:tc>
        <w:tc>
          <w:tcPr>
            <w:tcW w:w="3828" w:type="dxa"/>
            <w:shd w:val="clear" w:color="auto" w:fill="B8CCE4" w:themeFill="accent1" w:themeFillTint="66"/>
          </w:tcPr>
          <w:p w14:paraId="46258AE8" w14:textId="77777777" w:rsidR="00964A71" w:rsidRPr="00964A71" w:rsidRDefault="00486328" w:rsidP="00CD176C">
            <w:pPr>
              <w:rPr>
                <w:rFonts w:eastAsia="Times New Roman" w:cs="Times New Roman"/>
                <w:color w:val="000000" w:themeColor="text1"/>
              </w:rPr>
            </w:pPr>
            <w:hyperlink r:id="rId15" w:tgtFrame="_blank" w:history="1">
              <w:r w:rsidR="00964A71" w:rsidRPr="00964A71">
                <w:rPr>
                  <w:rFonts w:eastAsia="Times New Roman" w:cs="Times New Roman"/>
                  <w:color w:val="000000" w:themeColor="text1"/>
                  <w:u w:val="single"/>
                </w:rPr>
                <w:t>https://broadinstitute.github.io/picard/</w:t>
              </w:r>
            </w:hyperlink>
          </w:p>
          <w:p w14:paraId="294EB34F" w14:textId="77777777" w:rsidR="00964A71" w:rsidRPr="00964A71" w:rsidRDefault="00964A71" w:rsidP="00CD176C">
            <w:pPr>
              <w:rPr>
                <w:rFonts w:cs="Times New Roman"/>
                <w:color w:val="000000" w:themeColor="text1"/>
              </w:rPr>
            </w:pPr>
          </w:p>
        </w:tc>
        <w:tc>
          <w:tcPr>
            <w:tcW w:w="3114" w:type="dxa"/>
            <w:shd w:val="clear" w:color="auto" w:fill="B8CCE4" w:themeFill="accent1" w:themeFillTint="66"/>
          </w:tcPr>
          <w:p w14:paraId="4B41AD0C" w14:textId="77777777" w:rsidR="00964A71" w:rsidRPr="00964A71" w:rsidRDefault="00964A71" w:rsidP="00CD176C">
            <w:pPr>
              <w:rPr>
                <w:rFonts w:cs="Times New Roman"/>
                <w:color w:val="000000" w:themeColor="text1"/>
              </w:rPr>
            </w:pPr>
            <w:r w:rsidRPr="00964A71">
              <w:rPr>
                <w:rFonts w:cs="Times New Roman"/>
                <w:color w:val="000000" w:themeColor="text1"/>
              </w:rPr>
              <w:t>Post-alignement quality control and manipulation of NGS read data</w:t>
            </w:r>
          </w:p>
        </w:tc>
      </w:tr>
      <w:tr w:rsidR="00964A71" w:rsidRPr="00964A71" w14:paraId="6DB6FF18" w14:textId="77777777" w:rsidTr="00537AD7">
        <w:tc>
          <w:tcPr>
            <w:tcW w:w="2835" w:type="dxa"/>
          </w:tcPr>
          <w:p w14:paraId="4462A188" w14:textId="77777777" w:rsidR="00964A71" w:rsidRPr="00964A71" w:rsidRDefault="00964A71" w:rsidP="00CD176C">
            <w:pPr>
              <w:rPr>
                <w:rFonts w:cs="Times New Roman"/>
                <w:color w:val="000000" w:themeColor="text1"/>
              </w:rPr>
            </w:pPr>
            <w:r w:rsidRPr="00964A71">
              <w:rPr>
                <w:rFonts w:cs="Times New Roman"/>
                <w:color w:val="000000" w:themeColor="text1"/>
              </w:rPr>
              <w:t>SAMtools</w:t>
            </w:r>
          </w:p>
        </w:tc>
        <w:tc>
          <w:tcPr>
            <w:tcW w:w="3828" w:type="dxa"/>
          </w:tcPr>
          <w:p w14:paraId="081DE4B5" w14:textId="5A1DE921" w:rsidR="00964A71" w:rsidRPr="00964A71" w:rsidRDefault="00486328" w:rsidP="00CD176C">
            <w:pPr>
              <w:rPr>
                <w:rFonts w:eastAsia="Times New Roman" w:cs="Times New Roman"/>
                <w:color w:val="000000" w:themeColor="text1"/>
              </w:rPr>
            </w:pPr>
            <w:hyperlink r:id="rId16" w:tgtFrame="_blank" w:history="1">
              <w:r w:rsidR="00964A71" w:rsidRPr="00964A71">
                <w:rPr>
                  <w:rFonts w:eastAsia="Times New Roman" w:cs="Times New Roman"/>
                  <w:color w:val="000000" w:themeColor="text1"/>
                  <w:u w:val="single"/>
                </w:rPr>
                <w:t>http://www.htslib.org</w:t>
              </w:r>
            </w:hyperlink>
          </w:p>
        </w:tc>
        <w:tc>
          <w:tcPr>
            <w:tcW w:w="3114" w:type="dxa"/>
          </w:tcPr>
          <w:p w14:paraId="7DDBA0DB" w14:textId="77777777" w:rsidR="00964A71" w:rsidRPr="00964A71" w:rsidRDefault="00964A71" w:rsidP="00CD176C">
            <w:pPr>
              <w:rPr>
                <w:rFonts w:cs="Times New Roman"/>
                <w:color w:val="000000" w:themeColor="text1"/>
              </w:rPr>
            </w:pPr>
            <w:r w:rsidRPr="00964A71">
              <w:rPr>
                <w:rFonts w:cs="Times New Roman"/>
                <w:color w:val="000000" w:themeColor="text1"/>
              </w:rPr>
              <w:t>Interacting with and post-processing of read alignments</w:t>
            </w:r>
          </w:p>
        </w:tc>
      </w:tr>
      <w:tr w:rsidR="00964A71" w:rsidRPr="00964A71" w14:paraId="7FD6A772" w14:textId="77777777" w:rsidTr="00537AD7">
        <w:tc>
          <w:tcPr>
            <w:tcW w:w="2835" w:type="dxa"/>
            <w:shd w:val="clear" w:color="auto" w:fill="B8CCE4" w:themeFill="accent1" w:themeFillTint="66"/>
          </w:tcPr>
          <w:p w14:paraId="20654092" w14:textId="77777777" w:rsidR="00964A71" w:rsidRPr="00964A71" w:rsidRDefault="00964A71" w:rsidP="00CD176C">
            <w:pPr>
              <w:rPr>
                <w:rFonts w:cs="Times New Roman"/>
                <w:color w:val="000000" w:themeColor="text1"/>
              </w:rPr>
            </w:pPr>
            <w:r w:rsidRPr="00964A71">
              <w:rPr>
                <w:rFonts w:cs="Times New Roman"/>
                <w:color w:val="000000" w:themeColor="text1"/>
              </w:rPr>
              <w:t>Genome Analysis Toolkit (GATK)</w:t>
            </w:r>
          </w:p>
        </w:tc>
        <w:tc>
          <w:tcPr>
            <w:tcW w:w="3828" w:type="dxa"/>
            <w:shd w:val="clear" w:color="auto" w:fill="B8CCE4" w:themeFill="accent1" w:themeFillTint="66"/>
          </w:tcPr>
          <w:p w14:paraId="676AD676" w14:textId="77777777" w:rsidR="00964A71" w:rsidRPr="00964A71" w:rsidRDefault="00486328" w:rsidP="00CD176C">
            <w:pPr>
              <w:rPr>
                <w:rFonts w:cs="Times New Roman"/>
                <w:color w:val="000000" w:themeColor="text1"/>
              </w:rPr>
            </w:pPr>
            <w:hyperlink r:id="rId17" w:history="1">
              <w:r w:rsidR="00964A71" w:rsidRPr="00964A71">
                <w:rPr>
                  <w:rStyle w:val="Hyperlink"/>
                  <w:color w:val="000000" w:themeColor="text1"/>
                </w:rPr>
                <w:t>https://gatk.broadinstitute.org</w:t>
              </w:r>
            </w:hyperlink>
          </w:p>
          <w:p w14:paraId="08B25A44" w14:textId="77777777" w:rsidR="00964A71" w:rsidRPr="00964A71" w:rsidRDefault="00964A71" w:rsidP="00CD176C">
            <w:pPr>
              <w:rPr>
                <w:rFonts w:cs="Times New Roman"/>
                <w:color w:val="000000" w:themeColor="text1"/>
              </w:rPr>
            </w:pPr>
          </w:p>
        </w:tc>
        <w:tc>
          <w:tcPr>
            <w:tcW w:w="3114" w:type="dxa"/>
            <w:shd w:val="clear" w:color="auto" w:fill="B8CCE4" w:themeFill="accent1" w:themeFillTint="66"/>
          </w:tcPr>
          <w:p w14:paraId="3D3D9DAC" w14:textId="77777777" w:rsidR="00964A71" w:rsidRPr="00964A71" w:rsidRDefault="00964A71" w:rsidP="00CD176C">
            <w:pPr>
              <w:rPr>
                <w:rFonts w:cs="Times New Roman"/>
                <w:color w:val="000000" w:themeColor="text1"/>
              </w:rPr>
            </w:pPr>
            <w:r w:rsidRPr="00964A71">
              <w:rPr>
                <w:rFonts w:cs="Times New Roman"/>
                <w:color w:val="000000" w:themeColor="text1"/>
              </w:rPr>
              <w:t>Interacting with and post-processing of read alignments. Variant discovery and quality control of variants.</w:t>
            </w:r>
          </w:p>
        </w:tc>
      </w:tr>
      <w:tr w:rsidR="00964A71" w:rsidRPr="00964A71" w14:paraId="76297262" w14:textId="77777777" w:rsidTr="00537AD7">
        <w:tc>
          <w:tcPr>
            <w:tcW w:w="2835" w:type="dxa"/>
          </w:tcPr>
          <w:p w14:paraId="68E2CA0E" w14:textId="77777777" w:rsidR="00964A71" w:rsidRPr="00964A71" w:rsidRDefault="00964A71" w:rsidP="00CD176C">
            <w:pPr>
              <w:rPr>
                <w:rFonts w:cs="Times New Roman"/>
                <w:color w:val="000000" w:themeColor="text1"/>
              </w:rPr>
            </w:pPr>
            <w:r w:rsidRPr="00964A71">
              <w:rPr>
                <w:rFonts w:cs="Times New Roman"/>
                <w:color w:val="000000" w:themeColor="text1"/>
              </w:rPr>
              <w:t>MultiQC</w:t>
            </w:r>
          </w:p>
        </w:tc>
        <w:tc>
          <w:tcPr>
            <w:tcW w:w="3828" w:type="dxa"/>
          </w:tcPr>
          <w:p w14:paraId="2A9F6D06" w14:textId="48856AE8" w:rsidR="00964A71" w:rsidRPr="00964A71" w:rsidRDefault="00486328" w:rsidP="00CD176C">
            <w:pPr>
              <w:rPr>
                <w:rFonts w:eastAsia="Times New Roman" w:cs="Times New Roman"/>
                <w:color w:val="000000" w:themeColor="text1"/>
              </w:rPr>
            </w:pPr>
            <w:hyperlink r:id="rId18" w:tgtFrame="_blank" w:history="1">
              <w:r w:rsidR="00964A71" w:rsidRPr="00964A71">
                <w:rPr>
                  <w:rFonts w:eastAsia="Times New Roman" w:cs="Times New Roman"/>
                  <w:color w:val="000000" w:themeColor="text1"/>
                  <w:u w:val="single"/>
                </w:rPr>
                <w:t>https://multiqc.info</w:t>
              </w:r>
            </w:hyperlink>
          </w:p>
        </w:tc>
        <w:tc>
          <w:tcPr>
            <w:tcW w:w="3114" w:type="dxa"/>
          </w:tcPr>
          <w:p w14:paraId="41265220" w14:textId="77777777" w:rsidR="00964A71" w:rsidRPr="00964A71" w:rsidRDefault="00964A71" w:rsidP="00CD176C">
            <w:pPr>
              <w:rPr>
                <w:rFonts w:cs="Times New Roman"/>
                <w:color w:val="000000" w:themeColor="text1"/>
              </w:rPr>
            </w:pPr>
            <w:r w:rsidRPr="00964A71">
              <w:rPr>
                <w:rFonts w:cs="Times New Roman"/>
                <w:color w:val="000000" w:themeColor="text1"/>
              </w:rPr>
              <w:t>Aggregation of FASTQC results into a single report.</w:t>
            </w:r>
          </w:p>
        </w:tc>
      </w:tr>
      <w:tr w:rsidR="00964A71" w:rsidRPr="00964A71" w14:paraId="07286923" w14:textId="77777777" w:rsidTr="00537AD7">
        <w:tc>
          <w:tcPr>
            <w:tcW w:w="2835" w:type="dxa"/>
            <w:shd w:val="clear" w:color="auto" w:fill="B8CCE4" w:themeFill="accent1" w:themeFillTint="66"/>
          </w:tcPr>
          <w:p w14:paraId="2F1614DC" w14:textId="77777777" w:rsidR="00964A71" w:rsidRPr="00964A71" w:rsidRDefault="00964A71" w:rsidP="00CD176C">
            <w:pPr>
              <w:rPr>
                <w:rFonts w:cs="Times New Roman"/>
                <w:color w:val="000000" w:themeColor="text1"/>
              </w:rPr>
            </w:pPr>
            <w:r w:rsidRPr="00964A71">
              <w:rPr>
                <w:rFonts w:cs="Times New Roman"/>
                <w:color w:val="000000" w:themeColor="text1"/>
              </w:rPr>
              <w:t>BCFtools</w:t>
            </w:r>
          </w:p>
        </w:tc>
        <w:tc>
          <w:tcPr>
            <w:tcW w:w="3828" w:type="dxa"/>
            <w:shd w:val="clear" w:color="auto" w:fill="B8CCE4" w:themeFill="accent1" w:themeFillTint="66"/>
          </w:tcPr>
          <w:p w14:paraId="7D2B0E1D" w14:textId="77777777" w:rsidR="00964A71" w:rsidRPr="00964A71" w:rsidRDefault="00486328" w:rsidP="00CD176C">
            <w:pPr>
              <w:rPr>
                <w:rFonts w:eastAsia="Times New Roman" w:cs="Times New Roman"/>
                <w:color w:val="000000" w:themeColor="text1"/>
              </w:rPr>
            </w:pPr>
            <w:hyperlink r:id="rId19" w:tgtFrame="_blank" w:history="1">
              <w:r w:rsidR="00964A71" w:rsidRPr="00964A71">
                <w:rPr>
                  <w:rFonts w:eastAsia="Times New Roman" w:cs="Times New Roman"/>
                  <w:color w:val="000000" w:themeColor="text1"/>
                  <w:u w:val="single"/>
                </w:rPr>
                <w:t>http://www.htslib.org</w:t>
              </w:r>
            </w:hyperlink>
          </w:p>
        </w:tc>
        <w:tc>
          <w:tcPr>
            <w:tcW w:w="3114" w:type="dxa"/>
            <w:shd w:val="clear" w:color="auto" w:fill="B8CCE4" w:themeFill="accent1" w:themeFillTint="66"/>
          </w:tcPr>
          <w:p w14:paraId="77C978B3" w14:textId="77777777" w:rsidR="00964A71" w:rsidRPr="00964A71" w:rsidRDefault="00964A71" w:rsidP="00CD176C">
            <w:pPr>
              <w:rPr>
                <w:rFonts w:cs="Times New Roman"/>
                <w:color w:val="000000" w:themeColor="text1"/>
              </w:rPr>
            </w:pPr>
            <w:r w:rsidRPr="00964A71">
              <w:rPr>
                <w:rFonts w:cs="Times New Roman"/>
                <w:color w:val="000000" w:themeColor="text1"/>
              </w:rPr>
              <w:t xml:space="preserve">Interacting with and post-processing of read alignments. Variant discovery </w:t>
            </w:r>
            <w:r w:rsidRPr="00964A71">
              <w:rPr>
                <w:rFonts w:cs="Times New Roman"/>
                <w:color w:val="000000" w:themeColor="text1"/>
              </w:rPr>
              <w:lastRenderedPageBreak/>
              <w:t xml:space="preserve">and quality control of variants. </w:t>
            </w:r>
          </w:p>
        </w:tc>
      </w:tr>
      <w:tr w:rsidR="00964A71" w:rsidRPr="00964A71" w14:paraId="2512149E" w14:textId="77777777" w:rsidTr="00537AD7">
        <w:tc>
          <w:tcPr>
            <w:tcW w:w="2835" w:type="dxa"/>
          </w:tcPr>
          <w:p w14:paraId="34560BCD" w14:textId="77777777" w:rsidR="00964A71" w:rsidRPr="00964A71" w:rsidRDefault="00964A71" w:rsidP="00CD176C">
            <w:pPr>
              <w:rPr>
                <w:rFonts w:cs="Times New Roman"/>
                <w:color w:val="000000" w:themeColor="text1"/>
              </w:rPr>
            </w:pPr>
            <w:r w:rsidRPr="00964A71">
              <w:rPr>
                <w:rFonts w:cs="Times New Roman"/>
                <w:color w:val="000000" w:themeColor="text1"/>
              </w:rPr>
              <w:lastRenderedPageBreak/>
              <w:t>VCFTOOLS</w:t>
            </w:r>
          </w:p>
        </w:tc>
        <w:tc>
          <w:tcPr>
            <w:tcW w:w="3828" w:type="dxa"/>
          </w:tcPr>
          <w:p w14:paraId="454C0FF7" w14:textId="416330E8" w:rsidR="00964A71" w:rsidRPr="00964A71" w:rsidRDefault="00486328" w:rsidP="00CD176C">
            <w:pPr>
              <w:rPr>
                <w:rFonts w:eastAsia="Times New Roman" w:cs="Times New Roman"/>
                <w:color w:val="000000" w:themeColor="text1"/>
              </w:rPr>
            </w:pPr>
            <w:hyperlink r:id="rId20" w:tgtFrame="_blank" w:history="1">
              <w:r w:rsidR="00964A71" w:rsidRPr="00964A71">
                <w:rPr>
                  <w:rFonts w:eastAsia="Times New Roman" w:cs="Times New Roman"/>
                  <w:color w:val="000000" w:themeColor="text1"/>
                  <w:u w:val="single"/>
                </w:rPr>
                <w:t>https://vcftools.github.io</w:t>
              </w:r>
            </w:hyperlink>
          </w:p>
        </w:tc>
        <w:tc>
          <w:tcPr>
            <w:tcW w:w="3114" w:type="dxa"/>
          </w:tcPr>
          <w:p w14:paraId="120D58BD" w14:textId="77777777" w:rsidR="00964A71" w:rsidRPr="00964A71" w:rsidRDefault="00964A71" w:rsidP="00CD176C">
            <w:pPr>
              <w:rPr>
                <w:rFonts w:cs="Times New Roman"/>
                <w:color w:val="000000" w:themeColor="text1"/>
              </w:rPr>
            </w:pPr>
            <w:r w:rsidRPr="00964A71">
              <w:rPr>
                <w:rFonts w:cs="Times New Roman"/>
                <w:color w:val="000000" w:themeColor="text1"/>
              </w:rPr>
              <w:t>Analysing and manipulating VCF files.</w:t>
            </w:r>
          </w:p>
        </w:tc>
      </w:tr>
      <w:tr w:rsidR="00964A71" w:rsidRPr="00964A71" w14:paraId="5C465756" w14:textId="77777777" w:rsidTr="00537AD7">
        <w:tc>
          <w:tcPr>
            <w:tcW w:w="2835" w:type="dxa"/>
            <w:shd w:val="clear" w:color="auto" w:fill="B8CCE4" w:themeFill="accent1" w:themeFillTint="66"/>
          </w:tcPr>
          <w:p w14:paraId="41ADAF97" w14:textId="77777777" w:rsidR="00964A71" w:rsidRPr="00964A71" w:rsidRDefault="00964A71" w:rsidP="00CD176C">
            <w:pPr>
              <w:rPr>
                <w:rFonts w:cs="Times New Roman"/>
                <w:color w:val="000000" w:themeColor="text1"/>
              </w:rPr>
            </w:pPr>
            <w:r w:rsidRPr="00964A71">
              <w:rPr>
                <w:rFonts w:cs="Times New Roman"/>
                <w:bCs/>
                <w:color w:val="000000" w:themeColor="text1"/>
              </w:rPr>
              <w:t>ANNOVAR</w:t>
            </w:r>
          </w:p>
        </w:tc>
        <w:tc>
          <w:tcPr>
            <w:tcW w:w="3828" w:type="dxa"/>
            <w:shd w:val="clear" w:color="auto" w:fill="B8CCE4" w:themeFill="accent1" w:themeFillTint="66"/>
          </w:tcPr>
          <w:p w14:paraId="1659871E" w14:textId="1557F9F8" w:rsidR="00964A71" w:rsidRPr="00964A71" w:rsidRDefault="00486328" w:rsidP="00CD176C">
            <w:pPr>
              <w:rPr>
                <w:rFonts w:eastAsia="Times New Roman" w:cs="Times New Roman"/>
                <w:color w:val="000000" w:themeColor="text1"/>
              </w:rPr>
            </w:pPr>
            <w:hyperlink r:id="rId21" w:tgtFrame="_blank" w:history="1">
              <w:r w:rsidR="00964A71" w:rsidRPr="00964A71">
                <w:rPr>
                  <w:rFonts w:eastAsia="Times New Roman" w:cs="Times New Roman"/>
                  <w:color w:val="000000" w:themeColor="text1"/>
                  <w:u w:val="single"/>
                </w:rPr>
                <w:t>https://annovar.openbioinformatics.org</w:t>
              </w:r>
            </w:hyperlink>
          </w:p>
        </w:tc>
        <w:tc>
          <w:tcPr>
            <w:tcW w:w="3114" w:type="dxa"/>
            <w:shd w:val="clear" w:color="auto" w:fill="B8CCE4" w:themeFill="accent1" w:themeFillTint="66"/>
          </w:tcPr>
          <w:p w14:paraId="03A140FA" w14:textId="77777777" w:rsidR="00964A71" w:rsidRPr="00964A71" w:rsidRDefault="00964A71" w:rsidP="00CD176C">
            <w:pPr>
              <w:rPr>
                <w:rFonts w:cs="Times New Roman"/>
                <w:color w:val="000000" w:themeColor="text1"/>
              </w:rPr>
            </w:pPr>
            <w:r w:rsidRPr="00964A71">
              <w:rPr>
                <w:rFonts w:cs="Times New Roman"/>
                <w:color w:val="000000" w:themeColor="text1"/>
              </w:rPr>
              <w:t>Annotate genetic variants.</w:t>
            </w:r>
          </w:p>
        </w:tc>
      </w:tr>
      <w:tr w:rsidR="00964A71" w:rsidRPr="00964A71" w14:paraId="4D20D263" w14:textId="77777777" w:rsidTr="00537AD7">
        <w:tc>
          <w:tcPr>
            <w:tcW w:w="2835" w:type="dxa"/>
          </w:tcPr>
          <w:p w14:paraId="11917801" w14:textId="77777777" w:rsidR="00964A71" w:rsidRPr="00964A71" w:rsidRDefault="00964A71" w:rsidP="00CD176C">
            <w:pPr>
              <w:rPr>
                <w:rFonts w:cs="Times New Roman"/>
                <w:color w:val="000000" w:themeColor="text1"/>
              </w:rPr>
            </w:pPr>
            <w:r w:rsidRPr="00964A71">
              <w:rPr>
                <w:rFonts w:cs="Times New Roman"/>
                <w:color w:val="000000" w:themeColor="text1"/>
              </w:rPr>
              <w:t>PLINK</w:t>
            </w:r>
          </w:p>
        </w:tc>
        <w:tc>
          <w:tcPr>
            <w:tcW w:w="3828" w:type="dxa"/>
          </w:tcPr>
          <w:p w14:paraId="14B57836" w14:textId="77777777" w:rsidR="00964A71" w:rsidRPr="00964A71" w:rsidRDefault="00486328" w:rsidP="00CD176C">
            <w:pPr>
              <w:rPr>
                <w:rFonts w:eastAsia="Times New Roman" w:cs="Times New Roman"/>
                <w:color w:val="000000" w:themeColor="text1"/>
              </w:rPr>
            </w:pPr>
            <w:hyperlink r:id="rId22" w:tgtFrame="_blank" w:history="1">
              <w:r w:rsidR="00964A71" w:rsidRPr="00964A71">
                <w:rPr>
                  <w:rFonts w:eastAsia="Times New Roman" w:cs="Times New Roman"/>
                  <w:color w:val="000000" w:themeColor="text1"/>
                  <w:u w:val="single"/>
                </w:rPr>
                <w:t>https://zzz.bwh.harvard.edu/plink/</w:t>
              </w:r>
            </w:hyperlink>
          </w:p>
        </w:tc>
        <w:tc>
          <w:tcPr>
            <w:tcW w:w="3114" w:type="dxa"/>
          </w:tcPr>
          <w:p w14:paraId="10D16BCA" w14:textId="77777777" w:rsidR="00964A71" w:rsidRPr="00964A71" w:rsidRDefault="00964A71" w:rsidP="00CD176C">
            <w:pPr>
              <w:rPr>
                <w:rFonts w:cs="Times New Roman"/>
                <w:color w:val="000000" w:themeColor="text1"/>
              </w:rPr>
            </w:pPr>
            <w:r w:rsidRPr="00964A71">
              <w:rPr>
                <w:rFonts w:cs="Times New Roman"/>
                <w:color w:val="000000" w:themeColor="text1"/>
              </w:rPr>
              <w:t>Assessment of genome-wide association and population stratification.</w:t>
            </w:r>
          </w:p>
        </w:tc>
      </w:tr>
      <w:tr w:rsidR="00964A71" w:rsidRPr="00964A71" w14:paraId="74A0A35E" w14:textId="77777777" w:rsidTr="00537AD7">
        <w:tc>
          <w:tcPr>
            <w:tcW w:w="2835" w:type="dxa"/>
            <w:shd w:val="clear" w:color="auto" w:fill="B8CCE4" w:themeFill="accent1" w:themeFillTint="66"/>
          </w:tcPr>
          <w:p w14:paraId="7F340E08" w14:textId="77777777" w:rsidR="00964A71" w:rsidRPr="00964A71" w:rsidRDefault="00964A71" w:rsidP="00CD176C">
            <w:pPr>
              <w:rPr>
                <w:rFonts w:cs="Times New Roman"/>
                <w:color w:val="000000" w:themeColor="text1"/>
              </w:rPr>
            </w:pPr>
            <w:r w:rsidRPr="00964A71">
              <w:rPr>
                <w:rFonts w:cs="Times New Roman"/>
                <w:bCs/>
                <w:color w:val="000000" w:themeColor="text1"/>
              </w:rPr>
              <w:t>GeneMANIA</w:t>
            </w:r>
          </w:p>
        </w:tc>
        <w:tc>
          <w:tcPr>
            <w:tcW w:w="3828" w:type="dxa"/>
            <w:shd w:val="clear" w:color="auto" w:fill="B8CCE4" w:themeFill="accent1" w:themeFillTint="66"/>
          </w:tcPr>
          <w:p w14:paraId="0B0B4298" w14:textId="77777777" w:rsidR="00964A71" w:rsidRPr="00964A71" w:rsidRDefault="00486328" w:rsidP="00CD176C">
            <w:pPr>
              <w:rPr>
                <w:rFonts w:eastAsia="Times New Roman" w:cs="Times New Roman"/>
                <w:color w:val="000000" w:themeColor="text1"/>
              </w:rPr>
            </w:pPr>
            <w:hyperlink r:id="rId23" w:tgtFrame="_blank" w:history="1">
              <w:r w:rsidR="00964A71" w:rsidRPr="00964A71">
                <w:rPr>
                  <w:rFonts w:eastAsia="Times New Roman" w:cs="Times New Roman"/>
                  <w:color w:val="000000" w:themeColor="text1"/>
                  <w:u w:val="single"/>
                </w:rPr>
                <w:t>https://genemania.org/</w:t>
              </w:r>
            </w:hyperlink>
          </w:p>
        </w:tc>
        <w:tc>
          <w:tcPr>
            <w:tcW w:w="3114" w:type="dxa"/>
            <w:shd w:val="clear" w:color="auto" w:fill="B8CCE4" w:themeFill="accent1" w:themeFillTint="66"/>
          </w:tcPr>
          <w:p w14:paraId="4A067418" w14:textId="77777777" w:rsidR="00964A71" w:rsidRPr="00964A71" w:rsidRDefault="00964A71" w:rsidP="00CD176C">
            <w:pPr>
              <w:rPr>
                <w:rFonts w:cs="Times New Roman"/>
                <w:color w:val="000000" w:themeColor="text1"/>
              </w:rPr>
            </w:pPr>
            <w:r w:rsidRPr="00964A71">
              <w:rPr>
                <w:rFonts w:cs="Times New Roman"/>
                <w:color w:val="000000" w:themeColor="text1"/>
              </w:rPr>
              <w:t>Prediction of gene function and construction of gene networks.</w:t>
            </w:r>
          </w:p>
        </w:tc>
      </w:tr>
      <w:tr w:rsidR="00964A71" w:rsidRPr="00964A71" w14:paraId="5119086F" w14:textId="77777777" w:rsidTr="00537AD7">
        <w:tc>
          <w:tcPr>
            <w:tcW w:w="2835" w:type="dxa"/>
          </w:tcPr>
          <w:p w14:paraId="51A84781" w14:textId="77777777" w:rsidR="00964A71" w:rsidRPr="00964A71" w:rsidRDefault="00964A71" w:rsidP="00CD176C">
            <w:pPr>
              <w:rPr>
                <w:rFonts w:cs="Times New Roman"/>
                <w:color w:val="000000" w:themeColor="text1"/>
              </w:rPr>
            </w:pPr>
            <w:r w:rsidRPr="00964A71">
              <w:rPr>
                <w:rFonts w:cs="Times New Roman"/>
                <w:color w:val="000000" w:themeColor="text1"/>
              </w:rPr>
              <w:t>Enrichr</w:t>
            </w:r>
          </w:p>
        </w:tc>
        <w:tc>
          <w:tcPr>
            <w:tcW w:w="3828" w:type="dxa"/>
          </w:tcPr>
          <w:p w14:paraId="3FCC1188" w14:textId="77777777" w:rsidR="00964A71" w:rsidRPr="00964A71" w:rsidRDefault="00486328" w:rsidP="00CD176C">
            <w:pPr>
              <w:rPr>
                <w:rFonts w:eastAsia="Times New Roman" w:cs="Times New Roman"/>
                <w:color w:val="000000" w:themeColor="text1"/>
              </w:rPr>
            </w:pPr>
            <w:hyperlink r:id="rId24" w:tgtFrame="_blank" w:history="1">
              <w:r w:rsidR="00964A71" w:rsidRPr="00964A71">
                <w:rPr>
                  <w:rFonts w:eastAsia="Times New Roman" w:cs="Times New Roman"/>
                  <w:color w:val="000000" w:themeColor="text1"/>
                  <w:u w:val="single"/>
                </w:rPr>
                <w:t>https://cran.r-project.org/web/packages/enrichR/index.html</w:t>
              </w:r>
            </w:hyperlink>
          </w:p>
        </w:tc>
        <w:tc>
          <w:tcPr>
            <w:tcW w:w="3114" w:type="dxa"/>
          </w:tcPr>
          <w:p w14:paraId="12C956F1" w14:textId="77777777" w:rsidR="00964A71" w:rsidRPr="00964A71" w:rsidRDefault="00964A71" w:rsidP="00CD176C">
            <w:pPr>
              <w:rPr>
                <w:rFonts w:cs="Times New Roman"/>
                <w:color w:val="000000" w:themeColor="text1"/>
              </w:rPr>
            </w:pPr>
            <w:r w:rsidRPr="00964A71">
              <w:rPr>
                <w:rFonts w:cs="Times New Roman"/>
                <w:color w:val="000000" w:themeColor="text1"/>
              </w:rPr>
              <w:t>Gene set enrichment analysis.</w:t>
            </w:r>
          </w:p>
        </w:tc>
      </w:tr>
      <w:tr w:rsidR="00964A71" w:rsidRPr="00964A71" w14:paraId="2FEB5BF1" w14:textId="77777777" w:rsidTr="00537AD7">
        <w:tc>
          <w:tcPr>
            <w:tcW w:w="2835" w:type="dxa"/>
            <w:shd w:val="clear" w:color="auto" w:fill="B8CCE4" w:themeFill="accent1" w:themeFillTint="66"/>
          </w:tcPr>
          <w:p w14:paraId="48655C98" w14:textId="77777777" w:rsidR="00964A71" w:rsidRPr="00964A71" w:rsidRDefault="00964A71" w:rsidP="00CD176C">
            <w:pPr>
              <w:rPr>
                <w:rFonts w:cs="Times New Roman"/>
                <w:color w:val="000000" w:themeColor="text1"/>
              </w:rPr>
            </w:pPr>
            <w:r w:rsidRPr="00964A71">
              <w:rPr>
                <w:rFonts w:cs="Times New Roman"/>
                <w:color w:val="000000" w:themeColor="text1"/>
              </w:rPr>
              <w:t xml:space="preserve">R </w:t>
            </w:r>
          </w:p>
        </w:tc>
        <w:tc>
          <w:tcPr>
            <w:tcW w:w="3828" w:type="dxa"/>
            <w:shd w:val="clear" w:color="auto" w:fill="B8CCE4" w:themeFill="accent1" w:themeFillTint="66"/>
          </w:tcPr>
          <w:p w14:paraId="739E1DFD" w14:textId="77777777" w:rsidR="00964A71" w:rsidRPr="00964A71" w:rsidRDefault="00486328" w:rsidP="00CD176C">
            <w:pPr>
              <w:rPr>
                <w:rFonts w:eastAsia="Times New Roman" w:cs="Times New Roman"/>
                <w:color w:val="000000" w:themeColor="text1"/>
              </w:rPr>
            </w:pPr>
            <w:hyperlink r:id="rId25" w:tgtFrame="_blank" w:history="1">
              <w:r w:rsidR="00964A71" w:rsidRPr="00964A71">
                <w:rPr>
                  <w:rFonts w:eastAsia="Times New Roman" w:cs="Times New Roman"/>
                  <w:color w:val="000000" w:themeColor="text1"/>
                  <w:u w:val="single"/>
                </w:rPr>
                <w:t>https://cran.r-project.org</w:t>
              </w:r>
            </w:hyperlink>
          </w:p>
        </w:tc>
        <w:tc>
          <w:tcPr>
            <w:tcW w:w="3114" w:type="dxa"/>
            <w:shd w:val="clear" w:color="auto" w:fill="B8CCE4" w:themeFill="accent1" w:themeFillTint="66"/>
          </w:tcPr>
          <w:p w14:paraId="13F16CE5" w14:textId="77777777" w:rsidR="00964A71" w:rsidRPr="00964A71" w:rsidRDefault="00964A71" w:rsidP="00CD176C">
            <w:pPr>
              <w:rPr>
                <w:rFonts w:cs="Times New Roman"/>
                <w:color w:val="000000" w:themeColor="text1"/>
              </w:rPr>
            </w:pPr>
            <w:r w:rsidRPr="00964A71">
              <w:rPr>
                <w:rFonts w:cs="Times New Roman"/>
                <w:color w:val="000000" w:themeColor="text1"/>
              </w:rPr>
              <w:t>Programming software for statistical computing and graphics.</w:t>
            </w:r>
          </w:p>
        </w:tc>
      </w:tr>
      <w:tr w:rsidR="00964A71" w:rsidRPr="00964A71" w14:paraId="3C8BF326" w14:textId="77777777" w:rsidTr="00537AD7">
        <w:tc>
          <w:tcPr>
            <w:tcW w:w="2835" w:type="dxa"/>
          </w:tcPr>
          <w:p w14:paraId="733302B7" w14:textId="77777777" w:rsidR="00964A71" w:rsidRPr="00964A71" w:rsidRDefault="00964A71" w:rsidP="00CD176C">
            <w:pPr>
              <w:rPr>
                <w:rFonts w:cs="Times New Roman"/>
                <w:color w:val="000000" w:themeColor="text1"/>
              </w:rPr>
            </w:pPr>
            <w:r w:rsidRPr="00964A71">
              <w:rPr>
                <w:rFonts w:cs="Times New Roman"/>
                <w:color w:val="000000" w:themeColor="text1"/>
              </w:rPr>
              <w:t>ADMIXTURE</w:t>
            </w:r>
          </w:p>
        </w:tc>
        <w:tc>
          <w:tcPr>
            <w:tcW w:w="3828" w:type="dxa"/>
          </w:tcPr>
          <w:p w14:paraId="06FC2257" w14:textId="77777777" w:rsidR="00964A71" w:rsidRPr="00964A71" w:rsidRDefault="00486328" w:rsidP="00CD176C">
            <w:pPr>
              <w:rPr>
                <w:rFonts w:eastAsia="Times New Roman" w:cs="Times New Roman"/>
                <w:color w:val="000000" w:themeColor="text1"/>
              </w:rPr>
            </w:pPr>
            <w:hyperlink r:id="rId26" w:tgtFrame="_blank" w:history="1">
              <w:r w:rsidR="00964A71" w:rsidRPr="00964A71">
                <w:rPr>
                  <w:rFonts w:eastAsia="Times New Roman" w:cs="Times New Roman"/>
                  <w:color w:val="000000" w:themeColor="text1"/>
                  <w:u w:val="single"/>
                </w:rPr>
                <w:t>https://dalexander.github.io/admixture/</w:t>
              </w:r>
            </w:hyperlink>
          </w:p>
          <w:p w14:paraId="11BE20D3" w14:textId="77777777" w:rsidR="00964A71" w:rsidRPr="00964A71" w:rsidRDefault="00964A71" w:rsidP="00CD176C">
            <w:pPr>
              <w:rPr>
                <w:rFonts w:cs="Times New Roman"/>
                <w:color w:val="000000" w:themeColor="text1"/>
              </w:rPr>
            </w:pPr>
          </w:p>
        </w:tc>
        <w:tc>
          <w:tcPr>
            <w:tcW w:w="3114" w:type="dxa"/>
          </w:tcPr>
          <w:p w14:paraId="45FE017D" w14:textId="77777777" w:rsidR="00964A71" w:rsidRPr="00964A71" w:rsidRDefault="00964A71" w:rsidP="00CD176C">
            <w:pPr>
              <w:rPr>
                <w:rFonts w:cs="Times New Roman"/>
                <w:color w:val="000000" w:themeColor="text1"/>
              </w:rPr>
            </w:pPr>
            <w:r w:rsidRPr="00964A71">
              <w:rPr>
                <w:rFonts w:cs="Times New Roman"/>
                <w:color w:val="000000" w:themeColor="text1"/>
              </w:rPr>
              <w:t>Estimation of genomic ancestry proportions.</w:t>
            </w:r>
          </w:p>
        </w:tc>
      </w:tr>
      <w:tr w:rsidR="00964A71" w:rsidRPr="00964A71" w14:paraId="7D1D5D21" w14:textId="77777777" w:rsidTr="00537AD7">
        <w:tc>
          <w:tcPr>
            <w:tcW w:w="2835" w:type="dxa"/>
            <w:shd w:val="clear" w:color="auto" w:fill="B8CCE4" w:themeFill="accent1" w:themeFillTint="66"/>
          </w:tcPr>
          <w:p w14:paraId="5FFBD15E" w14:textId="77777777" w:rsidR="00964A71" w:rsidRPr="00964A71" w:rsidRDefault="00964A71" w:rsidP="00CD176C">
            <w:pPr>
              <w:rPr>
                <w:rFonts w:cs="Times New Roman"/>
                <w:color w:val="000000" w:themeColor="text1"/>
              </w:rPr>
            </w:pPr>
            <w:r w:rsidRPr="00964A71">
              <w:rPr>
                <w:rFonts w:cs="Times New Roman"/>
                <w:color w:val="000000" w:themeColor="text1"/>
              </w:rPr>
              <w:t>EIGENSTRAT/</w:t>
            </w:r>
            <w:r w:rsidRPr="00964A71">
              <w:rPr>
                <w:rFonts w:cs="Times New Roman"/>
                <w:b/>
                <w:color w:val="000000" w:themeColor="text1"/>
              </w:rPr>
              <w:t>smartpca</w:t>
            </w:r>
          </w:p>
        </w:tc>
        <w:tc>
          <w:tcPr>
            <w:tcW w:w="3828" w:type="dxa"/>
            <w:shd w:val="clear" w:color="auto" w:fill="B8CCE4" w:themeFill="accent1" w:themeFillTint="66"/>
          </w:tcPr>
          <w:p w14:paraId="5A9BF7CF" w14:textId="77777777" w:rsidR="00964A71" w:rsidRPr="00964A71" w:rsidRDefault="00964A71" w:rsidP="00CD176C">
            <w:pPr>
              <w:rPr>
                <w:rFonts w:cs="Times New Roman"/>
                <w:color w:val="000000" w:themeColor="text1"/>
              </w:rPr>
            </w:pPr>
            <w:r w:rsidRPr="00964A71">
              <w:rPr>
                <w:rFonts w:ascii="Courier New" w:hAnsi="Courier New" w:cs="Courier New"/>
                <w:color w:val="000000" w:themeColor="text1"/>
              </w:rPr>
              <w:t>﻿</w:t>
            </w:r>
            <w:hyperlink r:id="rId27" w:history="1">
              <w:r w:rsidRPr="00964A71">
                <w:rPr>
                  <w:rStyle w:val="Hyperlink"/>
                  <w:color w:val="000000" w:themeColor="text1"/>
                </w:rPr>
                <w:t>http://genepath.med.harvard.edu/~reich/EIGENSTRAT.htm</w:t>
              </w:r>
            </w:hyperlink>
          </w:p>
          <w:p w14:paraId="2C7EB949" w14:textId="77777777" w:rsidR="00964A71" w:rsidRPr="00964A71" w:rsidRDefault="00486328" w:rsidP="00CD176C">
            <w:pPr>
              <w:rPr>
                <w:rFonts w:eastAsia="Times New Roman" w:cs="Times New Roman"/>
                <w:color w:val="000000" w:themeColor="text1"/>
              </w:rPr>
            </w:pPr>
            <w:hyperlink r:id="rId28" w:tgtFrame="_blank" w:history="1">
              <w:r w:rsidR="00964A71" w:rsidRPr="00964A71">
                <w:rPr>
                  <w:rFonts w:eastAsia="Times New Roman" w:cs="Times New Roman"/>
                  <w:color w:val="000000" w:themeColor="text1"/>
                  <w:u w:val="single"/>
                </w:rPr>
                <w:t>https://github.com/DReichLab/EIG</w:t>
              </w:r>
            </w:hyperlink>
          </w:p>
        </w:tc>
        <w:tc>
          <w:tcPr>
            <w:tcW w:w="3114" w:type="dxa"/>
            <w:shd w:val="clear" w:color="auto" w:fill="B8CCE4" w:themeFill="accent1" w:themeFillTint="66"/>
          </w:tcPr>
          <w:p w14:paraId="1496ED61" w14:textId="77777777" w:rsidR="00964A71" w:rsidRPr="00964A71" w:rsidRDefault="00964A71" w:rsidP="00CD176C">
            <w:pPr>
              <w:rPr>
                <w:rFonts w:cs="Times New Roman"/>
                <w:color w:val="000000" w:themeColor="text1"/>
              </w:rPr>
            </w:pPr>
            <w:r w:rsidRPr="00964A71">
              <w:rPr>
                <w:rFonts w:cs="Times New Roman"/>
                <w:color w:val="000000" w:themeColor="text1"/>
              </w:rPr>
              <w:t>Run Principal Component Analysis (PCA).</w:t>
            </w:r>
          </w:p>
        </w:tc>
      </w:tr>
      <w:tr w:rsidR="00964A71" w:rsidRPr="00964A71" w14:paraId="4B9D9D85" w14:textId="77777777" w:rsidTr="00537AD7">
        <w:tc>
          <w:tcPr>
            <w:tcW w:w="2835" w:type="dxa"/>
          </w:tcPr>
          <w:p w14:paraId="6A8AB259" w14:textId="77777777" w:rsidR="00964A71" w:rsidRPr="00964A71" w:rsidRDefault="00964A71" w:rsidP="00CD176C">
            <w:pPr>
              <w:rPr>
                <w:rFonts w:cs="Times New Roman"/>
                <w:color w:val="000000" w:themeColor="text1"/>
              </w:rPr>
            </w:pPr>
            <w:r w:rsidRPr="00964A71">
              <w:rPr>
                <w:rFonts w:cs="Times New Roman"/>
                <w:color w:val="000000" w:themeColor="text1"/>
              </w:rPr>
              <w:t>Genesis</w:t>
            </w:r>
          </w:p>
        </w:tc>
        <w:tc>
          <w:tcPr>
            <w:tcW w:w="3828" w:type="dxa"/>
          </w:tcPr>
          <w:p w14:paraId="65E8E7CE" w14:textId="77777777" w:rsidR="00964A71" w:rsidRPr="00964A71" w:rsidRDefault="00486328" w:rsidP="00CD176C">
            <w:pPr>
              <w:rPr>
                <w:rFonts w:eastAsia="Times New Roman" w:cs="Times New Roman"/>
                <w:color w:val="000000" w:themeColor="text1"/>
              </w:rPr>
            </w:pPr>
            <w:hyperlink r:id="rId29" w:tgtFrame="_blank" w:history="1">
              <w:r w:rsidR="00964A71" w:rsidRPr="00964A71">
                <w:rPr>
                  <w:rFonts w:eastAsia="Times New Roman" w:cs="Times New Roman"/>
                  <w:color w:val="000000" w:themeColor="text1"/>
                  <w:u w:val="single"/>
                </w:rPr>
                <w:t>http://www.bioinf.wits.ac.za/software/genesis</w:t>
              </w:r>
            </w:hyperlink>
          </w:p>
        </w:tc>
        <w:tc>
          <w:tcPr>
            <w:tcW w:w="3114" w:type="dxa"/>
          </w:tcPr>
          <w:p w14:paraId="3311C41F" w14:textId="77777777" w:rsidR="00964A71" w:rsidRPr="00964A71" w:rsidRDefault="00964A71" w:rsidP="00CD176C">
            <w:pPr>
              <w:rPr>
                <w:rFonts w:cs="Times New Roman"/>
                <w:color w:val="000000" w:themeColor="text1"/>
              </w:rPr>
            </w:pPr>
            <w:r w:rsidRPr="00964A71">
              <w:rPr>
                <w:rFonts w:cs="Times New Roman"/>
                <w:color w:val="000000" w:themeColor="text1"/>
              </w:rPr>
              <w:t>Generate PCA and admixture graphs.</w:t>
            </w:r>
          </w:p>
        </w:tc>
      </w:tr>
      <w:tr w:rsidR="00964A71" w:rsidRPr="00964A71" w14:paraId="3A739286" w14:textId="77777777" w:rsidTr="00537AD7">
        <w:tc>
          <w:tcPr>
            <w:tcW w:w="2835" w:type="dxa"/>
            <w:shd w:val="clear" w:color="auto" w:fill="B8CCE4" w:themeFill="accent1" w:themeFillTint="66"/>
          </w:tcPr>
          <w:p w14:paraId="78B0E35C" w14:textId="0695DFFD" w:rsidR="00964A71" w:rsidRPr="00964A71" w:rsidRDefault="002156AC" w:rsidP="00CD176C">
            <w:pPr>
              <w:rPr>
                <w:rFonts w:cs="Times New Roman"/>
                <w:color w:val="000000" w:themeColor="text1"/>
              </w:rPr>
            </w:pPr>
            <w:r w:rsidRPr="00CC5713">
              <w:rPr>
                <w:rFonts w:eastAsiaTheme="majorEastAsia" w:cs="Times New Roman"/>
                <w:color w:val="000000" w:themeColor="text1"/>
                <w:szCs w:val="24"/>
              </w:rPr>
              <w:t>ggplot2</w:t>
            </w:r>
          </w:p>
        </w:tc>
        <w:tc>
          <w:tcPr>
            <w:tcW w:w="3828" w:type="dxa"/>
            <w:shd w:val="clear" w:color="auto" w:fill="B8CCE4" w:themeFill="accent1" w:themeFillTint="66"/>
          </w:tcPr>
          <w:p w14:paraId="350F3DC7" w14:textId="66A224CA" w:rsidR="00964A71" w:rsidRPr="00964A71" w:rsidRDefault="00486328" w:rsidP="00CD176C">
            <w:pPr>
              <w:rPr>
                <w:rFonts w:eastAsia="Times New Roman" w:cs="Times New Roman"/>
                <w:color w:val="000000" w:themeColor="text1"/>
              </w:rPr>
            </w:pPr>
            <w:hyperlink r:id="rId30" w:history="1">
              <w:r w:rsidR="002156AC" w:rsidRPr="000A4443">
                <w:rPr>
                  <w:rStyle w:val="Hyperlink"/>
                  <w:rFonts w:eastAsia="Times New Roman" w:cs="Times New Roman"/>
                </w:rPr>
                <w:t>https://cran.r-project.org/package=ggplot2</w:t>
              </w:r>
            </w:hyperlink>
          </w:p>
        </w:tc>
        <w:tc>
          <w:tcPr>
            <w:tcW w:w="3114" w:type="dxa"/>
            <w:shd w:val="clear" w:color="auto" w:fill="B8CCE4" w:themeFill="accent1" w:themeFillTint="66"/>
          </w:tcPr>
          <w:p w14:paraId="24C1D0CA" w14:textId="7CC05245" w:rsidR="00964A71" w:rsidRPr="00964A71" w:rsidRDefault="002156AC" w:rsidP="00CD176C">
            <w:pPr>
              <w:rPr>
                <w:rFonts w:cs="Times New Roman"/>
                <w:color w:val="000000" w:themeColor="text1"/>
              </w:rPr>
            </w:pPr>
            <w:r>
              <w:rPr>
                <w:rFonts w:cs="Times New Roman"/>
                <w:color w:val="000000" w:themeColor="text1"/>
              </w:rPr>
              <w:t>Generation of graphs.</w:t>
            </w:r>
          </w:p>
        </w:tc>
      </w:tr>
      <w:tr w:rsidR="00964A71" w:rsidRPr="00964A71" w14:paraId="5549D4A6" w14:textId="77777777" w:rsidTr="00537AD7">
        <w:tc>
          <w:tcPr>
            <w:tcW w:w="2835" w:type="dxa"/>
            <w:tcBorders>
              <w:bottom w:val="single" w:sz="18" w:space="0" w:color="auto"/>
            </w:tcBorders>
          </w:tcPr>
          <w:p w14:paraId="7EC900E8" w14:textId="77777777" w:rsidR="00964A71" w:rsidRPr="00964A71" w:rsidRDefault="00964A71" w:rsidP="00CD176C">
            <w:pPr>
              <w:rPr>
                <w:rFonts w:cs="Times New Roman"/>
                <w:color w:val="000000" w:themeColor="text1"/>
              </w:rPr>
            </w:pPr>
            <w:r w:rsidRPr="00964A71">
              <w:rPr>
                <w:rFonts w:eastAsiaTheme="majorEastAsia" w:cs="Times New Roman"/>
                <w:color w:val="000000" w:themeColor="text1"/>
              </w:rPr>
              <w:t>ComplexHeatmap</w:t>
            </w:r>
          </w:p>
        </w:tc>
        <w:tc>
          <w:tcPr>
            <w:tcW w:w="3828" w:type="dxa"/>
            <w:tcBorders>
              <w:bottom w:val="single" w:sz="18" w:space="0" w:color="auto"/>
            </w:tcBorders>
          </w:tcPr>
          <w:p w14:paraId="0034C982" w14:textId="70F0483D" w:rsidR="00537AD7" w:rsidRPr="00537AD7" w:rsidRDefault="00486328" w:rsidP="00CD176C">
            <w:pPr>
              <w:rPr>
                <w:rFonts w:eastAsia="Times New Roman" w:cs="Times New Roman"/>
                <w:color w:val="000000" w:themeColor="text1"/>
                <w:u w:val="single"/>
              </w:rPr>
            </w:pPr>
            <w:hyperlink r:id="rId31" w:tgtFrame="_blank" w:history="1">
              <w:r w:rsidR="00964A71" w:rsidRPr="00964A71">
                <w:rPr>
                  <w:rFonts w:eastAsia="Times New Roman" w:cs="Times New Roman"/>
                  <w:color w:val="000000" w:themeColor="text1"/>
                  <w:u w:val="single"/>
                </w:rPr>
                <w:t>https://bioconductor.org/packages/ComplexHeatmap/</w:t>
              </w:r>
            </w:hyperlink>
          </w:p>
        </w:tc>
        <w:tc>
          <w:tcPr>
            <w:tcW w:w="3114" w:type="dxa"/>
            <w:tcBorders>
              <w:bottom w:val="single" w:sz="18" w:space="0" w:color="auto"/>
            </w:tcBorders>
          </w:tcPr>
          <w:p w14:paraId="04233235" w14:textId="77777777" w:rsidR="00964A71" w:rsidRPr="00964A71" w:rsidRDefault="00964A71" w:rsidP="00CD176C">
            <w:pPr>
              <w:rPr>
                <w:rFonts w:cs="Times New Roman"/>
                <w:color w:val="000000" w:themeColor="text1"/>
              </w:rPr>
            </w:pPr>
            <w:r w:rsidRPr="00964A71">
              <w:rPr>
                <w:rFonts w:cs="Times New Roman"/>
                <w:color w:val="000000" w:themeColor="text1"/>
              </w:rPr>
              <w:t>Generation and annotation of heatmaps.</w:t>
            </w:r>
          </w:p>
        </w:tc>
      </w:tr>
    </w:tbl>
    <w:p w14:paraId="0C6FD1C4" w14:textId="77777777" w:rsidR="00964A71" w:rsidRPr="00964A71" w:rsidRDefault="00964A71" w:rsidP="00964A71">
      <w:pPr>
        <w:rPr>
          <w:rFonts w:cs="Times New Roman"/>
          <w:color w:val="000000" w:themeColor="text1"/>
        </w:rPr>
      </w:pPr>
    </w:p>
    <w:p w14:paraId="2D226EBD" w14:textId="2C4A73AA" w:rsidR="00964A71" w:rsidRPr="00964A71" w:rsidRDefault="00964A71" w:rsidP="00964A71">
      <w:pPr>
        <w:spacing w:line="276" w:lineRule="auto"/>
        <w:ind w:right="146"/>
        <w:jc w:val="both"/>
        <w:rPr>
          <w:rFonts w:cs="Times New Roman"/>
          <w:b/>
          <w:bCs/>
          <w:iCs/>
          <w:color w:val="000000" w:themeColor="text1"/>
        </w:rPr>
      </w:pPr>
      <w:r w:rsidRPr="00964A71">
        <w:rPr>
          <w:rFonts w:cs="Times New Roman"/>
          <w:b/>
          <w:bCs/>
          <w:iCs/>
          <w:color w:val="000000" w:themeColor="text1"/>
        </w:rPr>
        <w:t>REFERENCES</w:t>
      </w:r>
    </w:p>
    <w:p w14:paraId="1CFF135E"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b/>
          <w:bCs/>
          <w:iCs/>
          <w:color w:val="000000" w:themeColor="text1"/>
        </w:rPr>
        <w:fldChar w:fldCharType="begin" w:fldLock="1"/>
      </w:r>
      <w:r w:rsidRPr="00964A71">
        <w:rPr>
          <w:rFonts w:cs="Times New Roman"/>
          <w:b/>
          <w:bCs/>
          <w:iCs/>
          <w:color w:val="000000" w:themeColor="text1"/>
        </w:rPr>
        <w:instrText xml:space="preserve">ADDIN Mendeley Bibliography CSL_BIBLIOGRAPHY </w:instrText>
      </w:r>
      <w:r w:rsidRPr="00964A71">
        <w:rPr>
          <w:rFonts w:cs="Times New Roman"/>
          <w:b/>
          <w:bCs/>
          <w:iCs/>
          <w:color w:val="000000" w:themeColor="text1"/>
        </w:rPr>
        <w:fldChar w:fldCharType="separate"/>
      </w:r>
      <w:r w:rsidRPr="00964A71">
        <w:rPr>
          <w:rFonts w:cs="Times New Roman"/>
          <w:noProof/>
          <w:color w:val="000000" w:themeColor="text1"/>
        </w:rPr>
        <w:t xml:space="preserve">1. </w:t>
      </w:r>
      <w:r w:rsidRPr="00964A71">
        <w:rPr>
          <w:rFonts w:cs="Times New Roman"/>
          <w:noProof/>
          <w:color w:val="000000" w:themeColor="text1"/>
        </w:rPr>
        <w:tab/>
        <w:t xml:space="preserve">Cock PJA, Fields CJ, Goto N, Heuer ML, Rice PM. The Sanger FASTQ file format for sequences with quality scores, and the Solexa/Illumina FASTQ variants. Nucleic Acids Res. 2010;38(6):1767–71. </w:t>
      </w:r>
    </w:p>
    <w:p w14:paraId="0096B44D"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2. </w:t>
      </w:r>
      <w:r w:rsidRPr="00964A71">
        <w:rPr>
          <w:rFonts w:cs="Times New Roman"/>
          <w:noProof/>
          <w:color w:val="000000" w:themeColor="text1"/>
        </w:rPr>
        <w:tab/>
        <w:t xml:space="preserve">Van Der Auwera GA, Carneiro MO, Hartl C, Poplin R, Levy-moonshine A, Jordan T, et al. From FastQ data to high confidence varant calls: the Genome Analysis Toolkit best practices pipeline. Curr Protoc Bioinforma. 2014;11(1110). </w:t>
      </w:r>
    </w:p>
    <w:p w14:paraId="308F9576"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3. </w:t>
      </w:r>
      <w:r w:rsidRPr="00964A71">
        <w:rPr>
          <w:rFonts w:cs="Times New Roman"/>
          <w:noProof/>
          <w:color w:val="000000" w:themeColor="text1"/>
        </w:rPr>
        <w:tab/>
        <w:t xml:space="preserve">Bolger AM, Lohse M, Usadel B. Trimmomatic: a flexible trimmer for Illumina sequence data. Bioinformatics. 2014;30(15):2114–20. </w:t>
      </w:r>
    </w:p>
    <w:p w14:paraId="0F659F25"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4. </w:t>
      </w:r>
      <w:r w:rsidRPr="00964A71">
        <w:rPr>
          <w:rFonts w:cs="Times New Roman"/>
          <w:noProof/>
          <w:color w:val="000000" w:themeColor="text1"/>
        </w:rPr>
        <w:tab/>
        <w:t xml:space="preserve">Li H, Ruan J, Durbin R, Li H, Ruan J, Durbin R. Mapping short DNA sequencing reads and calling variants using mapping quality scores Mapping short DNA sequencing reads and calling variants using mapping quality scores. 2008;1851–8. </w:t>
      </w:r>
    </w:p>
    <w:p w14:paraId="48971429"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5. </w:t>
      </w:r>
      <w:r w:rsidRPr="00964A71">
        <w:rPr>
          <w:rFonts w:cs="Times New Roman"/>
          <w:noProof/>
          <w:color w:val="000000" w:themeColor="text1"/>
        </w:rPr>
        <w:tab/>
        <w:t xml:space="preserve">Li H, Durbin R. Fast and accurate short read alignment with Burrows-Wheeler transform. Bioinformatics. 2009 Jul;25(14):1754–60. </w:t>
      </w:r>
    </w:p>
    <w:p w14:paraId="66ED568D"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6. </w:t>
      </w:r>
      <w:r w:rsidRPr="00964A71">
        <w:rPr>
          <w:rFonts w:cs="Times New Roman"/>
          <w:noProof/>
          <w:color w:val="000000" w:themeColor="text1"/>
        </w:rPr>
        <w:tab/>
        <w:t xml:space="preserve">Li H. A statistical framework for SNP calling, mutation discovery, association mapping and  population genetical parameter estimation from sequencing data. Bioinformatics. 2011 Nov;27(21):2987–93. </w:t>
      </w:r>
    </w:p>
    <w:p w14:paraId="3A1E45BA"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7. </w:t>
      </w:r>
      <w:r w:rsidRPr="00964A71">
        <w:rPr>
          <w:rFonts w:cs="Times New Roman"/>
          <w:noProof/>
          <w:color w:val="000000" w:themeColor="text1"/>
        </w:rPr>
        <w:tab/>
        <w:t xml:space="preserve">McKenna A, Hanna M, Banks E, Sivachenko A, Cibulskis K, Kernytsky A, et al. The Genome Analysis Toolkit: A MapReduce framework for analyzing next-generation DNA sequencing data. Genome Res Sep;20(9)1297-303 doi 101101/gr107524110. 2010;Sep 20(9):1297–303. </w:t>
      </w:r>
    </w:p>
    <w:p w14:paraId="3665B6A1"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8. </w:t>
      </w:r>
      <w:r w:rsidRPr="00964A71">
        <w:rPr>
          <w:rFonts w:cs="Times New Roman"/>
          <w:noProof/>
          <w:color w:val="000000" w:themeColor="text1"/>
        </w:rPr>
        <w:tab/>
        <w:t>Ewels P, Magnusson M, Lundin S, Käller M. MultiQC: summarize analysis results for multiple tools and samples in a single report. Bioinformatics [Internet]. 2016 Oct 1;32(19):3047–8. Available from: https://doi.org/10.1093/bioinformatics/btw354</w:t>
      </w:r>
    </w:p>
    <w:p w14:paraId="771C11F5"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9. </w:t>
      </w:r>
      <w:r w:rsidRPr="00964A71">
        <w:rPr>
          <w:rFonts w:cs="Times New Roman"/>
          <w:noProof/>
          <w:color w:val="000000" w:themeColor="text1"/>
        </w:rPr>
        <w:tab/>
        <w:t xml:space="preserve">Pfeifer SP. From next-generation resequencing reads to a high-quality variant data set. Heredity (Edinb). 2017;118(2):111–24. </w:t>
      </w:r>
    </w:p>
    <w:p w14:paraId="0AE9CB2F"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10. </w:t>
      </w:r>
      <w:r w:rsidRPr="00964A71">
        <w:rPr>
          <w:rFonts w:cs="Times New Roman"/>
          <w:noProof/>
          <w:color w:val="000000" w:themeColor="text1"/>
        </w:rPr>
        <w:tab/>
        <w:t>Nielsen R, Paul JS, Albrechtsen A, Song YS. Genotype and SNP calling from next-generation sequencing data. Nat Rev Genet [Internet]. 2011;12(6):443–51. Available from: https://doi.org/10.1038/nrg2986</w:t>
      </w:r>
    </w:p>
    <w:p w14:paraId="46248232"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11. </w:t>
      </w:r>
      <w:r w:rsidRPr="00964A71">
        <w:rPr>
          <w:rFonts w:cs="Times New Roman"/>
          <w:noProof/>
          <w:color w:val="000000" w:themeColor="text1"/>
        </w:rPr>
        <w:tab/>
        <w:t xml:space="preserve">DePristo MA, Banks E, Poplin R, Garimella K V, Maguire JR, Hartl C, et al. A framework for variation discovery and genotyping using next-generation DNA  sequencing data. Nat Genet. 2011 May;43(5):491–8. </w:t>
      </w:r>
    </w:p>
    <w:p w14:paraId="01A393E1" w14:textId="77777777" w:rsidR="00964A71" w:rsidRPr="00964A71" w:rsidRDefault="00964A71" w:rsidP="00964A71">
      <w:pPr>
        <w:autoSpaceDE w:val="0"/>
        <w:autoSpaceDN w:val="0"/>
        <w:adjustRightInd w:val="0"/>
        <w:ind w:left="640" w:hanging="640"/>
        <w:rPr>
          <w:rFonts w:cs="Times New Roman"/>
          <w:noProof/>
          <w:color w:val="000000" w:themeColor="text1"/>
        </w:rPr>
      </w:pPr>
      <w:r w:rsidRPr="00964A71">
        <w:rPr>
          <w:rFonts w:cs="Times New Roman"/>
          <w:noProof/>
          <w:color w:val="000000" w:themeColor="text1"/>
        </w:rPr>
        <w:t xml:space="preserve">12. </w:t>
      </w:r>
      <w:r w:rsidRPr="00964A71">
        <w:rPr>
          <w:rFonts w:cs="Times New Roman"/>
          <w:noProof/>
          <w:color w:val="000000" w:themeColor="text1"/>
        </w:rPr>
        <w:tab/>
        <w:t xml:space="preserve">Danecek P, Auton A, Abecasis G, Albers CA, Banks E, DePristo MA, et al. The variant call format and VCFtools. Bioinformatics. 2011;27(15):2156–8. </w:t>
      </w:r>
    </w:p>
    <w:p w14:paraId="58F1AED1" w14:textId="5E8841A0" w:rsidR="00DE23E8" w:rsidRPr="00964A71" w:rsidRDefault="00964A71" w:rsidP="00964A71">
      <w:pPr>
        <w:autoSpaceDE w:val="0"/>
        <w:autoSpaceDN w:val="0"/>
        <w:adjustRightInd w:val="0"/>
        <w:rPr>
          <w:rFonts w:cs="Times New Roman"/>
          <w:color w:val="000000" w:themeColor="text1"/>
        </w:rPr>
      </w:pPr>
      <w:r w:rsidRPr="00964A71">
        <w:rPr>
          <w:rFonts w:cs="Times New Roman"/>
          <w:b/>
          <w:bCs/>
          <w:iCs/>
          <w:color w:val="000000" w:themeColor="text1"/>
        </w:rPr>
        <w:fldChar w:fldCharType="end"/>
      </w:r>
    </w:p>
    <w:sectPr w:rsidR="00DE23E8" w:rsidRPr="00964A71" w:rsidSect="0093429D">
      <w:headerReference w:type="even" r:id="rId32"/>
      <w:footerReference w:type="even" r:id="rId33"/>
      <w:footerReference w:type="default" r:id="rId34"/>
      <w:headerReference w:type="first" r:id="rId3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753C" w14:textId="77777777" w:rsidR="00486328" w:rsidRDefault="00486328" w:rsidP="00117666">
      <w:pPr>
        <w:spacing w:after="0"/>
      </w:pPr>
      <w:r>
        <w:separator/>
      </w:r>
    </w:p>
  </w:endnote>
  <w:endnote w:type="continuationSeparator" w:id="0">
    <w:p w14:paraId="7414B978" w14:textId="77777777" w:rsidR="00486328" w:rsidRDefault="0048632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4792" w14:textId="77777777" w:rsidR="00486328" w:rsidRDefault="00486328" w:rsidP="00117666">
      <w:pPr>
        <w:spacing w:after="0"/>
      </w:pPr>
      <w:r>
        <w:separator/>
      </w:r>
    </w:p>
  </w:footnote>
  <w:footnote w:type="continuationSeparator" w:id="0">
    <w:p w14:paraId="532921E9" w14:textId="77777777" w:rsidR="00486328" w:rsidRDefault="0048632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E440F"/>
    <w:rsid w:val="00105FD9"/>
    <w:rsid w:val="00117666"/>
    <w:rsid w:val="001549D3"/>
    <w:rsid w:val="00160065"/>
    <w:rsid w:val="00177D84"/>
    <w:rsid w:val="00211E6A"/>
    <w:rsid w:val="002156AC"/>
    <w:rsid w:val="00267D18"/>
    <w:rsid w:val="002868E2"/>
    <w:rsid w:val="002869C3"/>
    <w:rsid w:val="002936E4"/>
    <w:rsid w:val="002B4A57"/>
    <w:rsid w:val="002C74CA"/>
    <w:rsid w:val="003544FB"/>
    <w:rsid w:val="003D2D47"/>
    <w:rsid w:val="003D2F2D"/>
    <w:rsid w:val="00401590"/>
    <w:rsid w:val="00447801"/>
    <w:rsid w:val="00452E9C"/>
    <w:rsid w:val="004735C8"/>
    <w:rsid w:val="00486328"/>
    <w:rsid w:val="004961FF"/>
    <w:rsid w:val="00517A89"/>
    <w:rsid w:val="005250F2"/>
    <w:rsid w:val="00537AD7"/>
    <w:rsid w:val="00593EEA"/>
    <w:rsid w:val="005A5EEE"/>
    <w:rsid w:val="006375C7"/>
    <w:rsid w:val="00654E8F"/>
    <w:rsid w:val="00660D05"/>
    <w:rsid w:val="00671F6A"/>
    <w:rsid w:val="006820B1"/>
    <w:rsid w:val="00690F62"/>
    <w:rsid w:val="006B7D14"/>
    <w:rsid w:val="00701727"/>
    <w:rsid w:val="0070566C"/>
    <w:rsid w:val="00714C50"/>
    <w:rsid w:val="00725A7D"/>
    <w:rsid w:val="007501BE"/>
    <w:rsid w:val="00790BB3"/>
    <w:rsid w:val="007C206C"/>
    <w:rsid w:val="007F7447"/>
    <w:rsid w:val="00803D24"/>
    <w:rsid w:val="00817DD6"/>
    <w:rsid w:val="00885156"/>
    <w:rsid w:val="009151AA"/>
    <w:rsid w:val="0093429D"/>
    <w:rsid w:val="00943573"/>
    <w:rsid w:val="00964A71"/>
    <w:rsid w:val="00970F7D"/>
    <w:rsid w:val="00994A3D"/>
    <w:rsid w:val="009C2B12"/>
    <w:rsid w:val="009C70F3"/>
    <w:rsid w:val="00A174D9"/>
    <w:rsid w:val="00A208E2"/>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21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usadellab/Trimmomatic" TargetMode="External"/><Relationship Id="rId18" Type="http://schemas.openxmlformats.org/officeDocument/2006/relationships/hyperlink" Target="https://multiqc.info" TargetMode="External"/><Relationship Id="rId26" Type="http://schemas.openxmlformats.org/officeDocument/2006/relationships/hyperlink" Target="https://dalexander.github.io/admixture/" TargetMode="External"/><Relationship Id="rId21" Type="http://schemas.openxmlformats.org/officeDocument/2006/relationships/hyperlink" Target="https://annovar.openbioinformatics.org/en/latest/"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bioinformatics.babraham.ac.uk/projects/fastqc/" TargetMode="External"/><Relationship Id="rId17" Type="http://schemas.openxmlformats.org/officeDocument/2006/relationships/hyperlink" Target="https://gatk.broadinstitute.org" TargetMode="External"/><Relationship Id="rId25" Type="http://schemas.openxmlformats.org/officeDocument/2006/relationships/hyperlink" Target="https://cran.r-project.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tslib.org/download/" TargetMode="External"/><Relationship Id="rId20" Type="http://schemas.openxmlformats.org/officeDocument/2006/relationships/hyperlink" Target="https://vcftools.github.io/man_latest.html" TargetMode="External"/><Relationship Id="rId29" Type="http://schemas.openxmlformats.org/officeDocument/2006/relationships/hyperlink" Target="http://www.bioinf.wits.ac.za/software/genes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an.r-project.org/web/packages/enrichR/index.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broadinstitute.github.io/picard/" TargetMode="External"/><Relationship Id="rId23" Type="http://schemas.openxmlformats.org/officeDocument/2006/relationships/hyperlink" Target="https://genemania.org/" TargetMode="External"/><Relationship Id="rId28" Type="http://schemas.openxmlformats.org/officeDocument/2006/relationships/hyperlink" Target="https://github.com/DReichLab/EIG"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tslib.org/download/" TargetMode="External"/><Relationship Id="rId31" Type="http://schemas.openxmlformats.org/officeDocument/2006/relationships/hyperlink" Target="https://bioconductor.org/packages/ComplexHeat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urceforge.net/projects/bio-bwa/" TargetMode="External"/><Relationship Id="rId22" Type="http://schemas.openxmlformats.org/officeDocument/2006/relationships/hyperlink" Target="https://zzz.bwh.harvard.edu/plink/" TargetMode="External"/><Relationship Id="rId27" Type="http://schemas.openxmlformats.org/officeDocument/2006/relationships/hyperlink" Target="http://genepath.med.harvard.edu/~reich/EIGENSTRAT.htm" TargetMode="External"/><Relationship Id="rId30" Type="http://schemas.openxmlformats.org/officeDocument/2006/relationships/hyperlink" Target="https://cran.r-project.org/package=ggplot2"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E9C23-E1D2-B540-9CAA-2F7658DB687F}">
  <ds:schemaRefs>
    <ds:schemaRef ds:uri="http://schemas.openxmlformats.org/officeDocument/2006/bibliography"/>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17</TotalTime>
  <Pages>5</Pages>
  <Words>6174</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Valentina Martini</cp:lastModifiedBy>
  <cp:revision>12</cp:revision>
  <cp:lastPrinted>2013-10-03T12:51:00Z</cp:lastPrinted>
  <dcterms:created xsi:type="dcterms:W3CDTF">2022-11-17T16:58:00Z</dcterms:created>
  <dcterms:modified xsi:type="dcterms:W3CDTF">2023-11-21T08:54:00Z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