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67B6" w14:textId="69200A38" w:rsidR="004B14DF" w:rsidRPr="004B14DF" w:rsidRDefault="004B14DF">
      <w:pPr>
        <w:rPr>
          <w:rFonts w:ascii="Times New Roman" w:hAnsi="Times New Roman" w:cs="Times New Roman"/>
          <w:sz w:val="24"/>
          <w:szCs w:val="24"/>
        </w:rPr>
      </w:pPr>
      <w:r w:rsidRPr="004B14DF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9605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B14DF">
        <w:rPr>
          <w:rFonts w:ascii="Times New Roman" w:hAnsi="Times New Roman" w:cs="Times New Roman"/>
          <w:b/>
          <w:bCs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D54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03469C"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with total relative abundance above 1% with breakdown by </w:t>
      </w:r>
      <w:r w:rsidR="007F0BE6">
        <w:rPr>
          <w:rFonts w:ascii="Times New Roman" w:hAnsi="Times New Roman" w:cs="Times New Roman"/>
          <w:sz w:val="24"/>
          <w:szCs w:val="24"/>
        </w:rPr>
        <w:t xml:space="preserve">maize </w:t>
      </w:r>
      <w:proofErr w:type="gramStart"/>
      <w:r w:rsidR="007F0BE6">
        <w:rPr>
          <w:rFonts w:ascii="Times New Roman" w:hAnsi="Times New Roman" w:cs="Times New Roman"/>
          <w:sz w:val="24"/>
          <w:szCs w:val="24"/>
        </w:rPr>
        <w:t>inbred</w:t>
      </w:r>
      <w:proofErr w:type="gramEnd"/>
    </w:p>
    <w:tbl>
      <w:tblPr>
        <w:tblW w:w="12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1620"/>
        <w:gridCol w:w="2250"/>
        <w:gridCol w:w="2340"/>
      </w:tblGrid>
      <w:tr w:rsidR="004B14DF" w14:paraId="2E03EE8D" w14:textId="77777777" w:rsidTr="004B14DF">
        <w:trPr>
          <w:tblHeader/>
        </w:trPr>
        <w:tc>
          <w:tcPr>
            <w:tcW w:w="6750" w:type="dxa"/>
            <w:tcBorders>
              <w:top w:val="single" w:sz="12" w:space="0" w:color="111111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645DA" w14:textId="1E6571A5" w:rsidR="004B14DF" w:rsidRPr="004B14DF" w:rsidRDefault="000346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Species </w:t>
            </w:r>
            <w:r w:rsidRPr="0003469C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single" w:sz="12" w:space="0" w:color="111111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29AC2" w14:textId="77777777" w:rsidR="004B14DF" w:rsidRPr="004B14DF" w:rsidRDefault="004B14DF">
            <w:pPr>
              <w:rPr>
                <w:rFonts w:ascii="Arial" w:hAnsi="Arial" w:cs="Arial"/>
                <w:b/>
                <w:bCs/>
              </w:rPr>
            </w:pPr>
            <w:r w:rsidRPr="004B14DF">
              <w:rPr>
                <w:rFonts w:ascii="Arial" w:hAnsi="Arial" w:cs="Arial"/>
                <w:b/>
                <w:bCs/>
                <w:color w:val="000000"/>
              </w:rPr>
              <w:t>Total Relative Abundance</w:t>
            </w:r>
          </w:p>
        </w:tc>
        <w:tc>
          <w:tcPr>
            <w:tcW w:w="2250" w:type="dxa"/>
            <w:tcBorders>
              <w:top w:val="single" w:sz="12" w:space="0" w:color="111111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7C0CC" w14:textId="77777777" w:rsidR="004B14DF" w:rsidRPr="004B14DF" w:rsidRDefault="004B14DF">
            <w:pPr>
              <w:rPr>
                <w:rFonts w:ascii="Arial" w:hAnsi="Arial" w:cs="Arial"/>
                <w:b/>
                <w:bCs/>
              </w:rPr>
            </w:pPr>
            <w:r w:rsidRPr="004B14DF">
              <w:rPr>
                <w:rFonts w:ascii="Arial" w:hAnsi="Arial" w:cs="Arial"/>
                <w:b/>
                <w:bCs/>
                <w:color w:val="000000"/>
              </w:rPr>
              <w:t>Relative abundance B73</w:t>
            </w:r>
          </w:p>
        </w:tc>
        <w:tc>
          <w:tcPr>
            <w:tcW w:w="2340" w:type="dxa"/>
            <w:tcBorders>
              <w:top w:val="single" w:sz="12" w:space="0" w:color="111111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C0E0E" w14:textId="77777777" w:rsidR="004B14DF" w:rsidRPr="004B14DF" w:rsidRDefault="004B14DF">
            <w:pPr>
              <w:rPr>
                <w:rFonts w:ascii="Arial" w:hAnsi="Arial" w:cs="Arial"/>
                <w:b/>
                <w:bCs/>
              </w:rPr>
            </w:pPr>
            <w:r w:rsidRPr="004B14DF">
              <w:rPr>
                <w:rFonts w:ascii="Arial" w:hAnsi="Arial" w:cs="Arial"/>
                <w:b/>
                <w:bCs/>
                <w:color w:val="000000"/>
              </w:rPr>
              <w:t>Relative abundance CML322</w:t>
            </w:r>
          </w:p>
        </w:tc>
      </w:tr>
      <w:tr w:rsidR="00C34ED0" w14:paraId="1F20455A" w14:textId="77777777" w:rsidTr="009D47E6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E36B4A" w14:textId="5AA10431" w:rsidR="00C34ED0" w:rsidRPr="00C34ED0" w:rsidRDefault="00C34ED0" w:rsidP="00C34ED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4ED0">
              <w:rPr>
                <w:rFonts w:ascii="Arial" w:hAnsi="Arial" w:cs="Arial"/>
                <w:i/>
                <w:iCs/>
                <w:sz w:val="24"/>
                <w:szCs w:val="24"/>
              </w:rPr>
              <w:t>Aspergillus flavus</w:t>
            </w:r>
            <w:r w:rsidRPr="00C34ED0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97EE72" w14:textId="1B69ACD2" w:rsidR="00C34ED0" w:rsidRPr="00C34ED0" w:rsidRDefault="00C34ED0" w:rsidP="00C34ED0">
            <w:pPr>
              <w:rPr>
                <w:rFonts w:ascii="Arial" w:hAnsi="Arial" w:cs="Arial"/>
                <w:sz w:val="24"/>
                <w:szCs w:val="24"/>
              </w:rPr>
            </w:pPr>
            <w:r w:rsidRPr="00C34ED0">
              <w:rPr>
                <w:rFonts w:ascii="Arial" w:hAnsi="Arial" w:cs="Arial"/>
                <w:sz w:val="24"/>
                <w:szCs w:val="24"/>
              </w:rPr>
              <w:t>0.567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A348DB" w14:textId="69D0563D" w:rsidR="00C34ED0" w:rsidRPr="00C34ED0" w:rsidRDefault="00C34ED0" w:rsidP="00C34ED0">
            <w:pPr>
              <w:rPr>
                <w:rFonts w:ascii="Arial" w:hAnsi="Arial" w:cs="Arial"/>
                <w:sz w:val="24"/>
                <w:szCs w:val="24"/>
              </w:rPr>
            </w:pPr>
            <w:r w:rsidRPr="00C34ED0">
              <w:rPr>
                <w:rFonts w:ascii="Arial" w:hAnsi="Arial" w:cs="Arial"/>
                <w:sz w:val="24"/>
                <w:szCs w:val="24"/>
              </w:rPr>
              <w:t>0.525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2ED14E" w14:textId="47FFCD6F" w:rsidR="00C34ED0" w:rsidRPr="00C34ED0" w:rsidRDefault="00C34ED0" w:rsidP="00C34ED0">
            <w:pPr>
              <w:rPr>
                <w:rFonts w:ascii="Arial" w:hAnsi="Arial" w:cs="Arial"/>
                <w:sz w:val="24"/>
                <w:szCs w:val="24"/>
              </w:rPr>
            </w:pPr>
            <w:r w:rsidRPr="00C34ED0">
              <w:rPr>
                <w:rFonts w:ascii="Arial" w:hAnsi="Arial" w:cs="Arial"/>
                <w:sz w:val="24"/>
                <w:szCs w:val="24"/>
              </w:rPr>
              <w:t>0.608</w:t>
            </w:r>
          </w:p>
        </w:tc>
      </w:tr>
      <w:tr w:rsidR="00C34ED0" w14:paraId="5B1DAFD0" w14:textId="77777777" w:rsidTr="009D47E6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114106" w14:textId="1645AF0F" w:rsidR="00C34ED0" w:rsidRPr="00C34ED0" w:rsidRDefault="00C34ED0" w:rsidP="00C34ED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4ED0">
              <w:rPr>
                <w:rFonts w:ascii="Arial" w:hAnsi="Arial" w:cs="Arial"/>
                <w:i/>
                <w:iCs/>
                <w:sz w:val="24"/>
                <w:szCs w:val="24"/>
              </w:rPr>
              <w:t>Sarocladium zeae</w:t>
            </w:r>
            <w:r w:rsidRPr="00016CD2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F8554E" w14:textId="04C44D50" w:rsidR="00C34ED0" w:rsidRPr="00C34ED0" w:rsidRDefault="00C34ED0" w:rsidP="00C34ED0">
            <w:pPr>
              <w:rPr>
                <w:rFonts w:ascii="Arial" w:hAnsi="Arial" w:cs="Arial"/>
                <w:sz w:val="24"/>
                <w:szCs w:val="24"/>
              </w:rPr>
            </w:pPr>
            <w:r w:rsidRPr="00C34ED0">
              <w:rPr>
                <w:rFonts w:ascii="Arial" w:hAnsi="Arial" w:cs="Arial"/>
                <w:sz w:val="24"/>
                <w:szCs w:val="24"/>
              </w:rPr>
              <w:t>0.259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ED47D0" w14:textId="3CF350A1" w:rsidR="00C34ED0" w:rsidRPr="00C34ED0" w:rsidRDefault="00C34ED0" w:rsidP="00C34ED0">
            <w:pPr>
              <w:rPr>
                <w:rFonts w:ascii="Arial" w:hAnsi="Arial" w:cs="Arial"/>
                <w:sz w:val="24"/>
                <w:szCs w:val="24"/>
              </w:rPr>
            </w:pPr>
            <w:r w:rsidRPr="00C34ED0">
              <w:rPr>
                <w:rFonts w:ascii="Arial" w:hAnsi="Arial" w:cs="Arial"/>
                <w:sz w:val="24"/>
                <w:szCs w:val="24"/>
              </w:rPr>
              <w:t>0.234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E8AC10" w14:textId="2316FAAC" w:rsidR="00C34ED0" w:rsidRPr="00C34ED0" w:rsidRDefault="00C34ED0" w:rsidP="00C34ED0">
            <w:pPr>
              <w:rPr>
                <w:rFonts w:ascii="Arial" w:hAnsi="Arial" w:cs="Arial"/>
                <w:sz w:val="24"/>
                <w:szCs w:val="24"/>
              </w:rPr>
            </w:pPr>
            <w:r w:rsidRPr="00C34ED0">
              <w:rPr>
                <w:rFonts w:ascii="Arial" w:hAnsi="Arial" w:cs="Arial"/>
                <w:sz w:val="24"/>
                <w:szCs w:val="24"/>
              </w:rPr>
              <w:t>0.284</w:t>
            </w:r>
          </w:p>
        </w:tc>
      </w:tr>
      <w:tr w:rsidR="00C34ED0" w14:paraId="51160764" w14:textId="77777777" w:rsidTr="009D47E6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EE9BC7" w14:textId="28315E3C" w:rsidR="00C34ED0" w:rsidRPr="00C34ED0" w:rsidRDefault="00C34ED0" w:rsidP="00C34ED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4ED0">
              <w:rPr>
                <w:rFonts w:ascii="Arial" w:hAnsi="Arial" w:cs="Arial"/>
                <w:i/>
                <w:iCs/>
                <w:sz w:val="24"/>
                <w:szCs w:val="24"/>
              </w:rPr>
              <w:t>Meyerozyma caribbica</w:t>
            </w:r>
            <w:r w:rsidRPr="00016CD2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DAD346" w14:textId="4437918B" w:rsidR="00C34ED0" w:rsidRPr="00C34ED0" w:rsidRDefault="00C34ED0" w:rsidP="00C34ED0">
            <w:pPr>
              <w:rPr>
                <w:rFonts w:ascii="Arial" w:hAnsi="Arial" w:cs="Arial"/>
                <w:sz w:val="24"/>
                <w:szCs w:val="24"/>
              </w:rPr>
            </w:pPr>
            <w:r w:rsidRPr="00C34ED0">
              <w:rPr>
                <w:rFonts w:ascii="Arial" w:hAnsi="Arial" w:cs="Arial"/>
                <w:sz w:val="24"/>
                <w:szCs w:val="24"/>
              </w:rPr>
              <w:t>0.135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E7DDD3" w14:textId="3B170112" w:rsidR="00C34ED0" w:rsidRPr="00C34ED0" w:rsidRDefault="00C34ED0" w:rsidP="00C34ED0">
            <w:pPr>
              <w:rPr>
                <w:rFonts w:ascii="Arial" w:hAnsi="Arial" w:cs="Arial"/>
                <w:sz w:val="24"/>
                <w:szCs w:val="24"/>
              </w:rPr>
            </w:pPr>
            <w:r w:rsidRPr="00C34ED0">
              <w:rPr>
                <w:rFonts w:ascii="Arial" w:hAnsi="Arial" w:cs="Arial"/>
                <w:sz w:val="24"/>
                <w:szCs w:val="24"/>
              </w:rPr>
              <w:t>0.168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35C6BC" w14:textId="5C2E18BD" w:rsidR="00C34ED0" w:rsidRPr="00C34ED0" w:rsidRDefault="00C34ED0" w:rsidP="00C34ED0">
            <w:pPr>
              <w:rPr>
                <w:rFonts w:ascii="Arial" w:hAnsi="Arial" w:cs="Arial"/>
                <w:sz w:val="24"/>
                <w:szCs w:val="24"/>
              </w:rPr>
            </w:pPr>
            <w:r w:rsidRPr="00C34ED0">
              <w:rPr>
                <w:rFonts w:ascii="Arial" w:hAnsi="Arial" w:cs="Arial"/>
                <w:sz w:val="24"/>
                <w:szCs w:val="24"/>
              </w:rPr>
              <w:t>0.102</w:t>
            </w:r>
          </w:p>
        </w:tc>
      </w:tr>
      <w:tr w:rsidR="00C34ED0" w14:paraId="0F6BD85E" w14:textId="77777777" w:rsidTr="00433D54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267326" w14:textId="6B4F0D26" w:rsidR="00C34ED0" w:rsidRPr="00C34ED0" w:rsidRDefault="00C34ED0" w:rsidP="00C34ED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4ED0">
              <w:rPr>
                <w:rFonts w:ascii="Arial" w:hAnsi="Arial" w:cs="Arial"/>
                <w:i/>
                <w:iCs/>
                <w:sz w:val="24"/>
                <w:szCs w:val="24"/>
              </w:rPr>
              <w:t>Aspergillus niger</w:t>
            </w:r>
            <w:r w:rsidRPr="00C34ED0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1C6141" w14:textId="15C171EB" w:rsidR="00C34ED0" w:rsidRPr="00C34ED0" w:rsidRDefault="00C34ED0" w:rsidP="00C34ED0">
            <w:pPr>
              <w:rPr>
                <w:rFonts w:ascii="Arial" w:hAnsi="Arial" w:cs="Arial"/>
                <w:sz w:val="24"/>
                <w:szCs w:val="24"/>
              </w:rPr>
            </w:pPr>
            <w:r w:rsidRPr="00C34ED0">
              <w:rPr>
                <w:rFonts w:ascii="Arial" w:hAnsi="Arial" w:cs="Arial"/>
                <w:sz w:val="24"/>
                <w:szCs w:val="24"/>
              </w:rPr>
              <w:t>0.011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CBDC65" w14:textId="4F017616" w:rsidR="00C34ED0" w:rsidRPr="00C34ED0" w:rsidRDefault="00C34ED0" w:rsidP="00C34ED0">
            <w:pPr>
              <w:rPr>
                <w:rFonts w:ascii="Arial" w:hAnsi="Arial" w:cs="Arial"/>
                <w:sz w:val="24"/>
                <w:szCs w:val="24"/>
              </w:rPr>
            </w:pPr>
            <w:r w:rsidRPr="00C34ED0">
              <w:rPr>
                <w:rFonts w:ascii="Arial" w:hAnsi="Arial" w:cs="Arial"/>
                <w:sz w:val="24"/>
                <w:szCs w:val="24"/>
              </w:rPr>
              <w:t>0.021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D2EA1B" w14:textId="7D0805D2" w:rsidR="00C34ED0" w:rsidRPr="00C34ED0" w:rsidRDefault="00C34ED0" w:rsidP="00C34ED0">
            <w:pPr>
              <w:rPr>
                <w:rFonts w:ascii="Arial" w:hAnsi="Arial" w:cs="Arial"/>
                <w:sz w:val="24"/>
                <w:szCs w:val="24"/>
              </w:rPr>
            </w:pPr>
            <w:r w:rsidRPr="00C34ED0">
              <w:rPr>
                <w:rFonts w:ascii="Arial" w:hAnsi="Arial" w:cs="Arial"/>
                <w:sz w:val="24"/>
                <w:szCs w:val="24"/>
              </w:rPr>
              <w:t>0.000</w:t>
            </w:r>
          </w:p>
        </w:tc>
      </w:tr>
      <w:tr w:rsidR="00C34ED0" w14:paraId="49B600C5" w14:textId="77777777" w:rsidTr="00433D54">
        <w:tc>
          <w:tcPr>
            <w:tcW w:w="6750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58375C" w14:textId="7EB1E485" w:rsidR="00C34ED0" w:rsidRPr="00C34ED0" w:rsidRDefault="00C34ED0" w:rsidP="00C34ED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4ED0">
              <w:rPr>
                <w:rFonts w:ascii="Arial" w:hAnsi="Arial" w:cs="Arial"/>
                <w:i/>
                <w:iCs/>
                <w:sz w:val="24"/>
                <w:szCs w:val="24"/>
              </w:rPr>
              <w:t>Talaromyces purpureogenus</w:t>
            </w:r>
            <w:r w:rsidRPr="00C34ED0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509A84" w14:textId="521916CB" w:rsidR="00C34ED0" w:rsidRPr="00C34ED0" w:rsidRDefault="00C34ED0" w:rsidP="00C34ED0">
            <w:pPr>
              <w:rPr>
                <w:rFonts w:ascii="Arial" w:hAnsi="Arial" w:cs="Arial"/>
                <w:sz w:val="24"/>
                <w:szCs w:val="24"/>
              </w:rPr>
            </w:pPr>
            <w:r w:rsidRPr="00C34ED0">
              <w:rPr>
                <w:rFonts w:ascii="Arial" w:hAnsi="Arial" w:cs="Arial"/>
                <w:sz w:val="24"/>
                <w:szCs w:val="24"/>
              </w:rPr>
              <w:t>0.010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44887B" w14:textId="4E485DCA" w:rsidR="00C34ED0" w:rsidRPr="00C34ED0" w:rsidRDefault="00C34ED0" w:rsidP="00C34ED0">
            <w:pPr>
              <w:rPr>
                <w:rFonts w:ascii="Arial" w:hAnsi="Arial" w:cs="Arial"/>
                <w:sz w:val="24"/>
                <w:szCs w:val="24"/>
              </w:rPr>
            </w:pPr>
            <w:r w:rsidRPr="00C34ED0">
              <w:rPr>
                <w:rFonts w:ascii="Arial" w:hAnsi="Arial" w:cs="Arial"/>
                <w:sz w:val="24"/>
                <w:szCs w:val="24"/>
              </w:rPr>
              <w:t>0.019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3497F3" w14:textId="26804822" w:rsidR="00C34ED0" w:rsidRPr="00C34ED0" w:rsidRDefault="00C34ED0" w:rsidP="00C34ED0">
            <w:pPr>
              <w:rPr>
                <w:rFonts w:ascii="Arial" w:hAnsi="Arial" w:cs="Arial"/>
                <w:sz w:val="24"/>
                <w:szCs w:val="24"/>
              </w:rPr>
            </w:pPr>
            <w:r w:rsidRPr="00C34ED0">
              <w:rPr>
                <w:rFonts w:ascii="Arial" w:hAnsi="Arial" w:cs="Arial"/>
                <w:sz w:val="24"/>
                <w:szCs w:val="24"/>
              </w:rPr>
              <w:t>0.000</w:t>
            </w:r>
          </w:p>
        </w:tc>
      </w:tr>
    </w:tbl>
    <w:p w14:paraId="064333C5" w14:textId="76B213FD" w:rsidR="0096051E" w:rsidRPr="00C34ED0" w:rsidRDefault="00C34ED0">
      <w:pPr>
        <w:rPr>
          <w:rFonts w:ascii="Times New Roman" w:hAnsi="Times New Roman" w:cs="Times New Roman"/>
        </w:rPr>
      </w:pPr>
      <w:r w:rsidRPr="0088033E">
        <w:rPr>
          <w:rFonts w:ascii="Times New Roman" w:hAnsi="Times New Roman" w:cs="Times New Roman"/>
          <w:vertAlign w:val="superscript"/>
        </w:rPr>
        <w:t>a</w:t>
      </w:r>
      <w:r w:rsidRPr="0088033E">
        <w:rPr>
          <w:rFonts w:ascii="Times New Roman" w:hAnsi="Times New Roman" w:cs="Times New Roman"/>
        </w:rPr>
        <w:t xml:space="preserve"> Phylum to which each genus belongs</w:t>
      </w:r>
      <w:r>
        <w:rPr>
          <w:rFonts w:ascii="Times New Roman" w:hAnsi="Times New Roman" w:cs="Times New Roman"/>
        </w:rPr>
        <w:t>: A (Ascomycota)</w:t>
      </w:r>
    </w:p>
    <w:sectPr w:rsidR="00D56C8B" w:rsidRPr="00C34ED0" w:rsidSect="004B14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DF"/>
    <w:rsid w:val="0003469C"/>
    <w:rsid w:val="00433D54"/>
    <w:rsid w:val="004B14DF"/>
    <w:rsid w:val="007F0BE6"/>
    <w:rsid w:val="0095028A"/>
    <w:rsid w:val="0096051E"/>
    <w:rsid w:val="00B22C0B"/>
    <w:rsid w:val="00BD05A8"/>
    <w:rsid w:val="00C34ED0"/>
    <w:rsid w:val="00D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8780"/>
  <w15:chartTrackingRefBased/>
  <w15:docId w15:val="{886763BF-D419-49F6-8D25-A317ABD8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D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Geromy - REE-ARS</dc:creator>
  <cp:keywords/>
  <dc:description/>
  <cp:lastModifiedBy>Moore, Geromy - REE-ARS</cp:lastModifiedBy>
  <cp:revision>5</cp:revision>
  <dcterms:created xsi:type="dcterms:W3CDTF">2023-07-14T15:55:00Z</dcterms:created>
  <dcterms:modified xsi:type="dcterms:W3CDTF">2023-10-19T13:48:00Z</dcterms:modified>
</cp:coreProperties>
</file>