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D8" w:rsidRPr="00050104" w:rsidRDefault="00ED7ED8" w:rsidP="00ED7ED8">
      <w:pPr>
        <w:pStyle w:val="Ttulo1"/>
        <w:shd w:val="clear" w:color="auto" w:fill="FFFFFF"/>
        <w:rPr>
          <w:rFonts w:cs="Calibri"/>
          <w:sz w:val="24"/>
          <w:szCs w:val="24"/>
          <w:lang w:val="en-US"/>
        </w:rPr>
      </w:pPr>
      <w:r w:rsidRPr="00050104">
        <w:rPr>
          <w:rFonts w:cs="Calibri"/>
          <w:b w:val="0"/>
          <w:sz w:val="24"/>
          <w:szCs w:val="24"/>
          <w:lang w:val="en-US"/>
        </w:rPr>
        <w:t xml:space="preserve">TITLE: </w:t>
      </w:r>
      <w:r w:rsidRPr="00050104">
        <w:rPr>
          <w:rFonts w:cs="Calibri"/>
          <w:sz w:val="24"/>
          <w:szCs w:val="24"/>
          <w:lang w:val="en-US"/>
        </w:rPr>
        <w:t xml:space="preserve">Organ-specific immune-mediated reactions to polyethylene glycol and </w:t>
      </w:r>
      <w:proofErr w:type="spellStart"/>
      <w:r>
        <w:rPr>
          <w:rFonts w:cs="Calibri"/>
          <w:sz w:val="24"/>
          <w:szCs w:val="24"/>
          <w:lang w:val="en-US"/>
        </w:rPr>
        <w:t>p</w:t>
      </w:r>
      <w:r w:rsidRPr="00050104">
        <w:rPr>
          <w:rFonts w:cs="Calibri"/>
          <w:sz w:val="24"/>
          <w:szCs w:val="24"/>
          <w:lang w:val="en-US"/>
        </w:rPr>
        <w:t>olysorbate</w:t>
      </w:r>
      <w:proofErr w:type="spellEnd"/>
      <w:r w:rsidRPr="00050104">
        <w:rPr>
          <w:rFonts w:cs="Calibri"/>
          <w:sz w:val="24"/>
          <w:szCs w:val="24"/>
          <w:lang w:val="en-US"/>
        </w:rPr>
        <w:t xml:space="preserve"> excipients: three case reports</w:t>
      </w:r>
    </w:p>
    <w:p w:rsidR="00ED7ED8" w:rsidRPr="00050104" w:rsidRDefault="00ED7ED8" w:rsidP="00ED7ED8">
      <w:pPr>
        <w:rPr>
          <w:rFonts w:eastAsia="Times New Roman" w:cs="Calibri"/>
          <w:b/>
          <w:sz w:val="24"/>
          <w:szCs w:val="24"/>
          <w:lang w:val="en-US" w:eastAsia="es-ES"/>
        </w:rPr>
      </w:pPr>
    </w:p>
    <w:p w:rsidR="00ED7ED8" w:rsidRPr="00050104" w:rsidRDefault="00ED7ED8" w:rsidP="00ED7ED8">
      <w:pPr>
        <w:rPr>
          <w:rFonts w:eastAsia="Times New Roman" w:cs="Calibri"/>
          <w:b/>
          <w:sz w:val="24"/>
          <w:szCs w:val="24"/>
          <w:lang w:val="en-US" w:eastAsia="es-ES"/>
        </w:rPr>
      </w:pPr>
      <w:r w:rsidRPr="00050104">
        <w:rPr>
          <w:rFonts w:eastAsia="Times New Roman" w:cs="Calibri"/>
          <w:b/>
          <w:sz w:val="24"/>
          <w:szCs w:val="24"/>
          <w:lang w:val="en-US" w:eastAsia="es-ES"/>
        </w:rPr>
        <w:t xml:space="preserve">AUTHORS: </w:t>
      </w:r>
      <w:r w:rsidRPr="00050104">
        <w:rPr>
          <w:rFonts w:eastAsia="Times New Roman" w:cs="Calibri"/>
          <w:bCs/>
          <w:sz w:val="24"/>
          <w:szCs w:val="24"/>
          <w:lang w:val="en-US" w:eastAsia="es-ES"/>
        </w:rPr>
        <w:t>Olga Rogozina</w:t>
      </w:r>
      <w:r w:rsidRPr="00050104">
        <w:rPr>
          <w:rFonts w:eastAsia="Times New Roman" w:cs="Calibri"/>
          <w:bCs/>
          <w:sz w:val="24"/>
          <w:szCs w:val="24"/>
          <w:vertAlign w:val="superscript"/>
          <w:lang w:val="en-US" w:eastAsia="es-ES"/>
        </w:rPr>
        <w:t>1</w:t>
      </w:r>
      <w:r w:rsidRPr="00050104">
        <w:rPr>
          <w:rFonts w:eastAsia="Times New Roman" w:cs="Calibri"/>
          <w:bCs/>
          <w:sz w:val="24"/>
          <w:szCs w:val="24"/>
          <w:lang w:val="en-US" w:eastAsia="es-ES"/>
        </w:rPr>
        <w:t>, Carmen Ruiz-Fernández</w:t>
      </w:r>
      <w:r w:rsidRPr="00050104">
        <w:rPr>
          <w:bCs/>
          <w:vertAlign w:val="superscript"/>
          <w:lang w:val="en-US"/>
        </w:rPr>
        <w:t>2</w:t>
      </w:r>
      <w:r w:rsidRPr="00050104">
        <w:rPr>
          <w:rFonts w:eastAsia="Times New Roman" w:cs="Calibri"/>
          <w:bCs/>
          <w:sz w:val="24"/>
          <w:szCs w:val="24"/>
          <w:lang w:val="en-US" w:eastAsia="es-ES"/>
        </w:rPr>
        <w:t>, Susana Martín-López</w:t>
      </w:r>
      <w:r w:rsidRPr="00050104">
        <w:rPr>
          <w:rFonts w:eastAsia="Times New Roman" w:cs="Calibri"/>
          <w:bCs/>
          <w:sz w:val="24"/>
          <w:szCs w:val="24"/>
          <w:vertAlign w:val="superscript"/>
          <w:lang w:val="en-US" w:eastAsia="es-ES"/>
        </w:rPr>
        <w:t>1</w:t>
      </w:r>
      <w:r w:rsidRPr="00050104">
        <w:rPr>
          <w:lang w:val="en-US"/>
        </w:rPr>
        <w:t xml:space="preserve">, </w:t>
      </w:r>
      <w:proofErr w:type="spellStart"/>
      <w:r w:rsidRPr="00050104">
        <w:rPr>
          <w:rFonts w:eastAsia="Times New Roman" w:cs="Calibri"/>
          <w:bCs/>
          <w:sz w:val="24"/>
          <w:szCs w:val="24"/>
          <w:lang w:val="en-US" w:eastAsia="es-ES"/>
        </w:rPr>
        <w:t>Ibtissam</w:t>
      </w:r>
      <w:proofErr w:type="spellEnd"/>
      <w:r w:rsidRPr="00050104">
        <w:rPr>
          <w:rFonts w:eastAsia="Times New Roman" w:cs="Calibri"/>
          <w:bCs/>
          <w:sz w:val="24"/>
          <w:szCs w:val="24"/>
          <w:lang w:val="en-US" w:eastAsia="es-ES"/>
        </w:rPr>
        <w:t xml:space="preserve"> Akatbach-Bousaid</w:t>
      </w:r>
      <w:r w:rsidRPr="00050104">
        <w:rPr>
          <w:vertAlign w:val="superscript"/>
          <w:lang w:val="en-US"/>
        </w:rPr>
        <w:t>2</w:t>
      </w:r>
      <w:r w:rsidRPr="00050104">
        <w:rPr>
          <w:rFonts w:eastAsia="Times New Roman" w:cs="Calibri"/>
          <w:bCs/>
          <w:sz w:val="24"/>
          <w:szCs w:val="24"/>
          <w:lang w:val="en-US" w:eastAsia="es-ES"/>
        </w:rPr>
        <w:t>, Miguel González-Muñoz</w:t>
      </w:r>
      <w:r w:rsidRPr="00050104">
        <w:rPr>
          <w:bCs/>
          <w:vertAlign w:val="superscript"/>
          <w:lang w:val="en-US"/>
        </w:rPr>
        <w:t>2</w:t>
      </w:r>
      <w:r w:rsidRPr="00050104">
        <w:rPr>
          <w:vertAlign w:val="superscript"/>
          <w:lang w:val="en-US"/>
        </w:rPr>
        <w:t>*</w:t>
      </w:r>
      <w:r w:rsidRPr="00050104">
        <w:rPr>
          <w:rFonts w:eastAsia="Times New Roman" w:cs="Calibri"/>
          <w:bCs/>
          <w:sz w:val="24"/>
          <w:szCs w:val="24"/>
          <w:lang w:val="en-US" w:eastAsia="es-ES"/>
        </w:rPr>
        <w:t>, Elena Ramírez</w:t>
      </w:r>
      <w:r w:rsidRPr="00050104">
        <w:rPr>
          <w:rFonts w:eastAsia="Times New Roman" w:cs="Calibri"/>
          <w:bCs/>
          <w:sz w:val="24"/>
          <w:szCs w:val="24"/>
          <w:vertAlign w:val="superscript"/>
          <w:lang w:val="en-US" w:eastAsia="es-ES"/>
        </w:rPr>
        <w:t>1</w:t>
      </w:r>
      <w:r w:rsidRPr="00050104">
        <w:rPr>
          <w:vertAlign w:val="superscript"/>
          <w:lang w:val="en-US"/>
        </w:rPr>
        <w:t>*</w:t>
      </w:r>
    </w:p>
    <w:p w:rsidR="00ED7ED8" w:rsidRPr="00050104" w:rsidRDefault="00ED7ED8" w:rsidP="00ED7ED8">
      <w:pPr>
        <w:rPr>
          <w:rFonts w:eastAsia="Times New Roman" w:cs="Calibri"/>
          <w:b/>
          <w:sz w:val="24"/>
          <w:szCs w:val="24"/>
          <w:lang w:val="en-US" w:eastAsia="es-ES"/>
        </w:rPr>
      </w:pPr>
      <w:r>
        <w:rPr>
          <w:rFonts w:eastAsia="Times New Roman" w:cs="Calibri"/>
          <w:b/>
          <w:sz w:val="24"/>
          <w:szCs w:val="24"/>
          <w:lang w:val="en-US" w:eastAsia="es-ES"/>
        </w:rPr>
        <w:t>Aff</w:t>
      </w:r>
      <w:r w:rsidRPr="00050104">
        <w:rPr>
          <w:rFonts w:eastAsia="Times New Roman" w:cs="Calibri"/>
          <w:b/>
          <w:sz w:val="24"/>
          <w:szCs w:val="24"/>
          <w:lang w:val="en-US" w:eastAsia="es-ES"/>
        </w:rPr>
        <w:t xml:space="preserve">iliations: </w:t>
      </w:r>
    </w:p>
    <w:p w:rsidR="00ED7ED8" w:rsidRPr="00050104" w:rsidRDefault="00ED7ED8" w:rsidP="00ED7ED8">
      <w:pPr>
        <w:rPr>
          <w:lang w:val="en-US"/>
        </w:rPr>
      </w:pPr>
      <w:r w:rsidRPr="00050104">
        <w:rPr>
          <w:rFonts w:eastAsia="Times New Roman" w:cs="Calibri"/>
          <w:b/>
          <w:sz w:val="24"/>
          <w:szCs w:val="24"/>
          <w:vertAlign w:val="superscript"/>
          <w:lang w:val="en-US" w:eastAsia="es-ES"/>
        </w:rPr>
        <w:t xml:space="preserve">1 </w:t>
      </w:r>
      <w:r w:rsidRPr="00050104">
        <w:rPr>
          <w:lang w:val="en-US"/>
        </w:rPr>
        <w:t>Clinical Pharmacology Department, La Paz University Hospital-</w:t>
      </w:r>
      <w:proofErr w:type="spellStart"/>
      <w:r w:rsidRPr="00050104">
        <w:rPr>
          <w:lang w:val="en-US"/>
        </w:rPr>
        <w:t>IdiPAZ</w:t>
      </w:r>
      <w:proofErr w:type="spellEnd"/>
      <w:r w:rsidRPr="00050104">
        <w:rPr>
          <w:lang w:val="en-US"/>
        </w:rPr>
        <w:t xml:space="preserve">, Faculty of Medicine, </w:t>
      </w:r>
      <w:r>
        <w:rPr>
          <w:lang w:val="en-US"/>
        </w:rPr>
        <w:t>Autonomous University of</w:t>
      </w:r>
      <w:r w:rsidRPr="00050104">
        <w:rPr>
          <w:lang w:val="en-US"/>
        </w:rPr>
        <w:t xml:space="preserve"> Madrid, 28046 Madrid, Spain; </w:t>
      </w:r>
      <w:hyperlink r:id="rId7" w:history="1">
        <w:r w:rsidRPr="00050104">
          <w:rPr>
            <w:rStyle w:val="Hipervnculo"/>
            <w:lang w:val="en-US"/>
          </w:rPr>
          <w:t>olga.rogozina@salud.madrid.org</w:t>
        </w:r>
      </w:hyperlink>
      <w:r w:rsidRPr="00050104">
        <w:rPr>
          <w:lang w:val="en-US"/>
        </w:rPr>
        <w:t xml:space="preserve"> (O.G.); smartinlopez@salud.madrid.org (S.M.-L), </w:t>
      </w:r>
      <w:hyperlink r:id="rId8" w:history="1">
        <w:r w:rsidRPr="00050104">
          <w:rPr>
            <w:rStyle w:val="Hipervnculo"/>
            <w:lang w:val="en-US"/>
          </w:rPr>
          <w:t>elena.ramirezg@uam.es</w:t>
        </w:r>
      </w:hyperlink>
      <w:r>
        <w:rPr>
          <w:lang w:val="en-US"/>
        </w:rPr>
        <w:t xml:space="preserve"> </w:t>
      </w:r>
      <w:r w:rsidRPr="00050104">
        <w:rPr>
          <w:lang w:val="en-US"/>
        </w:rPr>
        <w:t>(E.R.)</w:t>
      </w:r>
    </w:p>
    <w:p w:rsidR="00ED7ED8" w:rsidRPr="00050104" w:rsidRDefault="00ED7ED8" w:rsidP="00ED7ED8">
      <w:pPr>
        <w:rPr>
          <w:lang w:val="en-US"/>
        </w:rPr>
      </w:pPr>
      <w:proofErr w:type="gramStart"/>
      <w:r w:rsidRPr="00050104">
        <w:rPr>
          <w:vertAlign w:val="superscript"/>
          <w:lang w:val="en-US"/>
        </w:rPr>
        <w:t>2</w:t>
      </w:r>
      <w:proofErr w:type="gramEnd"/>
      <w:r w:rsidRPr="00050104">
        <w:rPr>
          <w:lang w:val="en-US"/>
        </w:rPr>
        <w:t xml:space="preserve"> Immunology Department, La Paz University Hospital-</w:t>
      </w:r>
      <w:proofErr w:type="spellStart"/>
      <w:r w:rsidRPr="00050104">
        <w:rPr>
          <w:lang w:val="en-US"/>
        </w:rPr>
        <w:t>IdiPAZ</w:t>
      </w:r>
      <w:proofErr w:type="spellEnd"/>
      <w:r w:rsidRPr="00050104">
        <w:rPr>
          <w:lang w:val="en-US"/>
        </w:rPr>
        <w:t xml:space="preserve">, 28046 Madrid, Spain; carmen.ruiz@idipaz.es (C.R.-F.); </w:t>
      </w:r>
      <w:hyperlink r:id="rId9" w:history="1">
        <w:r w:rsidRPr="00050104">
          <w:rPr>
            <w:rStyle w:val="Hipervnculo"/>
            <w:lang w:val="en-US"/>
          </w:rPr>
          <w:t>ibtissam.</w:t>
        </w:r>
      </w:hyperlink>
      <w:r w:rsidRPr="00050104">
        <w:rPr>
          <w:lang w:val="en-US"/>
        </w:rPr>
        <w:t xml:space="preserve">akatbach@salud.madrid.org (I.A.-B.) </w:t>
      </w:r>
      <w:hyperlink r:id="rId10" w:history="1">
        <w:r w:rsidRPr="00050104">
          <w:rPr>
            <w:rStyle w:val="Hipervnculo"/>
            <w:lang w:val="en-US"/>
          </w:rPr>
          <w:t>miguel.gonzalez.munoz@salud.madrid.org</w:t>
        </w:r>
      </w:hyperlink>
      <w:r w:rsidRPr="00050104">
        <w:rPr>
          <w:lang w:val="en-US"/>
        </w:rPr>
        <w:t xml:space="preserve"> (M.G.-M.) </w:t>
      </w:r>
    </w:p>
    <w:p w:rsidR="00ED7ED8" w:rsidRPr="00050104" w:rsidRDefault="00ED7ED8" w:rsidP="00ED7ED8">
      <w:pPr>
        <w:rPr>
          <w:lang w:val="en-US"/>
        </w:rPr>
      </w:pPr>
      <w:r w:rsidRPr="00050104">
        <w:rPr>
          <w:vertAlign w:val="superscript"/>
          <w:lang w:val="en-US"/>
        </w:rPr>
        <w:t>*</w:t>
      </w:r>
      <w:r w:rsidRPr="00050104">
        <w:rPr>
          <w:lang w:val="en-US"/>
        </w:rPr>
        <w:t xml:space="preserve"> Correspondence: </w:t>
      </w:r>
      <w:hyperlink r:id="rId11" w:history="1">
        <w:r w:rsidRPr="00050104">
          <w:rPr>
            <w:rStyle w:val="Hipervnculo"/>
            <w:lang w:val="en-US"/>
          </w:rPr>
          <w:t>miguel.gonzalez.munoz@salud.madrid.org</w:t>
        </w:r>
      </w:hyperlink>
      <w:r w:rsidRPr="00050104">
        <w:rPr>
          <w:lang w:val="en-US"/>
        </w:rPr>
        <w:t xml:space="preserve"> (M.G.-M.); </w:t>
      </w:r>
      <w:hyperlink r:id="rId12" w:history="1">
        <w:r w:rsidRPr="00050104">
          <w:rPr>
            <w:rStyle w:val="Hipervnculo"/>
            <w:lang w:val="en-US"/>
          </w:rPr>
          <w:t>elena.ramirezg@uam.es</w:t>
        </w:r>
      </w:hyperlink>
      <w:r w:rsidRPr="00050104">
        <w:rPr>
          <w:lang w:val="en-US"/>
        </w:rPr>
        <w:t xml:space="preserve"> (E.R.); Tel</w:t>
      </w:r>
      <w:proofErr w:type="gramStart"/>
      <w:r w:rsidRPr="00050104">
        <w:rPr>
          <w:lang w:val="en-US"/>
        </w:rPr>
        <w:t>./</w:t>
      </w:r>
      <w:proofErr w:type="gramEnd"/>
      <w:r w:rsidRPr="00050104">
        <w:rPr>
          <w:lang w:val="en-US"/>
        </w:rPr>
        <w:t>Fax: +34-917-277-558 (M.G.-M.); +34-917-277-559 (E.R.)</w:t>
      </w:r>
    </w:p>
    <w:p w:rsidR="00ED7ED8" w:rsidRPr="00050104" w:rsidRDefault="00ED7ED8" w:rsidP="00ED7ED8">
      <w:pPr>
        <w:rPr>
          <w:rFonts w:eastAsia="Times New Roman" w:cs="Calibri"/>
          <w:b/>
          <w:sz w:val="24"/>
          <w:szCs w:val="24"/>
          <w:lang w:val="en-US" w:eastAsia="es-ES"/>
        </w:rPr>
      </w:pPr>
    </w:p>
    <w:p w:rsidR="00ED7ED8" w:rsidRDefault="00ED7ED8">
      <w:pPr>
        <w:rPr>
          <w:rFonts w:cstheme="minorHAnsi"/>
          <w:lang w:val="en-GB"/>
        </w:rPr>
      </w:pPr>
    </w:p>
    <w:p w:rsidR="0099095B" w:rsidRPr="00ED7ED8" w:rsidRDefault="00503EA0">
      <w:pPr>
        <w:rPr>
          <w:rFonts w:cstheme="minorHAnsi"/>
          <w:b/>
          <w:u w:val="single"/>
          <w:lang w:val="en-GB"/>
        </w:rPr>
      </w:pPr>
      <w:r w:rsidRPr="00ED7ED8">
        <w:rPr>
          <w:rFonts w:cstheme="minorHAnsi"/>
          <w:b/>
          <w:u w:val="single"/>
          <w:lang w:val="en-GB"/>
        </w:rPr>
        <w:t>Supplementary Methodol</w:t>
      </w:r>
      <w:r w:rsidR="00985D39" w:rsidRPr="00ED7ED8">
        <w:rPr>
          <w:rFonts w:cstheme="minorHAnsi"/>
          <w:b/>
          <w:u w:val="single"/>
          <w:lang w:val="en-GB"/>
        </w:rPr>
        <w:t>o</w:t>
      </w:r>
      <w:r w:rsidRPr="00ED7ED8">
        <w:rPr>
          <w:rFonts w:cstheme="minorHAnsi"/>
          <w:b/>
          <w:u w:val="single"/>
          <w:lang w:val="en-GB"/>
        </w:rPr>
        <w:t>gy</w:t>
      </w:r>
    </w:p>
    <w:p w:rsidR="00ED7ED8" w:rsidRDefault="00ED7ED8" w:rsidP="00D82102">
      <w:pPr>
        <w:rPr>
          <w:rFonts w:cstheme="minorHAnsi"/>
          <w:b/>
          <w:color w:val="212121"/>
          <w:shd w:val="clear" w:color="auto" w:fill="FFFFFF"/>
          <w:lang w:val="en-GB"/>
        </w:rPr>
      </w:pPr>
      <w:bookmarkStart w:id="0" w:name="_GoBack"/>
      <w:bookmarkEnd w:id="0"/>
    </w:p>
    <w:p w:rsidR="00D82102" w:rsidRPr="00E15336" w:rsidRDefault="00D82102" w:rsidP="00D82102">
      <w:pPr>
        <w:rPr>
          <w:rFonts w:cstheme="minorHAnsi"/>
          <w:b/>
          <w:color w:val="212121"/>
          <w:shd w:val="clear" w:color="auto" w:fill="FFFFFF"/>
          <w:lang w:val="en-GB"/>
        </w:rPr>
      </w:pPr>
      <w:r w:rsidRPr="00E15336">
        <w:rPr>
          <w:rFonts w:cstheme="minorHAnsi"/>
          <w:b/>
          <w:color w:val="212121"/>
          <w:shd w:val="clear" w:color="auto" w:fill="FFFFFF"/>
          <w:lang w:val="en-GB"/>
        </w:rPr>
        <w:t xml:space="preserve">Flow </w:t>
      </w:r>
      <w:proofErr w:type="spellStart"/>
      <w:r w:rsidRPr="00E15336">
        <w:rPr>
          <w:rFonts w:cstheme="minorHAnsi"/>
          <w:b/>
          <w:color w:val="212121"/>
          <w:shd w:val="clear" w:color="auto" w:fill="FFFFFF"/>
          <w:lang w:val="en-GB"/>
        </w:rPr>
        <w:t>cytometric</w:t>
      </w:r>
      <w:proofErr w:type="spellEnd"/>
      <w:r w:rsidRPr="00E15336">
        <w:rPr>
          <w:rFonts w:cstheme="minorHAnsi"/>
          <w:b/>
          <w:color w:val="212121"/>
          <w:shd w:val="clear" w:color="auto" w:fill="FFFFFF"/>
          <w:lang w:val="en-GB"/>
        </w:rPr>
        <w:t xml:space="preserve"> analysis</w:t>
      </w:r>
    </w:p>
    <w:p w:rsidR="00D82102" w:rsidRPr="00E15336" w:rsidRDefault="00D82102" w:rsidP="00D82102">
      <w:pPr>
        <w:rPr>
          <w:rFonts w:cstheme="minorHAnsi"/>
          <w:color w:val="212121"/>
          <w:lang w:val="en-GB"/>
        </w:rPr>
      </w:pPr>
      <w:r w:rsidRPr="00E15336">
        <w:rPr>
          <w:rFonts w:cstheme="minorHAnsi"/>
          <w:color w:val="212121"/>
          <w:lang w:val="en-GB"/>
        </w:rPr>
        <w:t xml:space="preserve">Heparinized blood was drawn and samples </w:t>
      </w:r>
      <w:proofErr w:type="gramStart"/>
      <w:r w:rsidRPr="00E15336">
        <w:rPr>
          <w:rFonts w:cstheme="minorHAnsi"/>
          <w:color w:val="212121"/>
          <w:lang w:val="en-GB"/>
        </w:rPr>
        <w:t>were processed</w:t>
      </w:r>
      <w:proofErr w:type="gramEnd"/>
      <w:r w:rsidRPr="00E15336">
        <w:rPr>
          <w:rFonts w:cstheme="minorHAnsi"/>
          <w:color w:val="212121"/>
          <w:lang w:val="en-GB"/>
        </w:rPr>
        <w:t xml:space="preserve"> within 2 h of venipuncture. Blood was diluted ½ with RPMI 1640 medium and 100 µL aliquots </w:t>
      </w:r>
      <w:proofErr w:type="gramStart"/>
      <w:r w:rsidRPr="00E15336">
        <w:rPr>
          <w:rFonts w:cstheme="minorHAnsi"/>
          <w:color w:val="212121"/>
          <w:lang w:val="en-GB"/>
        </w:rPr>
        <w:t>were incubated</w:t>
      </w:r>
      <w:proofErr w:type="gramEnd"/>
      <w:r w:rsidRPr="00E15336">
        <w:rPr>
          <w:rFonts w:cstheme="minorHAnsi"/>
          <w:color w:val="212121"/>
          <w:lang w:val="en-GB"/>
        </w:rPr>
        <w:t xml:space="preserve"> in duplicate with 50 µL of several concentrations of drugs for 72 hours at 37</w:t>
      </w:r>
      <w:r w:rsidRPr="00E15336">
        <w:rPr>
          <w:rFonts w:cstheme="minorHAnsi"/>
          <w:color w:val="212121"/>
          <w:vertAlign w:val="superscript"/>
          <w:lang w:val="en-GB"/>
        </w:rPr>
        <w:t>o</w:t>
      </w:r>
      <w:r w:rsidRPr="00E15336">
        <w:rPr>
          <w:rFonts w:cstheme="minorHAnsi"/>
          <w:color w:val="212121"/>
          <w:lang w:val="en-GB"/>
        </w:rPr>
        <w:t>C in 5% CO</w:t>
      </w:r>
      <w:r w:rsidRPr="00E15336">
        <w:rPr>
          <w:rFonts w:cstheme="minorHAnsi"/>
          <w:color w:val="212121"/>
          <w:vertAlign w:val="subscript"/>
          <w:lang w:val="en-GB"/>
        </w:rPr>
        <w:t>2</w:t>
      </w:r>
      <w:r w:rsidRPr="00E15336">
        <w:rPr>
          <w:rFonts w:cstheme="minorHAnsi"/>
          <w:color w:val="212121"/>
          <w:lang w:val="en-GB"/>
        </w:rPr>
        <w:t xml:space="preserve">. Negative and positive controls were included by incubating the blood with or without PHA (final concentration 20 µg/mL), respectively. The following final drug concentrations </w:t>
      </w:r>
      <w:proofErr w:type="gramStart"/>
      <w:r w:rsidRPr="00E15336">
        <w:rPr>
          <w:rFonts w:cstheme="minorHAnsi"/>
          <w:color w:val="212121"/>
          <w:lang w:val="en-GB"/>
        </w:rPr>
        <w:t>were assayed</w:t>
      </w:r>
      <w:proofErr w:type="gramEnd"/>
      <w:r w:rsidRPr="00E15336">
        <w:rPr>
          <w:rFonts w:cstheme="minorHAnsi"/>
          <w:color w:val="212121"/>
          <w:lang w:val="en-GB"/>
        </w:rPr>
        <w:t>: 500 and 200 µg/mL for amoxicillin, 100 and 10 µg/mL for omeprazole and 10 and 1 µg/mL for polysorbate 80 and PEG 3350.</w:t>
      </w:r>
    </w:p>
    <w:p w:rsidR="00D82102" w:rsidRPr="00E15336" w:rsidRDefault="00D82102" w:rsidP="00D82102">
      <w:pPr>
        <w:rPr>
          <w:rFonts w:cstheme="minorHAnsi"/>
          <w:color w:val="212121"/>
          <w:lang w:val="en-GB"/>
        </w:rPr>
      </w:pPr>
      <w:r w:rsidRPr="00E15336">
        <w:rPr>
          <w:rFonts w:cstheme="minorHAnsi"/>
          <w:color w:val="212121"/>
          <w:lang w:val="en-GB"/>
        </w:rPr>
        <w:t xml:space="preserve">To analyse T cells activation, cells were stained with </w:t>
      </w:r>
      <w:proofErr w:type="gramStart"/>
      <w:r w:rsidRPr="00E15336">
        <w:rPr>
          <w:rFonts w:cstheme="minorHAnsi"/>
          <w:color w:val="212121"/>
          <w:lang w:val="en-GB"/>
        </w:rPr>
        <w:t>CD3(</w:t>
      </w:r>
      <w:proofErr w:type="gramEnd"/>
      <w:r w:rsidRPr="00E15336">
        <w:rPr>
          <w:rFonts w:cstheme="minorHAnsi"/>
          <w:color w:val="212121"/>
          <w:lang w:val="en-GB"/>
        </w:rPr>
        <w:t>IgG1κ, CloneUCHT1)-FITC/CD4(IgG2bκ, clone OKT4)-</w:t>
      </w:r>
      <w:proofErr w:type="spellStart"/>
      <w:r w:rsidRPr="00E15336">
        <w:rPr>
          <w:rFonts w:cstheme="minorHAnsi"/>
          <w:color w:val="212121"/>
          <w:lang w:val="en-GB"/>
        </w:rPr>
        <w:t>PerCP</w:t>
      </w:r>
      <w:proofErr w:type="spellEnd"/>
      <w:r w:rsidRPr="00E15336">
        <w:rPr>
          <w:rFonts w:cstheme="minorHAnsi"/>
          <w:color w:val="212121"/>
          <w:lang w:val="en-GB"/>
        </w:rPr>
        <w:t>/CD69(IgG1κ, clone FN50)-PE or IgG1κ isotype control-PE (</w:t>
      </w:r>
      <w:proofErr w:type="spellStart"/>
      <w:r w:rsidRPr="00E15336">
        <w:rPr>
          <w:rFonts w:cstheme="minorHAnsi"/>
          <w:color w:val="212121"/>
          <w:lang w:val="en-GB"/>
        </w:rPr>
        <w:t>Biolegend</w:t>
      </w:r>
      <w:proofErr w:type="spellEnd"/>
      <w:r w:rsidRPr="00E15336">
        <w:rPr>
          <w:rFonts w:cstheme="minorHAnsi"/>
          <w:color w:val="212121"/>
          <w:lang w:val="en-GB"/>
        </w:rPr>
        <w:t xml:space="preserve">, Barcelona, Spain) for 20 minutes in the dark. Then, samples </w:t>
      </w:r>
      <w:proofErr w:type="gramStart"/>
      <w:r w:rsidRPr="00E15336">
        <w:rPr>
          <w:rFonts w:cstheme="minorHAnsi"/>
          <w:color w:val="212121"/>
          <w:lang w:val="en-GB"/>
        </w:rPr>
        <w:t>were incubated</w:t>
      </w:r>
      <w:proofErr w:type="gramEnd"/>
      <w:r w:rsidRPr="00E15336">
        <w:rPr>
          <w:rFonts w:cstheme="minorHAnsi"/>
          <w:color w:val="212121"/>
          <w:lang w:val="en-GB"/>
        </w:rPr>
        <w:t xml:space="preserve"> with 2 mL of Lysing/Fixation Solution (Beckman Coulter, Madrid, Spain) for 15 min at room temperature. After centrifugation (400 g, 5 min) and washing with PBS, cells </w:t>
      </w:r>
      <w:proofErr w:type="gramStart"/>
      <w:r w:rsidRPr="00E15336">
        <w:rPr>
          <w:rFonts w:cstheme="minorHAnsi"/>
          <w:color w:val="212121"/>
          <w:lang w:val="en-GB"/>
        </w:rPr>
        <w:t xml:space="preserve">were resuspended with 250 µL of PBS and acquired in a </w:t>
      </w:r>
      <w:proofErr w:type="spellStart"/>
      <w:r w:rsidRPr="00E15336">
        <w:rPr>
          <w:rFonts w:cstheme="minorHAnsi"/>
          <w:color w:val="212121"/>
          <w:lang w:val="en-GB"/>
        </w:rPr>
        <w:t>Dxflex</w:t>
      </w:r>
      <w:proofErr w:type="spellEnd"/>
      <w:r w:rsidRPr="00E15336">
        <w:rPr>
          <w:rFonts w:cstheme="minorHAnsi"/>
          <w:color w:val="212121"/>
          <w:lang w:val="en-GB"/>
        </w:rPr>
        <w:t xml:space="preserve"> flow cytometer (Beckman Coulter)</w:t>
      </w:r>
      <w:proofErr w:type="gramEnd"/>
      <w:r w:rsidRPr="00E15336">
        <w:rPr>
          <w:rFonts w:cstheme="minorHAnsi"/>
          <w:color w:val="212121"/>
          <w:lang w:val="en-GB"/>
        </w:rPr>
        <w:t xml:space="preserve">. Lymphocyte population was gated using side scattering (SSC) and forward scattering (FSC) to exclude debris and dead cells. T cells </w:t>
      </w:r>
      <w:proofErr w:type="gramStart"/>
      <w:r w:rsidRPr="00E15336">
        <w:rPr>
          <w:rFonts w:cstheme="minorHAnsi"/>
          <w:color w:val="212121"/>
          <w:lang w:val="en-GB"/>
        </w:rPr>
        <w:t>were identified</w:t>
      </w:r>
      <w:proofErr w:type="gramEnd"/>
      <w:r w:rsidRPr="00E15336">
        <w:rPr>
          <w:rFonts w:cstheme="minorHAnsi"/>
          <w:color w:val="212121"/>
          <w:lang w:val="en-GB"/>
        </w:rPr>
        <w:t xml:space="preserve"> in a SSC/CD3 dot plot and, subsequently, CD4+ T cells were identified in a CD3/CD4 dot plot. At least 20,000 CD3+ cells were analysed. A stimulation index (SI) </w:t>
      </w:r>
      <w:proofErr w:type="gramStart"/>
      <w:r w:rsidRPr="00E15336">
        <w:rPr>
          <w:rFonts w:cstheme="minorHAnsi"/>
          <w:color w:val="212121"/>
          <w:lang w:val="en-GB"/>
        </w:rPr>
        <w:t>was calculated</w:t>
      </w:r>
      <w:proofErr w:type="gramEnd"/>
      <w:r w:rsidRPr="00E15336">
        <w:rPr>
          <w:rFonts w:cstheme="minorHAnsi"/>
          <w:color w:val="212121"/>
          <w:lang w:val="en-GB"/>
        </w:rPr>
        <w:t xml:space="preserve"> as the ratio of percentage of CD3+CD4+CD69+ cells in drug-stimulated cultures to baseline percentage in unstimulated cells. The result was considered positive if the SI was higher than </w:t>
      </w:r>
      <w:proofErr w:type="gramStart"/>
      <w:r w:rsidRPr="00E15336">
        <w:rPr>
          <w:rFonts w:cstheme="minorHAnsi"/>
          <w:color w:val="212121"/>
          <w:lang w:val="en-GB"/>
        </w:rPr>
        <w:t>2</w:t>
      </w:r>
      <w:proofErr w:type="gramEnd"/>
      <w:r w:rsidRPr="00E15336">
        <w:rPr>
          <w:rFonts w:cstheme="minorHAnsi"/>
          <w:color w:val="212121"/>
          <w:lang w:val="en-GB"/>
        </w:rPr>
        <w:t>. Flow cytometric analyses in three exposed healthy controls for each drug assayed were also performed and negative results (SI&lt;2) were obtained.</w:t>
      </w:r>
    </w:p>
    <w:p w:rsidR="00D82102" w:rsidRPr="00E15336" w:rsidRDefault="00D82102" w:rsidP="00D82102">
      <w:pPr>
        <w:rPr>
          <w:rFonts w:cstheme="minorHAnsi"/>
          <w:b/>
          <w:color w:val="212121"/>
          <w:lang w:val="en-GB"/>
        </w:rPr>
      </w:pPr>
      <w:r w:rsidRPr="00E15336">
        <w:rPr>
          <w:rFonts w:cstheme="minorHAnsi"/>
          <w:b/>
          <w:color w:val="212121"/>
          <w:lang w:val="en-GB"/>
        </w:rPr>
        <w:lastRenderedPageBreak/>
        <w:t>Lymphocyte transformation test</w:t>
      </w:r>
    </w:p>
    <w:p w:rsidR="00D82102" w:rsidRPr="00E15336" w:rsidRDefault="00D82102" w:rsidP="00D82102">
      <w:pPr>
        <w:rPr>
          <w:rFonts w:cstheme="minorHAnsi"/>
          <w:color w:val="212121"/>
          <w:lang w:val="en-GB"/>
        </w:rPr>
      </w:pPr>
      <w:r w:rsidRPr="00E15336">
        <w:rPr>
          <w:rFonts w:cstheme="minorHAnsi"/>
          <w:color w:val="212121"/>
          <w:lang w:val="en-GB"/>
        </w:rPr>
        <w:t xml:space="preserve">The LTT </w:t>
      </w:r>
      <w:proofErr w:type="gramStart"/>
      <w:r w:rsidRPr="00E15336">
        <w:rPr>
          <w:rFonts w:cstheme="minorHAnsi"/>
          <w:color w:val="212121"/>
          <w:lang w:val="en-GB"/>
        </w:rPr>
        <w:t>was performed</w:t>
      </w:r>
      <w:proofErr w:type="gramEnd"/>
      <w:r w:rsidRPr="00E15336">
        <w:rPr>
          <w:rFonts w:cstheme="minorHAnsi"/>
          <w:color w:val="212121"/>
          <w:lang w:val="en-GB"/>
        </w:rPr>
        <w:t xml:space="preserve"> using different concentrations of the drug/drugs involved. Mononuclear cells </w:t>
      </w:r>
      <w:proofErr w:type="gramStart"/>
      <w:r w:rsidRPr="00E15336">
        <w:rPr>
          <w:rFonts w:cstheme="minorHAnsi"/>
          <w:color w:val="212121"/>
          <w:lang w:val="en-GB"/>
        </w:rPr>
        <w:t>were separated</w:t>
      </w:r>
      <w:proofErr w:type="gramEnd"/>
      <w:r w:rsidRPr="00E15336">
        <w:rPr>
          <w:rFonts w:cstheme="minorHAnsi"/>
          <w:color w:val="212121"/>
          <w:lang w:val="en-GB"/>
        </w:rPr>
        <w:t xml:space="preserve"> over a density gradient (Histopaque-1077, Sigma-Aldrich) from fresh peripheral blood and were incubated for 6 days at 10</w:t>
      </w:r>
      <w:r w:rsidRPr="00E15336">
        <w:rPr>
          <w:rFonts w:cstheme="minorHAnsi"/>
          <w:color w:val="212121"/>
          <w:vertAlign w:val="superscript"/>
          <w:lang w:val="en-GB"/>
        </w:rPr>
        <w:t>6</w:t>
      </w:r>
      <w:r w:rsidRPr="00E15336">
        <w:rPr>
          <w:rFonts w:cstheme="minorHAnsi"/>
          <w:color w:val="212121"/>
          <w:lang w:val="en-GB"/>
        </w:rPr>
        <w:t xml:space="preserve"> cells/ml with various drug concentrations in triplicate. The following final drug concentrations </w:t>
      </w:r>
      <w:proofErr w:type="gramStart"/>
      <w:r w:rsidRPr="00E15336">
        <w:rPr>
          <w:rFonts w:cstheme="minorHAnsi"/>
          <w:color w:val="212121"/>
          <w:lang w:val="en-GB"/>
        </w:rPr>
        <w:t>were assayed</w:t>
      </w:r>
      <w:proofErr w:type="gramEnd"/>
      <w:r w:rsidRPr="00E15336">
        <w:rPr>
          <w:rFonts w:cstheme="minorHAnsi"/>
          <w:color w:val="212121"/>
          <w:lang w:val="en-GB"/>
        </w:rPr>
        <w:t xml:space="preserve">: 500, 200, 100 and 50 µg/mL for amoxicillin, 100, 10, 1 and 0.1 µg/mL for omeprazole and 10, 1, 0.1 and 0.01 µg/mL for polysorbate 80 and PEG 3350. </w:t>
      </w:r>
      <w:proofErr w:type="spellStart"/>
      <w:r w:rsidRPr="00E15336">
        <w:rPr>
          <w:rFonts w:cstheme="minorHAnsi"/>
          <w:color w:val="212121"/>
          <w:lang w:val="en-GB"/>
        </w:rPr>
        <w:t>Phytohemagglutinin</w:t>
      </w:r>
      <w:proofErr w:type="spellEnd"/>
      <w:r w:rsidRPr="00E15336">
        <w:rPr>
          <w:rFonts w:cstheme="minorHAnsi"/>
          <w:color w:val="212121"/>
          <w:lang w:val="en-GB"/>
        </w:rPr>
        <w:t xml:space="preserve"> (5 µg/ml) </w:t>
      </w:r>
      <w:proofErr w:type="gramStart"/>
      <w:r w:rsidRPr="00E15336">
        <w:rPr>
          <w:rFonts w:cstheme="minorHAnsi"/>
          <w:color w:val="212121"/>
          <w:lang w:val="en-GB"/>
        </w:rPr>
        <w:t>was used</w:t>
      </w:r>
      <w:proofErr w:type="gramEnd"/>
      <w:r w:rsidRPr="00E15336">
        <w:rPr>
          <w:rFonts w:cstheme="minorHAnsi"/>
          <w:color w:val="212121"/>
          <w:lang w:val="en-GB"/>
        </w:rPr>
        <w:t xml:space="preserve"> as a positive control. For the final 18 hours of the incubation period, proliferation </w:t>
      </w:r>
      <w:proofErr w:type="gramStart"/>
      <w:r w:rsidRPr="00E15336">
        <w:rPr>
          <w:rFonts w:cstheme="minorHAnsi"/>
          <w:color w:val="212121"/>
          <w:lang w:val="en-GB"/>
        </w:rPr>
        <w:t>was determined</w:t>
      </w:r>
      <w:proofErr w:type="gramEnd"/>
      <w:r w:rsidRPr="00E15336">
        <w:rPr>
          <w:rFonts w:cstheme="minorHAnsi"/>
          <w:color w:val="212121"/>
          <w:lang w:val="en-GB"/>
        </w:rPr>
        <w:t xml:space="preserve"> by the addition of [3H] thymidine (0.5 µCi/well). Proliferative responses </w:t>
      </w:r>
      <w:proofErr w:type="gramStart"/>
      <w:r w:rsidRPr="00E15336">
        <w:rPr>
          <w:rFonts w:cstheme="minorHAnsi"/>
          <w:color w:val="212121"/>
          <w:lang w:val="en-GB"/>
        </w:rPr>
        <w:t>were calculated</w:t>
      </w:r>
      <w:proofErr w:type="gramEnd"/>
      <w:r w:rsidRPr="00E15336">
        <w:rPr>
          <w:rFonts w:cstheme="minorHAnsi"/>
          <w:color w:val="212121"/>
          <w:lang w:val="en-GB"/>
        </w:rPr>
        <w:t xml:space="preserve"> as SI, defined as the ratio between the mean values of counts per minute in cultures with drug and those obtained without drug. A positive response </w:t>
      </w:r>
      <w:proofErr w:type="gramStart"/>
      <w:r w:rsidRPr="00E15336">
        <w:rPr>
          <w:rFonts w:cstheme="minorHAnsi"/>
          <w:color w:val="212121"/>
          <w:lang w:val="en-GB"/>
        </w:rPr>
        <w:t>was defined</w:t>
      </w:r>
      <w:proofErr w:type="gramEnd"/>
      <w:r w:rsidRPr="00E15336">
        <w:rPr>
          <w:rFonts w:cstheme="minorHAnsi"/>
          <w:color w:val="212121"/>
          <w:lang w:val="en-GB"/>
        </w:rPr>
        <w:t xml:space="preserve"> as an SI ≥2. LTT was performed in at least three exposed healthy controls for each drug and negative results (SI&lt;2) were obtained.</w:t>
      </w:r>
    </w:p>
    <w:p w:rsidR="00D82102" w:rsidRPr="00E15336" w:rsidRDefault="00D82102" w:rsidP="00D8210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15336">
        <w:rPr>
          <w:rFonts w:asciiTheme="minorHAnsi" w:hAnsiTheme="minorHAnsi" w:cstheme="minorHAnsi"/>
          <w:b/>
          <w:bCs/>
          <w:sz w:val="22"/>
          <w:szCs w:val="22"/>
          <w:lang w:val="en-US"/>
        </w:rPr>
        <w:t>Spanish pharmacovigilance system algorithm</w:t>
      </w:r>
    </w:p>
    <w:p w:rsidR="00D82102" w:rsidRPr="00E15336" w:rsidRDefault="00D82102" w:rsidP="00D82102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D82102" w:rsidRPr="00E15336" w:rsidRDefault="00D82102" w:rsidP="00D82102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4"/>
      </w:tblGrid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</w:p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bookmarkStart w:id="1" w:name="Table1"/>
            <w:bookmarkEnd w:id="1"/>
            <w:r w:rsidRPr="00E15336">
              <w:rPr>
                <w:rFonts w:asciiTheme="minorHAnsi" w:eastAsia="Times New Roman" w:hAnsiTheme="minorHAnsi" w:cstheme="minorHAnsi"/>
                <w:lang w:val="en-GB"/>
              </w:rPr>
              <w:t>Algorithm of the Spanish Pharmacovigilance System</w:t>
            </w:r>
          </w:p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 xml:space="preserve">1. The chronology referred to as the interval between drug administration and effect : 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</w:t>
            </w:r>
            <w:r w:rsidRPr="00E15336">
              <w:rPr>
                <w:rFonts w:asciiTheme="minorHAnsi" w:eastAsia="Times New Roman" w:hAnsiTheme="minorHAnsi" w:cstheme="minorHAnsi"/>
              </w:rPr>
              <w:t>1. Compatible (score +2)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 2.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Not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totally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compatible (+1)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 3. No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information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 4. Incompatible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chronology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(-1)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5. Particular case of syndrome of abstinence (+2). 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2. The literature, defining the degree of knowledge of the relationship between the drug and the effect: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1. Known in the literature of reference (+2):  collected in </w:t>
            </w:r>
            <w:bookmarkStart w:id="2" w:name="_Hlk144846393"/>
            <w:r w:rsidRPr="00E15336">
              <w:rPr>
                <w:rFonts w:asciiTheme="minorHAnsi" w:eastAsia="Times New Roman" w:hAnsiTheme="minorHAnsi" w:cstheme="minorHAnsi"/>
                <w:lang w:val="en-GB"/>
              </w:rPr>
              <w:t>Summary of Product Characteristics</w:t>
            </w:r>
            <w:bookmarkEnd w:id="2"/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or in books of reference (Martindale, Meyer’s</w:t>
            </w:r>
            <w:proofErr w:type="gramStart"/>
            <w:r w:rsidRPr="00E15336">
              <w:rPr>
                <w:rFonts w:asciiTheme="minorHAnsi" w:eastAsia="Times New Roman" w:hAnsiTheme="minorHAnsi" w:cstheme="minorHAnsi"/>
                <w:lang w:val="en-GB"/>
              </w:rPr>
              <w:t>) .</w:t>
            </w:r>
            <w:proofErr w:type="gramEnd"/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2. Occasionally known (+1): only found in published cases reports. 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</w:t>
            </w:r>
            <w:r w:rsidRPr="00E15336">
              <w:rPr>
                <w:rFonts w:asciiTheme="minorHAnsi" w:eastAsia="Times New Roman" w:hAnsiTheme="minorHAnsi" w:cstheme="minorHAnsi"/>
              </w:rPr>
              <w:t xml:space="preserve">3.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Unknown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4. There is pharmacological information against relationship between medicine and the adverse effect (-1)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>3</w:t>
            </w:r>
            <w:r w:rsidRPr="00E15336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.  The evaluation of drug withdrawal: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</w:t>
            </w:r>
            <w:r w:rsidRPr="00E15336">
              <w:rPr>
                <w:rFonts w:asciiTheme="minorHAnsi" w:eastAsia="Times New Roman" w:hAnsiTheme="minorHAnsi" w:cstheme="minorHAnsi"/>
              </w:rPr>
              <w:t xml:space="preserve">1.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Improves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with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the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withdrawal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(+2)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2. Does not improve with withdrawal (-2)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3. No improvement and no withdrawal (+1)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4. Improves and there is no withdrawal (-2)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</w:t>
            </w:r>
            <w:r w:rsidRPr="00E15336">
              <w:rPr>
                <w:rFonts w:asciiTheme="minorHAnsi" w:eastAsia="Times New Roman" w:hAnsiTheme="minorHAnsi" w:cstheme="minorHAnsi"/>
              </w:rPr>
              <w:t xml:space="preserve">5. No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information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 6.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Death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or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irreversible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effect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7. Improves by development of tolerance, to despite not to withdraw (+1)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 8. Improves with symptomatic treatment to despite not to withdraw (+1)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4.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The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rechallenge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effect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: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 1. Positive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effect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reappearance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(+3)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2. Negative, the effect does not reappear (-1)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</w:t>
            </w:r>
            <w:r w:rsidRPr="00E15336">
              <w:rPr>
                <w:rFonts w:asciiTheme="minorHAnsi" w:eastAsia="Times New Roman" w:hAnsiTheme="minorHAnsi" w:cstheme="minorHAnsi"/>
              </w:rPr>
              <w:t>3. No re-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exposure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or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no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information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 4.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Death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or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irreversible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effect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 5. Positive for a different specialty with the same active ingredient or parent drug (+1)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 xml:space="preserve">5.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Alternative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 causes: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1. Yes, an illness or other drugs (-3).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2. Similar likelihood for drug and other causes (-1)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</w:t>
            </w:r>
            <w:r w:rsidRPr="00E15336">
              <w:rPr>
                <w:rFonts w:asciiTheme="minorHAnsi" w:eastAsia="Times New Roman" w:hAnsiTheme="minorHAnsi" w:cstheme="minorHAnsi"/>
              </w:rPr>
              <w:t xml:space="preserve">3.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Missing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</w:rPr>
              <w:t>information</w:t>
            </w:r>
            <w:proofErr w:type="spellEnd"/>
            <w:r w:rsidRPr="00E15336">
              <w:rPr>
                <w:rFonts w:asciiTheme="minorHAnsi" w:eastAsia="Times New Roman" w:hAnsiTheme="minorHAnsi" w:cstheme="minorHAnsi"/>
              </w:rPr>
              <w:t xml:space="preserve"> (0)</w:t>
            </w:r>
          </w:p>
        </w:tc>
      </w:tr>
      <w:tr w:rsidR="00D82102" w:rsidRPr="00ED7ED8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lang w:val="en-GB"/>
              </w:rPr>
              <w:t xml:space="preserve">     4. There is not any alternative cause (+1)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6.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Contributing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factors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: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1. Yes  (+1).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2. No (0)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7.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Complementary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explorations</w:t>
            </w:r>
            <w:proofErr w:type="spellEnd"/>
            <w:r w:rsidRPr="00E15336">
              <w:rPr>
                <w:rFonts w:asciiTheme="minorHAnsi" w:eastAsia="Times New Roman" w:hAnsiTheme="minorHAnsi" w:cstheme="minorHAnsi"/>
                <w:b/>
                <w:bCs/>
              </w:rPr>
              <w:t>: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1. Yes  (+1).</w:t>
            </w:r>
          </w:p>
        </w:tc>
      </w:tr>
      <w:tr w:rsidR="00D82102" w:rsidRPr="00E15336" w:rsidTr="001A0A24"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 xml:space="preserve">     2. No (0)</w:t>
            </w:r>
          </w:p>
        </w:tc>
      </w:tr>
      <w:tr w:rsidR="00D82102" w:rsidRPr="00E15336" w:rsidTr="001A0A24">
        <w:trPr>
          <w:trHeight w:val="799"/>
        </w:trPr>
        <w:tc>
          <w:tcPr>
            <w:tcW w:w="8494" w:type="dxa"/>
          </w:tcPr>
          <w:p w:rsidR="00D82102" w:rsidRPr="00E15336" w:rsidRDefault="00D82102" w:rsidP="001A0A2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E15336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 xml:space="preserve">Categories according to final score: </w:t>
            </w:r>
          </w:p>
          <w:p w:rsidR="00D82102" w:rsidRPr="00E15336" w:rsidRDefault="00D82102" w:rsidP="00D8210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>Not classified (lack of data)/Improbable: &lt;0</w:t>
            </w:r>
          </w:p>
          <w:p w:rsidR="00D82102" w:rsidRPr="00E15336" w:rsidRDefault="00D82102" w:rsidP="00D8210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>Conditional: 1-3</w:t>
            </w:r>
          </w:p>
          <w:p w:rsidR="00D82102" w:rsidRPr="00E15336" w:rsidRDefault="00D82102" w:rsidP="00D8210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>Possible: 4-5</w:t>
            </w:r>
          </w:p>
          <w:p w:rsidR="00D82102" w:rsidRPr="00E15336" w:rsidRDefault="00D82102" w:rsidP="00D8210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>Probable: 6-7</w:t>
            </w:r>
          </w:p>
          <w:p w:rsidR="00D82102" w:rsidRPr="00E15336" w:rsidRDefault="00D82102" w:rsidP="00D8210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E15336">
              <w:rPr>
                <w:rFonts w:asciiTheme="minorHAnsi" w:eastAsia="Times New Roman" w:hAnsiTheme="minorHAnsi" w:cstheme="minorHAnsi"/>
              </w:rPr>
              <w:t>Defined: ≥ 8</w:t>
            </w:r>
          </w:p>
        </w:tc>
      </w:tr>
    </w:tbl>
    <w:p w:rsidR="00D82102" w:rsidRPr="00E15336" w:rsidRDefault="00D82102" w:rsidP="00D82102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D82102" w:rsidRPr="00E15336" w:rsidRDefault="00D82102" w:rsidP="00D82102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D82102" w:rsidRPr="00E15336" w:rsidRDefault="00D82102" w:rsidP="00D82102">
      <w:pPr>
        <w:rPr>
          <w:rFonts w:cstheme="minorHAnsi"/>
          <w:lang w:val="en-GB"/>
        </w:rPr>
      </w:pPr>
    </w:p>
    <w:p w:rsidR="00503EA0" w:rsidRPr="00E15336" w:rsidRDefault="00503EA0">
      <w:pPr>
        <w:rPr>
          <w:rFonts w:cstheme="minorHAnsi"/>
          <w:lang w:val="en-GB"/>
        </w:rPr>
      </w:pPr>
    </w:p>
    <w:p w:rsidR="00E15336" w:rsidRPr="00E15336" w:rsidRDefault="00E15336">
      <w:pPr>
        <w:rPr>
          <w:rFonts w:cstheme="minorHAnsi"/>
          <w:lang w:val="en-GB"/>
        </w:rPr>
      </w:pPr>
    </w:p>
    <w:sectPr w:rsidR="00E15336" w:rsidRPr="00E15336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ED8" w:rsidRDefault="00ED7ED8" w:rsidP="00ED7ED8">
      <w:pPr>
        <w:spacing w:after="0" w:line="240" w:lineRule="auto"/>
      </w:pPr>
      <w:r>
        <w:separator/>
      </w:r>
    </w:p>
  </w:endnote>
  <w:endnote w:type="continuationSeparator" w:id="0">
    <w:p w:rsidR="00ED7ED8" w:rsidRDefault="00ED7ED8" w:rsidP="00ED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99558"/>
      <w:docPartObj>
        <w:docPartGallery w:val="Page Numbers (Bottom of Page)"/>
        <w:docPartUnique/>
      </w:docPartObj>
    </w:sdtPr>
    <w:sdtContent>
      <w:p w:rsidR="00ED7ED8" w:rsidRDefault="00ED7E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7ED8" w:rsidRDefault="00ED7E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ED8" w:rsidRDefault="00ED7ED8" w:rsidP="00ED7ED8">
      <w:pPr>
        <w:spacing w:after="0" w:line="240" w:lineRule="auto"/>
      </w:pPr>
      <w:r>
        <w:separator/>
      </w:r>
    </w:p>
  </w:footnote>
  <w:footnote w:type="continuationSeparator" w:id="0">
    <w:p w:rsidR="00ED7ED8" w:rsidRDefault="00ED7ED8" w:rsidP="00ED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125D"/>
    <w:multiLevelType w:val="hybridMultilevel"/>
    <w:tmpl w:val="6088D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A0"/>
    <w:rsid w:val="00503EA0"/>
    <w:rsid w:val="00985D39"/>
    <w:rsid w:val="0099095B"/>
    <w:rsid w:val="00D82102"/>
    <w:rsid w:val="00E15336"/>
    <w:rsid w:val="00ED7ED8"/>
    <w:rsid w:val="00F0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B21F"/>
  <w15:chartTrackingRefBased/>
  <w15:docId w15:val="{605617B7-1470-4D14-8CBA-6AD420E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D7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102"/>
    <w:pPr>
      <w:ind w:left="720"/>
      <w:contextualSpacing/>
    </w:pPr>
    <w:rPr>
      <w:lang w:val="en-US"/>
    </w:rPr>
  </w:style>
  <w:style w:type="paragraph" w:customStyle="1" w:styleId="Default">
    <w:name w:val="Default"/>
    <w:rsid w:val="00D821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82102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D7ED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uiPriority w:val="99"/>
    <w:unhideWhenUsed/>
    <w:rsid w:val="00ED7ED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ED8"/>
  </w:style>
  <w:style w:type="paragraph" w:styleId="Piedepgina">
    <w:name w:val="footer"/>
    <w:basedOn w:val="Normal"/>
    <w:link w:val="PiedepginaCar"/>
    <w:uiPriority w:val="99"/>
    <w:unhideWhenUsed/>
    <w:rsid w:val="00ED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amirezg@uam.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ga.rogozina@salud.madrid.org" TargetMode="External"/><Relationship Id="rId12" Type="http://schemas.openxmlformats.org/officeDocument/2006/relationships/hyperlink" Target="mailto:elena.ramirezg@ua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uel.gonzalez.munoz@salud.madrid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guel.gonzalez.munoz@salud.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btissam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Inmuno64</dc:creator>
  <cp:keywords/>
  <dc:description/>
  <cp:lastModifiedBy>Madrid Digital</cp:lastModifiedBy>
  <cp:revision>3</cp:revision>
  <dcterms:created xsi:type="dcterms:W3CDTF">2023-12-01T10:26:00Z</dcterms:created>
  <dcterms:modified xsi:type="dcterms:W3CDTF">2023-12-04T12:15:00Z</dcterms:modified>
</cp:coreProperties>
</file>