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858D49D" w14:textId="77777777" w:rsidR="00A42B52" w:rsidRPr="000A2689" w:rsidRDefault="00501ED2" w:rsidP="0001436A">
      <w:pPr>
        <w:pStyle w:val="AuthorList"/>
        <w:rPr>
          <w:rStyle w:val="manuscriptitemtitle-text"/>
          <w:sz w:val="32"/>
        </w:rPr>
      </w:pPr>
      <w:r w:rsidRPr="000A2689">
        <w:rPr>
          <w:rStyle w:val="manuscriptitemtitle-text"/>
          <w:sz w:val="32"/>
        </w:rPr>
        <w:t xml:space="preserve">Soluble CD83 modulates human-monocyte-derived macrophages towards alternative phenotype, function and metabolism </w:t>
      </w:r>
    </w:p>
    <w:p w14:paraId="416AB06A" w14:textId="3DF2EFAB" w:rsidR="00A42B52" w:rsidRDefault="00A42B52" w:rsidP="00A42B52">
      <w:pPr>
        <w:spacing w:line="276" w:lineRule="auto"/>
        <w:jc w:val="both"/>
        <w:rPr>
          <w:vertAlign w:val="superscript"/>
        </w:rPr>
      </w:pPr>
      <w:r>
        <w:t xml:space="preserve">Katrin </w:t>
      </w:r>
      <w:r w:rsidRPr="00BE3C50">
        <w:t>Peckert-Maier</w:t>
      </w:r>
      <w:r w:rsidRPr="00BE3C50">
        <w:rPr>
          <w:vertAlign w:val="superscript"/>
        </w:rPr>
        <w:t>1</w:t>
      </w:r>
      <w:r w:rsidRPr="00BE3C50">
        <w:t>, Andreas B. Wild</w:t>
      </w:r>
      <w:r w:rsidRPr="00BE3C50">
        <w:rPr>
          <w:vertAlign w:val="superscript"/>
        </w:rPr>
        <w:t>1</w:t>
      </w:r>
      <w:r w:rsidRPr="00BE3C50">
        <w:t>, Laura Sprißler</w:t>
      </w:r>
      <w:r w:rsidRPr="00BE3C50">
        <w:rPr>
          <w:vertAlign w:val="superscript"/>
        </w:rPr>
        <w:t>1</w:t>
      </w:r>
      <w:r w:rsidRPr="00BE3C50">
        <w:t>, Maximilian Fuchs</w:t>
      </w:r>
      <w:r w:rsidRPr="00BE3C50">
        <w:rPr>
          <w:vertAlign w:val="superscript"/>
        </w:rPr>
        <w:t>3</w:t>
      </w:r>
      <w:r w:rsidRPr="00BE3C50">
        <w:t>, Philipp Beck</w:t>
      </w:r>
      <w:r w:rsidRPr="00BE3C50">
        <w:rPr>
          <w:vertAlign w:val="superscript"/>
        </w:rPr>
        <w:t>1</w:t>
      </w:r>
      <w:r w:rsidRPr="00BE3C50">
        <w:t>,</w:t>
      </w:r>
      <w:r w:rsidRPr="00315435">
        <w:t xml:space="preserve"> </w:t>
      </w:r>
      <w:r w:rsidRPr="00BE3C50">
        <w:t>Jean-Philipp</w:t>
      </w:r>
      <w:r>
        <w:t>e</w:t>
      </w:r>
      <w:r w:rsidRPr="00BE3C50">
        <w:t xml:space="preserve"> Auger</w:t>
      </w:r>
      <w:r w:rsidRPr="00BE3C50">
        <w:rPr>
          <w:vertAlign w:val="superscript"/>
        </w:rPr>
        <w:t>2</w:t>
      </w:r>
      <w:r>
        <w:t xml:space="preserve">, </w:t>
      </w:r>
      <w:r w:rsidRPr="00E27774">
        <w:t>Pia</w:t>
      </w:r>
      <w:r w:rsidRPr="00BE3C50">
        <w:t xml:space="preserve"> Sinner</w:t>
      </w:r>
      <w:r w:rsidRPr="00BE3C50">
        <w:rPr>
          <w:vertAlign w:val="superscript"/>
        </w:rPr>
        <w:t>1</w:t>
      </w:r>
      <w:r w:rsidRPr="00BE3C50">
        <w:t xml:space="preserve">, </w:t>
      </w:r>
      <w:r>
        <w:t xml:space="preserve">Astrid </w:t>
      </w:r>
      <w:r w:rsidRPr="00E27774">
        <w:t>Stack</w:t>
      </w:r>
      <w:r w:rsidRPr="00E27774">
        <w:rPr>
          <w:vertAlign w:val="superscript"/>
        </w:rPr>
        <w:t>1</w:t>
      </w:r>
      <w:r>
        <w:t xml:space="preserve">, </w:t>
      </w:r>
      <w:r w:rsidRPr="00BE3C50">
        <w:t>Petra Mühl-Zürbes</w:t>
      </w:r>
      <w:r w:rsidRPr="00BE3C50">
        <w:rPr>
          <w:vertAlign w:val="superscript"/>
        </w:rPr>
        <w:t>1</w:t>
      </w:r>
      <w:r w:rsidRPr="00BE3C50">
        <w:t>,</w:t>
      </w:r>
      <w:r w:rsidRPr="00811A6D">
        <w:t xml:space="preserve"> </w:t>
      </w:r>
      <w:r w:rsidRPr="00BE3C50">
        <w:t>Ntilek Ramadan</w:t>
      </w:r>
      <w:r w:rsidRPr="00BE3C50">
        <w:rPr>
          <w:vertAlign w:val="superscript"/>
        </w:rPr>
        <w:t>1</w:t>
      </w:r>
      <w:r w:rsidRPr="00BE3C50">
        <w:t>, Meik Kunz</w:t>
      </w:r>
      <w:r w:rsidRPr="00BE3C50">
        <w:rPr>
          <w:vertAlign w:val="superscript"/>
        </w:rPr>
        <w:t>3</w:t>
      </w:r>
      <w:r w:rsidRPr="00BE3C50">
        <w:t>, Gerhard Krönke</w:t>
      </w:r>
      <w:r w:rsidRPr="00BE3C50">
        <w:rPr>
          <w:vertAlign w:val="superscript"/>
        </w:rPr>
        <w:t>2</w:t>
      </w:r>
      <w:r w:rsidRPr="00BE3C50">
        <w:t>, Lena-Stich</w:t>
      </w:r>
      <w:r w:rsidRPr="00BE3C50">
        <w:rPr>
          <w:vertAlign w:val="superscript"/>
        </w:rPr>
        <w:t>1</w:t>
      </w:r>
      <w:r w:rsidRPr="00BE3C50">
        <w:t>, Alexander Steinkasserer</w:t>
      </w:r>
      <w:r w:rsidRPr="00BE3C50">
        <w:rPr>
          <w:vertAlign w:val="superscript"/>
        </w:rPr>
        <w:t>1</w:t>
      </w:r>
      <w:r w:rsidRPr="00BE3C50">
        <w:t>, Dmytro Royzman</w:t>
      </w:r>
      <w:r w:rsidRPr="00BE3C50">
        <w:rPr>
          <w:vertAlign w:val="superscript"/>
        </w:rPr>
        <w:t>1</w:t>
      </w:r>
    </w:p>
    <w:p w14:paraId="257670EA" w14:textId="77777777" w:rsidR="00A42B52" w:rsidRPr="00E22881" w:rsidRDefault="00A42B52" w:rsidP="00A42B52">
      <w:pPr>
        <w:spacing w:before="240"/>
        <w:rPr>
          <w:lang w:val="de-DE"/>
        </w:rPr>
      </w:pPr>
      <w:r w:rsidRPr="00E22881">
        <w:rPr>
          <w:vertAlign w:val="superscript"/>
          <w:lang w:val="de-DE"/>
        </w:rPr>
        <w:t>1</w:t>
      </w:r>
      <w:r w:rsidRPr="00E22881">
        <w:rPr>
          <w:lang w:val="de-DE"/>
        </w:rPr>
        <w:t>Department of Immune Modulation, Universitätsklinikum Erlangen, Friedrich– Alexander Universität Erlangen–Nürnberg, 91052 Erlangen, Germany</w:t>
      </w:r>
    </w:p>
    <w:p w14:paraId="4BD67B87" w14:textId="77777777" w:rsidR="00A42B52" w:rsidRPr="00E22881" w:rsidRDefault="00A42B52" w:rsidP="00A42B52">
      <w:pPr>
        <w:spacing w:before="240"/>
        <w:rPr>
          <w:lang w:val="de-DE"/>
        </w:rPr>
      </w:pPr>
      <w:r w:rsidRPr="00E22881">
        <w:rPr>
          <w:vertAlign w:val="superscript"/>
          <w:lang w:val="de-DE"/>
        </w:rPr>
        <w:t>2</w:t>
      </w:r>
      <w:r w:rsidRPr="00E22881">
        <w:rPr>
          <w:lang w:val="de-DE"/>
        </w:rPr>
        <w:t>Department of Internal Medicine 3 – Rheumatology and Immunology, Friedrich-Alexander University Erlangen-Nürnberg (FAU) and Universitätsklinikum Erlangen, Erlangen 91054, Germany</w:t>
      </w:r>
    </w:p>
    <w:p w14:paraId="2BE14099" w14:textId="35A0E2E4" w:rsidR="00A42B52" w:rsidRPr="00A42B52" w:rsidRDefault="00A42B52" w:rsidP="00A42B52">
      <w:pPr>
        <w:rPr>
          <w:b/>
        </w:rPr>
      </w:pPr>
      <w:r w:rsidRPr="00BE3C50">
        <w:rPr>
          <w:vertAlign w:val="superscript"/>
        </w:rPr>
        <w:t>3</w:t>
      </w:r>
      <w:r w:rsidRPr="00BE3C50">
        <w:t>Fraunhofer Institute for Toxicology and Experimental Medicine (ITEM), Hannover, Germany</w:t>
      </w:r>
    </w:p>
    <w:p w14:paraId="217F3AE0" w14:textId="5A7E074B" w:rsidR="000A2689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0A2689">
        <w:rPr>
          <w:rFonts w:cs="Times New Roman"/>
        </w:rPr>
        <w:t>Katrin.peckert@uk-erlangen.de</w:t>
      </w:r>
    </w:p>
    <w:p w14:paraId="6969FFA9" w14:textId="77777777" w:rsidR="000A2689" w:rsidRDefault="000A2689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43402DC0" w14:textId="77777777" w:rsidR="002868E2" w:rsidRPr="00994A3D" w:rsidRDefault="002868E2" w:rsidP="00994A3D">
      <w:pPr>
        <w:spacing w:before="240" w:after="0"/>
        <w:rPr>
          <w:rFonts w:cs="Times New Roman"/>
        </w:rPr>
      </w:pPr>
    </w:p>
    <w:p w14:paraId="3DA8A9F6" w14:textId="1EA0D2F0" w:rsidR="00501ED2" w:rsidRDefault="00994A3D" w:rsidP="00501ED2">
      <w:pPr>
        <w:pStyle w:val="berschrift2"/>
      </w:pPr>
      <w:r w:rsidRPr="0001436A">
        <w:t>Supplementary</w:t>
      </w:r>
      <w:r w:rsidRPr="001549D3">
        <w:t xml:space="preserve"> Figures</w:t>
      </w:r>
    </w:p>
    <w:p w14:paraId="6078F453" w14:textId="1C7A37F1" w:rsidR="00501ED2" w:rsidRDefault="00FD644A" w:rsidP="00501ED2">
      <w:r>
        <w:rPr>
          <w:noProof/>
          <w:lang w:val="de-DE" w:eastAsia="de-DE"/>
        </w:rPr>
        <w:drawing>
          <wp:inline distT="0" distB="0" distL="0" distR="0" wp14:anchorId="1FB3E2D9" wp14:editId="41AFB143">
            <wp:extent cx="4124325" cy="417852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64" cy="419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EB6FE" w14:textId="64A64DA8" w:rsidR="00FD644A" w:rsidRPr="00A42B52" w:rsidRDefault="00FD644A" w:rsidP="00A42B52">
      <w:pPr>
        <w:autoSpaceDE w:val="0"/>
        <w:autoSpaceDN w:val="0"/>
        <w:adjustRightInd w:val="0"/>
        <w:spacing w:before="0" w:after="0" w:line="360" w:lineRule="auto"/>
        <w:jc w:val="both"/>
        <w:rPr>
          <w:rFonts w:cs="Times New Roman"/>
          <w:szCs w:val="24"/>
        </w:rPr>
      </w:pPr>
      <w:r w:rsidRPr="00A42B52">
        <w:rPr>
          <w:rFonts w:cs="Times New Roman"/>
          <w:b/>
          <w:szCs w:val="24"/>
        </w:rPr>
        <w:t xml:space="preserve">Supplementary Figure </w:t>
      </w:r>
      <w:r w:rsidR="00A42B52" w:rsidRPr="00A42B52">
        <w:rPr>
          <w:rFonts w:cs="Times New Roman"/>
          <w:b/>
          <w:szCs w:val="24"/>
        </w:rPr>
        <w:t>1</w:t>
      </w:r>
      <w:r w:rsidRPr="00A42B52">
        <w:rPr>
          <w:rFonts w:cs="Times New Roman"/>
          <w:b/>
          <w:szCs w:val="24"/>
        </w:rPr>
        <w:t>:</w:t>
      </w:r>
      <w:r w:rsidRPr="00A42B52">
        <w:rPr>
          <w:rFonts w:cs="Times New Roman"/>
          <w:szCs w:val="24"/>
        </w:rPr>
        <w:t xml:space="preserve"> </w:t>
      </w:r>
      <w:r w:rsidRPr="00A42B52">
        <w:rPr>
          <w:rFonts w:cs="Times New Roman"/>
          <w:b/>
          <w:bCs/>
          <w:szCs w:val="24"/>
        </w:rPr>
        <w:t>Gating strategy for the analyses of human monocyte-derived M</w:t>
      </w:r>
      <w:r w:rsidRPr="00A42B52">
        <w:rPr>
          <w:rFonts w:cs="Times New Roman"/>
          <w:b/>
          <w:bCs/>
          <w:szCs w:val="24"/>
          <w:lang w:val="el-GR"/>
        </w:rPr>
        <w:t>ϕ</w:t>
      </w:r>
      <w:r w:rsidRPr="00A42B52">
        <w:rPr>
          <w:rFonts w:cs="Times New Roman"/>
          <w:b/>
          <w:bCs/>
          <w:szCs w:val="24"/>
        </w:rPr>
        <w:t xml:space="preserve"> </w:t>
      </w:r>
      <w:r w:rsidRPr="00A42B52">
        <w:rPr>
          <w:rFonts w:cs="Times New Roman"/>
          <w:szCs w:val="24"/>
        </w:rPr>
        <w:t xml:space="preserve">At first </w:t>
      </w:r>
      <w:proofErr w:type="spellStart"/>
      <w:r w:rsidRPr="00A42B52">
        <w:rPr>
          <w:rFonts w:cs="Times New Roman"/>
          <w:szCs w:val="24"/>
        </w:rPr>
        <w:t>douplet</w:t>
      </w:r>
      <w:proofErr w:type="spellEnd"/>
      <w:r w:rsidRPr="00A42B52">
        <w:rPr>
          <w:rFonts w:cs="Times New Roman"/>
          <w:szCs w:val="24"/>
        </w:rPr>
        <w:t xml:space="preserve"> cells </w:t>
      </w:r>
      <w:proofErr w:type="gramStart"/>
      <w:r w:rsidRPr="00A42B52">
        <w:rPr>
          <w:rFonts w:cs="Times New Roman"/>
          <w:szCs w:val="24"/>
        </w:rPr>
        <w:t>were excluded</w:t>
      </w:r>
      <w:proofErr w:type="gramEnd"/>
      <w:r w:rsidRPr="00A42B52">
        <w:rPr>
          <w:rFonts w:cs="Times New Roman"/>
          <w:szCs w:val="24"/>
        </w:rPr>
        <w:t xml:space="preserve"> to gate on single cells. Subsequently cell population </w:t>
      </w:r>
      <w:proofErr w:type="gramStart"/>
      <w:r w:rsidRPr="00A42B52">
        <w:rPr>
          <w:rFonts w:cs="Times New Roman"/>
          <w:szCs w:val="24"/>
        </w:rPr>
        <w:t xml:space="preserve">was </w:t>
      </w:r>
      <w:r w:rsidR="00A42B52" w:rsidRPr="00A42B52">
        <w:rPr>
          <w:rFonts w:cs="Times New Roman"/>
          <w:szCs w:val="24"/>
        </w:rPr>
        <w:t>gated</w:t>
      </w:r>
      <w:proofErr w:type="gramEnd"/>
      <w:r w:rsidR="00A42B52" w:rsidRPr="00A42B52">
        <w:rPr>
          <w:rFonts w:cs="Times New Roman"/>
          <w:szCs w:val="24"/>
        </w:rPr>
        <w:t xml:space="preserve"> using SSC and FSC.</w:t>
      </w:r>
      <w:r w:rsidRPr="00A42B52">
        <w:rPr>
          <w:rFonts w:cs="Times New Roman"/>
          <w:szCs w:val="24"/>
        </w:rPr>
        <w:t xml:space="preserve"> Subsequently, dead cells were excluded by gating on the </w:t>
      </w:r>
      <w:proofErr w:type="gramStart"/>
      <w:r w:rsidRPr="00A42B52">
        <w:rPr>
          <w:rFonts w:cs="Times New Roman"/>
          <w:szCs w:val="24"/>
        </w:rPr>
        <w:t>7-</w:t>
      </w:r>
      <w:proofErr w:type="gramEnd"/>
      <w:r w:rsidRPr="00A42B52">
        <w:rPr>
          <w:rFonts w:cs="Times New Roman"/>
          <w:szCs w:val="24"/>
        </w:rPr>
        <w:t>A</w:t>
      </w:r>
      <w:r w:rsidR="00A42B52" w:rsidRPr="00A42B52">
        <w:rPr>
          <w:rFonts w:cs="Times New Roman"/>
          <w:szCs w:val="24"/>
        </w:rPr>
        <w:t xml:space="preserve">AD- negative population. </w:t>
      </w:r>
      <w:proofErr w:type="gramStart"/>
      <w:r w:rsidR="00A42B52" w:rsidRPr="00A42B52">
        <w:rPr>
          <w:rFonts w:cs="Times New Roman"/>
          <w:szCs w:val="24"/>
        </w:rPr>
        <w:t>Lastly</w:t>
      </w:r>
      <w:proofErr w:type="gramEnd"/>
      <w:r w:rsidR="00A42B52" w:rsidRPr="00A42B52">
        <w:rPr>
          <w:rFonts w:cs="Times New Roman"/>
          <w:szCs w:val="24"/>
        </w:rPr>
        <w:t xml:space="preserve"> Mφ</w:t>
      </w:r>
      <w:r w:rsidRPr="00A42B52">
        <w:rPr>
          <w:rFonts w:cs="Times New Roman"/>
          <w:szCs w:val="24"/>
        </w:rPr>
        <w:t xml:space="preserve"> were identified using a CD14</w:t>
      </w:r>
      <w:r w:rsidR="00A42B52" w:rsidRPr="00A42B52">
        <w:rPr>
          <w:rFonts w:cs="Times New Roman"/>
          <w:szCs w:val="24"/>
        </w:rPr>
        <w:t>+</w:t>
      </w:r>
      <w:r w:rsidRPr="00A42B52">
        <w:rPr>
          <w:rFonts w:cs="Times New Roman"/>
          <w:szCs w:val="24"/>
        </w:rPr>
        <w:t xml:space="preserve"> CD11b</w:t>
      </w:r>
      <w:r w:rsidR="00A42B52" w:rsidRPr="00A42B52">
        <w:rPr>
          <w:rFonts w:cs="Times New Roman"/>
          <w:szCs w:val="24"/>
        </w:rPr>
        <w:t>+</w:t>
      </w:r>
      <w:r w:rsidRPr="00A42B52">
        <w:rPr>
          <w:rFonts w:cs="Times New Roman"/>
          <w:szCs w:val="24"/>
        </w:rPr>
        <w:t xml:space="preserve"> gate. </w:t>
      </w:r>
      <w:proofErr w:type="gramStart"/>
      <w:r w:rsidRPr="00A42B52">
        <w:rPr>
          <w:rFonts w:cs="Times New Roman"/>
          <w:szCs w:val="24"/>
        </w:rPr>
        <w:t>20,000</w:t>
      </w:r>
      <w:proofErr w:type="gramEnd"/>
      <w:r w:rsidRPr="00A42B52">
        <w:rPr>
          <w:rFonts w:cs="Times New Roman"/>
          <w:szCs w:val="24"/>
        </w:rPr>
        <w:t xml:space="preserve"> </w:t>
      </w:r>
      <w:r w:rsidR="00A42B52" w:rsidRPr="00A42B52">
        <w:rPr>
          <w:rFonts w:cs="Times New Roman"/>
          <w:szCs w:val="24"/>
        </w:rPr>
        <w:t xml:space="preserve">events were measured within the </w:t>
      </w:r>
      <w:r w:rsidRPr="00A42B52">
        <w:rPr>
          <w:rFonts w:cs="Times New Roman"/>
          <w:szCs w:val="24"/>
        </w:rPr>
        <w:t xml:space="preserve">CD14 – CD11b gate </w:t>
      </w:r>
      <w:r w:rsidR="00A42B52" w:rsidRPr="00A42B52">
        <w:rPr>
          <w:rFonts w:cs="Times New Roman"/>
          <w:szCs w:val="24"/>
        </w:rPr>
        <w:t>to analyze expression of different molecules on human macrophages.</w:t>
      </w:r>
    </w:p>
    <w:p w14:paraId="6D32899D" w14:textId="68D5F904" w:rsidR="00F10815" w:rsidRDefault="00803C36" w:rsidP="002B4A57">
      <w:pPr>
        <w:keepNext/>
        <w:rPr>
          <w:rFonts w:cs="Times New Roman"/>
          <w:b/>
          <w:szCs w:val="24"/>
        </w:rPr>
      </w:pPr>
      <w:bookmarkStart w:id="0" w:name="_GoBack"/>
      <w:r w:rsidRPr="00803C36">
        <w:lastRenderedPageBreak/>
        <w:drawing>
          <wp:inline distT="0" distB="0" distL="0" distR="0" wp14:anchorId="5349DEAF" wp14:editId="2DF6816B">
            <wp:extent cx="5930900" cy="42183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r="2827"/>
                    <a:stretch/>
                  </pic:blipFill>
                  <pic:spPr bwMode="auto">
                    <a:xfrm>
                      <a:off x="0" y="0"/>
                      <a:ext cx="593090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BB0D29E" w14:textId="0A1F0BC1" w:rsidR="00F0286F" w:rsidRPr="00BE3C50" w:rsidRDefault="00994A3D" w:rsidP="00F0286F">
      <w:pPr>
        <w:spacing w:line="360" w:lineRule="auto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501ED2">
        <w:rPr>
          <w:rFonts w:cs="Times New Roman"/>
          <w:b/>
          <w:szCs w:val="24"/>
        </w:rPr>
        <w:t>2:</w:t>
      </w:r>
      <w:r w:rsidRPr="001549D3">
        <w:rPr>
          <w:rFonts w:cs="Times New Roman"/>
          <w:szCs w:val="24"/>
        </w:rPr>
        <w:t xml:space="preserve"> </w:t>
      </w:r>
      <w:r w:rsidR="00F0286F" w:rsidRPr="00BE3C50">
        <w:rPr>
          <w:b/>
        </w:rPr>
        <w:t xml:space="preserve">Soluble CD83 induced </w:t>
      </w:r>
      <w:r w:rsidR="00F0286F">
        <w:rPr>
          <w:b/>
        </w:rPr>
        <w:t xml:space="preserve">modulation of surface receptors are independent of </w:t>
      </w:r>
      <w:r w:rsidR="00F0286F" w:rsidRPr="00BE3C50">
        <w:rPr>
          <w:b/>
        </w:rPr>
        <w:t>LXR pathway activation.</w:t>
      </w:r>
      <w:r w:rsidR="00F0286F" w:rsidRPr="00F0286F">
        <w:t xml:space="preserve"> </w:t>
      </w:r>
      <w:r w:rsidR="00F0286F" w:rsidRPr="00BE3C50">
        <w:t xml:space="preserve">PBMCs were isolated via density gradient centrifugation and subsequently monocytes </w:t>
      </w:r>
      <w:proofErr w:type="gramStart"/>
      <w:r w:rsidR="00F0286F" w:rsidRPr="00BE3C50">
        <w:t>were seeded</w:t>
      </w:r>
      <w:proofErr w:type="gramEnd"/>
      <w:r w:rsidR="00F0286F" w:rsidRPr="00BE3C50">
        <w:t xml:space="preserve"> for adherence. Monocytes were differentiated into M</w:t>
      </w:r>
      <w:r w:rsidR="00F0286F" w:rsidRPr="00BE3C50">
        <w:rPr>
          <w:lang w:val="el-GR"/>
        </w:rPr>
        <w:t>φ</w:t>
      </w:r>
      <w:r w:rsidR="00F0286F" w:rsidRPr="00BE3C50">
        <w:t xml:space="preserve"> in the presence of M-CSF (20 ng/ml), +/- sCD83 (25 µg/ml). </w:t>
      </w:r>
      <w:proofErr w:type="gramStart"/>
      <w:r w:rsidR="00F0286F" w:rsidRPr="00BE3C50">
        <w:t>sCD83</w:t>
      </w:r>
      <w:proofErr w:type="gramEnd"/>
      <w:r w:rsidR="00F0286F" w:rsidRPr="00BE3C50">
        <w:t xml:space="preserve"> was added on day 0 as well as day 3 during the differentiation process. GSK2033 (1mM) </w:t>
      </w:r>
      <w:proofErr w:type="gramStart"/>
      <w:r w:rsidR="00F0286F" w:rsidRPr="00BE3C50">
        <w:t>was applied</w:t>
      </w:r>
      <w:proofErr w:type="gramEnd"/>
      <w:r w:rsidR="00F0286F" w:rsidRPr="00BE3C50">
        <w:t xml:space="preserve"> </w:t>
      </w:r>
      <w:r w:rsidR="00F0286F">
        <w:t>one</w:t>
      </w:r>
      <w:r w:rsidR="00F0286F" w:rsidRPr="00BE3C50">
        <w:t xml:space="preserve"> hour before sCD83 administration.</w:t>
      </w:r>
      <w:r w:rsidR="00F0286F">
        <w:t xml:space="preserve"> M</w:t>
      </w:r>
      <w:r w:rsidR="00F0286F">
        <w:rPr>
          <w:rFonts w:cs="Times New Roman"/>
        </w:rPr>
        <w:t>φ</w:t>
      </w:r>
      <w:r w:rsidR="00F0286F">
        <w:t xml:space="preserve"> were harvested on day 6 and subsequently analyzed by flow cytometry for the expression of CD14, MHC-II, CD163, MSR-1 and CD83.</w:t>
      </w:r>
      <w:r w:rsidR="00F0286F">
        <w:rPr>
          <w:b/>
        </w:rPr>
        <w:t xml:space="preserve"> </w:t>
      </w:r>
      <w:r w:rsidR="00FD644A" w:rsidRPr="00FD644A">
        <w:t>Gating strategy is displayed in S1</w:t>
      </w:r>
      <w:r w:rsidR="00FD644A">
        <w:rPr>
          <w:b/>
        </w:rPr>
        <w:t xml:space="preserve">. </w:t>
      </w:r>
      <w:r w:rsidR="00F0286F" w:rsidRPr="00BE3C50">
        <w:t xml:space="preserve">Data </w:t>
      </w:r>
      <w:proofErr w:type="gramStart"/>
      <w:r w:rsidR="00F0286F" w:rsidRPr="00BE3C50">
        <w:t>are represented</w:t>
      </w:r>
      <w:proofErr w:type="gramEnd"/>
      <w:r w:rsidR="00F0286F" w:rsidRPr="00BE3C50">
        <w:t xml:space="preserve"> as mean ± SEM. Statistical analysis was performed using a </w:t>
      </w:r>
      <w:r w:rsidR="00F0286F">
        <w:t>One</w:t>
      </w:r>
      <w:r w:rsidR="00F0286F" w:rsidRPr="00BE3C50">
        <w:t>-way ANOVA</w:t>
      </w:r>
      <w:r w:rsidR="00BD180B">
        <w:t>.</w:t>
      </w:r>
      <w:r w:rsidR="00F0286F" w:rsidRPr="00BE3C50">
        <w:t xml:space="preserve"> Experiments were performed at least three times.</w:t>
      </w:r>
      <w:r w:rsidR="00F0286F">
        <w:t xml:space="preserve"> One dot per bar graph represents one donor.</w:t>
      </w:r>
      <w:r w:rsidR="00F0286F" w:rsidRPr="00BE3C50">
        <w:t xml:space="preserve"> n.s., not significant, which indicates there is no statistical significance; * p&lt;0.05; ** &lt; 0.01; *** p &lt; 0.001; **** p &lt; 0.0001.</w:t>
      </w:r>
    </w:p>
    <w:p w14:paraId="3B020E77" w14:textId="43755FF9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74BB8" w14:textId="77777777" w:rsidR="00A569CD" w:rsidRDefault="00A569CD" w:rsidP="00117666">
      <w:pPr>
        <w:spacing w:after="0"/>
      </w:pPr>
      <w:r>
        <w:separator/>
      </w:r>
    </w:p>
  </w:endnote>
  <w:endnote w:type="continuationSeparator" w:id="0">
    <w:p w14:paraId="7364F86A" w14:textId="77777777" w:rsidR="00A569CD" w:rsidRDefault="00A569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E12EDC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07E8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5E12EDC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07E8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3C4C640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07E8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3C4C640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07E8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AC4CC" w14:textId="77777777" w:rsidR="00A569CD" w:rsidRDefault="00A569CD" w:rsidP="00117666">
      <w:pPr>
        <w:spacing w:after="0"/>
      </w:pPr>
      <w:r>
        <w:separator/>
      </w:r>
    </w:p>
  </w:footnote>
  <w:footnote w:type="continuationSeparator" w:id="0">
    <w:p w14:paraId="7893C3DC" w14:textId="77777777" w:rsidR="00A569CD" w:rsidRDefault="00A569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A2689"/>
    <w:rsid w:val="00105FD9"/>
    <w:rsid w:val="00117666"/>
    <w:rsid w:val="001549D3"/>
    <w:rsid w:val="00160065"/>
    <w:rsid w:val="00177D84"/>
    <w:rsid w:val="00267D18"/>
    <w:rsid w:val="002868E2"/>
    <w:rsid w:val="002869C3"/>
    <w:rsid w:val="00291C32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01ED2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C36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42B52"/>
    <w:rsid w:val="00A569CD"/>
    <w:rsid w:val="00AB6715"/>
    <w:rsid w:val="00B07E88"/>
    <w:rsid w:val="00B1671E"/>
    <w:rsid w:val="00B25EB8"/>
    <w:rsid w:val="00B354E1"/>
    <w:rsid w:val="00B37F4D"/>
    <w:rsid w:val="00BD180B"/>
    <w:rsid w:val="00BF54D1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04FA"/>
    <w:rsid w:val="00E52377"/>
    <w:rsid w:val="00E64E17"/>
    <w:rsid w:val="00E866C9"/>
    <w:rsid w:val="00EA3D3C"/>
    <w:rsid w:val="00F0286F"/>
    <w:rsid w:val="00F10815"/>
    <w:rsid w:val="00F46900"/>
    <w:rsid w:val="00F61D89"/>
    <w:rsid w:val="00FD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manuscriptitemtitle-text">
    <w:name w:val="manuscriptitem__title-text"/>
    <w:basedOn w:val="Absatz-Standardschriftart"/>
    <w:rsid w:val="0050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C3640A-279E-444B-95D5-D38481F3F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316</Words>
  <Characters>1992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Peckert, Katrin</cp:lastModifiedBy>
  <cp:revision>7</cp:revision>
  <cp:lastPrinted>2013-10-03T12:51:00Z</cp:lastPrinted>
  <dcterms:created xsi:type="dcterms:W3CDTF">2023-09-13T12:26:00Z</dcterms:created>
  <dcterms:modified xsi:type="dcterms:W3CDTF">2023-11-09T21:58:00Z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