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A91DFA" w14:textId="77777777" w:rsidR="00604946" w:rsidRDefault="00000000">
      <w:pPr>
        <w:pBdr>
          <w:top w:val="nil"/>
          <w:left w:val="nil"/>
          <w:bottom w:val="nil"/>
          <w:right w:val="nil"/>
          <w:between w:val="nil"/>
        </w:pBdr>
        <w:spacing w:before="240" w:after="120"/>
        <w:jc w:val="center"/>
        <w:rPr>
          <w:b/>
          <w:i/>
          <w:sz w:val="32"/>
          <w:szCs w:val="32"/>
        </w:rPr>
      </w:pPr>
      <w:r>
        <w:rPr>
          <w:b/>
          <w:i/>
          <w:color w:val="000000"/>
          <w:sz w:val="32"/>
          <w:szCs w:val="32"/>
        </w:rPr>
        <w:t xml:space="preserve">Supplementary Material </w:t>
      </w:r>
      <w:r>
        <w:rPr>
          <w:b/>
          <w:i/>
          <w:sz w:val="32"/>
          <w:szCs w:val="32"/>
        </w:rPr>
        <w:t>2</w:t>
      </w:r>
    </w:p>
    <w:p w14:paraId="6CEFDCF4" w14:textId="77777777" w:rsidR="00604946" w:rsidRDefault="00000000">
      <w:pPr>
        <w:numPr>
          <w:ilvl w:val="0"/>
          <w:numId w:val="1"/>
        </w:numPr>
        <w:rPr>
          <w:b/>
        </w:rPr>
      </w:pPr>
      <w:r>
        <w:rPr>
          <w:b/>
        </w:rPr>
        <w:t>Wetland classification</w:t>
      </w:r>
    </w:p>
    <w:p w14:paraId="48FC7460" w14:textId="77777777" w:rsidR="00604946" w:rsidRDefault="00000000">
      <w:pPr>
        <w:spacing w:before="0" w:after="200"/>
        <w:jc w:val="both"/>
        <w:rPr>
          <w:color w:val="0E101A"/>
        </w:rPr>
      </w:pPr>
      <w:r>
        <w:rPr>
          <w:color w:val="0E101A"/>
        </w:rPr>
        <w:t xml:space="preserve">Wetlands are ecosystems at the interface between terrestrial and aquatic environments, continental or coastal, </w:t>
      </w:r>
      <w:proofErr w:type="gramStart"/>
      <w:r>
        <w:rPr>
          <w:color w:val="0E101A"/>
        </w:rPr>
        <w:t>permanently</w:t>
      </w:r>
      <w:proofErr w:type="gramEnd"/>
      <w:r>
        <w:rPr>
          <w:color w:val="0E101A"/>
        </w:rPr>
        <w:t xml:space="preserve"> or periodically flooded by shallow waters or with saturated soils. The seas can be fresh, brackish, or salty, with plant and animal communities adapted to their dynamics. This ecosystem is essential for storing and purifying water, storing organic carbon, providing food and shelter, regulating the microclimate, and maintaining biodiversity.</w:t>
      </w:r>
    </w:p>
    <w:p w14:paraId="18096AE8" w14:textId="77777777" w:rsidR="00604946" w:rsidRDefault="00000000">
      <w:pPr>
        <w:spacing w:before="0" w:after="200"/>
        <w:jc w:val="both"/>
        <w:rPr>
          <w:color w:val="0E101A"/>
        </w:rPr>
      </w:pPr>
      <w:r>
        <w:rPr>
          <w:color w:val="0E101A"/>
        </w:rPr>
        <w:t>We created annual mosaics of the dry and wet periods for the vegetation components, non-photosynthetically active vegetation, soil, shade, and cloud. In addition, we added auxiliary information from the Shuttle Radar Topography Mission (SRTM), Height Above the Nearest Drainage (HAND), and canopy height (GEDI) to the mosaic. Supplementary Figure 1 shows the workflow with all methodological steps to map wetlands in the Brazilian Amazon:</w:t>
      </w:r>
    </w:p>
    <w:p w14:paraId="3C570C91" w14:textId="77777777" w:rsidR="00604946" w:rsidRDefault="00000000">
      <w:pPr>
        <w:spacing w:before="240"/>
        <w:jc w:val="center"/>
      </w:pPr>
      <w:r>
        <w:rPr>
          <w:noProof/>
        </w:rPr>
        <w:drawing>
          <wp:inline distT="114300" distB="114300" distL="114300" distR="114300" wp14:anchorId="7561D699" wp14:editId="4572A9FC">
            <wp:extent cx="6267768" cy="3984308"/>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l="2485" t="4733" r="1397" b="2803"/>
                    <a:stretch>
                      <a:fillRect/>
                    </a:stretch>
                  </pic:blipFill>
                  <pic:spPr>
                    <a:xfrm>
                      <a:off x="0" y="0"/>
                      <a:ext cx="6267768" cy="3984308"/>
                    </a:xfrm>
                    <a:prstGeom prst="rect">
                      <a:avLst/>
                    </a:prstGeom>
                    <a:ln/>
                  </pic:spPr>
                </pic:pic>
              </a:graphicData>
            </a:graphic>
          </wp:inline>
        </w:drawing>
      </w:r>
    </w:p>
    <w:p w14:paraId="7289D8AF" w14:textId="77777777" w:rsidR="00604946" w:rsidRDefault="00000000">
      <w:pPr>
        <w:jc w:val="center"/>
        <w:rPr>
          <w:color w:val="0E101A"/>
        </w:rPr>
      </w:pPr>
      <w:r>
        <w:rPr>
          <w:b/>
        </w:rPr>
        <w:t>Supplementary Figure 1.</w:t>
      </w:r>
      <w:r>
        <w:t xml:space="preserve">  Workflow with all methodological steps to map Wetlands in the Brazilian Amazon.</w:t>
      </w:r>
    </w:p>
    <w:p w14:paraId="2D4AB2C1" w14:textId="77777777" w:rsidR="00604946" w:rsidRDefault="00000000">
      <w:pPr>
        <w:spacing w:before="0" w:after="200"/>
        <w:jc w:val="both"/>
        <w:rPr>
          <w:color w:val="0E101A"/>
        </w:rPr>
      </w:pPr>
      <w:r>
        <w:rPr>
          <w:color w:val="0E101A"/>
        </w:rPr>
        <w:t xml:space="preserve">We randomly divided the mosaics into 30x30km grids to collect </w:t>
      </w:r>
      <w:proofErr w:type="gramStart"/>
      <w:r>
        <w:rPr>
          <w:color w:val="0E101A"/>
        </w:rPr>
        <w:t>samples</w:t>
      </w:r>
      <w:proofErr w:type="gramEnd"/>
      <w:r>
        <w:rPr>
          <w:color w:val="0E101A"/>
        </w:rPr>
        <w:t xml:space="preserve"> so each grid presented a mosaic from a specific year. We then compile and harmonize Amazon Wetland Reference Maps (HESS et al., 2015; TOOTCHI et al., 2018; GUMBRICHIT et al., 2017) for wetland and non-wetland </w:t>
      </w:r>
      <w:r>
        <w:rPr>
          <w:color w:val="0E101A"/>
        </w:rPr>
        <w:lastRenderedPageBreak/>
        <w:t xml:space="preserve">classes. We used these </w:t>
      </w:r>
      <w:proofErr w:type="gramStart"/>
      <w:r>
        <w:rPr>
          <w:color w:val="0E101A"/>
        </w:rPr>
        <w:t>maps</w:t>
      </w:r>
      <w:proofErr w:type="gramEnd"/>
      <w:r>
        <w:rPr>
          <w:color w:val="0E101A"/>
        </w:rPr>
        <w:t xml:space="preserve"> and the water surface maps from </w:t>
      </w:r>
      <w:proofErr w:type="spellStart"/>
      <w:r>
        <w:rPr>
          <w:color w:val="0E101A"/>
        </w:rPr>
        <w:t>MapBiomas</w:t>
      </w:r>
      <w:proofErr w:type="spellEnd"/>
      <w:r>
        <w:rPr>
          <w:color w:val="0E101A"/>
        </w:rPr>
        <w:t xml:space="preserve"> Agua to collect, train, and calibrate stratified samples. Here, we separate 70% of the models for training and 30% for validation.</w:t>
      </w:r>
    </w:p>
    <w:p w14:paraId="25B84F49" w14:textId="77777777" w:rsidR="00604946" w:rsidRDefault="00000000">
      <w:pPr>
        <w:spacing w:before="0" w:after="200"/>
        <w:jc w:val="both"/>
      </w:pPr>
      <w:r>
        <w:rPr>
          <w:color w:val="0E101A"/>
        </w:rPr>
        <w:t xml:space="preserve">This way, we could classify the annual mosaics into a probabilistic wetland map. For each altitude range, we defined a threshold to consider wetlands. The following steps are post-classification processes based on a fill filter, temporal filter, spatial filter, and frequency filter. All scripts used to generate the wetlands map are available on </w:t>
      </w:r>
      <w:hyperlink r:id="rId9">
        <w:r>
          <w:rPr>
            <w:color w:val="4A6EE0"/>
            <w:u w:val="single"/>
          </w:rPr>
          <w:t>GitHub wetlands</w:t>
        </w:r>
      </w:hyperlink>
      <w:r>
        <w:rPr>
          <w:color w:val="0E101A"/>
        </w:rPr>
        <w:t>.</w:t>
      </w:r>
      <w:r>
        <w:t xml:space="preserve"> </w:t>
      </w:r>
      <w:r>
        <w:rPr>
          <w:color w:val="0E101A"/>
        </w:rPr>
        <w:t>Supplementary Figure 2 shows an example of wetland mapping along the Amazon River:</w:t>
      </w:r>
    </w:p>
    <w:p w14:paraId="2AC66DB3" w14:textId="77777777" w:rsidR="00604946" w:rsidRDefault="00000000">
      <w:pPr>
        <w:spacing w:before="240"/>
        <w:jc w:val="both"/>
      </w:pPr>
      <w:r>
        <w:rPr>
          <w:noProof/>
        </w:rPr>
        <w:drawing>
          <wp:inline distT="114300" distB="114300" distL="114300" distR="114300" wp14:anchorId="5AF012DE" wp14:editId="4710C52F">
            <wp:extent cx="6208395" cy="2933700"/>
            <wp:effectExtent l="0" t="0" r="0" b="0"/>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6208395" cy="2933700"/>
                    </a:xfrm>
                    <a:prstGeom prst="rect">
                      <a:avLst/>
                    </a:prstGeom>
                    <a:ln/>
                  </pic:spPr>
                </pic:pic>
              </a:graphicData>
            </a:graphic>
          </wp:inline>
        </w:drawing>
      </w:r>
    </w:p>
    <w:p w14:paraId="196B3F20" w14:textId="77777777" w:rsidR="00604946" w:rsidRDefault="00000000">
      <w:pPr>
        <w:jc w:val="center"/>
      </w:pPr>
      <w:r>
        <w:rPr>
          <w:b/>
        </w:rPr>
        <w:t>Supplementary Figure 2.</w:t>
      </w:r>
      <w:r>
        <w:t xml:space="preserve">  Example of wetland mapping along the Amazon River.</w:t>
      </w:r>
    </w:p>
    <w:p w14:paraId="426172F6" w14:textId="77777777" w:rsidR="00604946" w:rsidRDefault="00604946">
      <w:pPr>
        <w:keepNext/>
        <w:rPr>
          <w:b/>
        </w:rPr>
      </w:pPr>
    </w:p>
    <w:p w14:paraId="2F841405" w14:textId="77777777" w:rsidR="00604946" w:rsidRDefault="00000000">
      <w:pPr>
        <w:keepNext/>
        <w:rPr>
          <w:b/>
          <w:i/>
        </w:rPr>
      </w:pPr>
      <w:r>
        <w:rPr>
          <w:b/>
          <w:i/>
        </w:rPr>
        <w:t>References</w:t>
      </w:r>
    </w:p>
    <w:p w14:paraId="7900D6AF" w14:textId="77777777" w:rsidR="00604946" w:rsidRDefault="00000000">
      <w:pPr>
        <w:widowControl w:val="0"/>
        <w:spacing w:before="0" w:after="0"/>
      </w:pPr>
      <w:proofErr w:type="spellStart"/>
      <w:r>
        <w:t>Gumbricht</w:t>
      </w:r>
      <w:proofErr w:type="spellEnd"/>
      <w:r>
        <w:t xml:space="preserve">, T., Román-Cuesta, R.M., </w:t>
      </w:r>
      <w:proofErr w:type="spellStart"/>
      <w:r>
        <w:t>Verchot</w:t>
      </w:r>
      <w:proofErr w:type="spellEnd"/>
      <w:r>
        <w:t xml:space="preserve">, L.V., Herold, M., Wittmann, F., Householder, E., Herold, N., </w:t>
      </w:r>
      <w:proofErr w:type="spellStart"/>
      <w:r>
        <w:t>Murdiyarso</w:t>
      </w:r>
      <w:proofErr w:type="spellEnd"/>
      <w:r>
        <w:t xml:space="preserve">, </w:t>
      </w:r>
      <w:proofErr w:type="gramStart"/>
      <w:r>
        <w:t>D..</w:t>
      </w:r>
      <w:proofErr w:type="gramEnd"/>
      <w:r>
        <w:t xml:space="preserve"> 2017. An expert system model for mapping tropical wetlands and peatlands reveals South America as the largest contributor. ﻿ Global Change Biology 23(9):3581-3599 </w:t>
      </w:r>
      <w:hyperlink r:id="rId11">
        <w:r>
          <w:t xml:space="preserve">doi: </w:t>
        </w:r>
      </w:hyperlink>
      <w:hyperlink r:id="rId12">
        <w:r>
          <w:t>http://www.cifor.org/pid/6419</w:t>
        </w:r>
      </w:hyperlink>
    </w:p>
    <w:p w14:paraId="3038F3BB" w14:textId="77777777" w:rsidR="00604946" w:rsidRDefault="00604946">
      <w:pPr>
        <w:widowControl w:val="0"/>
        <w:spacing w:before="0" w:after="0"/>
      </w:pPr>
    </w:p>
    <w:p w14:paraId="13EB2607" w14:textId="77777777" w:rsidR="00604946" w:rsidRPr="00783294" w:rsidRDefault="00000000">
      <w:pPr>
        <w:widowControl w:val="0"/>
        <w:spacing w:before="0" w:after="0"/>
        <w:rPr>
          <w:lang w:val="it-IT"/>
        </w:rPr>
      </w:pPr>
      <w:r>
        <w:t xml:space="preserve">Hess, L.L., J.M. </w:t>
      </w:r>
      <w:proofErr w:type="spellStart"/>
      <w:r>
        <w:t>Melack</w:t>
      </w:r>
      <w:proofErr w:type="spellEnd"/>
      <w:r>
        <w:t xml:space="preserve">, A.G. Affonso, C.C.F. Barbosa, M. </w:t>
      </w:r>
      <w:proofErr w:type="spellStart"/>
      <w:r>
        <w:t>Gastil</w:t>
      </w:r>
      <w:proofErr w:type="spellEnd"/>
      <w:r>
        <w:t xml:space="preserve">-Buhl, and E.M.L.M. Novo. 2015. LBA-ECO LC-07 Wetland Extent, Vegetation, and Inundation: Lowland Amazon Basin. </w:t>
      </w:r>
      <w:r w:rsidRPr="00783294">
        <w:rPr>
          <w:lang w:val="it-IT"/>
        </w:rPr>
        <w:t xml:space="preserve">ORNL DAAC, Oak Ridge, Tennessee, USA. </w:t>
      </w:r>
      <w:r>
        <w:fldChar w:fldCharType="begin"/>
      </w:r>
      <w:r w:rsidRPr="00783294">
        <w:rPr>
          <w:lang w:val="it-IT"/>
        </w:rPr>
        <w:instrText>HYPERLINK "https://doi.org/10.3334/ORNLDAAC/1284" \h</w:instrText>
      </w:r>
      <w:r>
        <w:fldChar w:fldCharType="separate"/>
      </w:r>
      <w:r w:rsidRPr="00783294">
        <w:rPr>
          <w:color w:val="1155CC"/>
          <w:u w:val="single"/>
          <w:lang w:val="it-IT"/>
        </w:rPr>
        <w:t>https://doi.org/10.3334/ORNLDAAC/1284</w:t>
      </w:r>
      <w:r>
        <w:rPr>
          <w:color w:val="1155CC"/>
          <w:u w:val="single"/>
        </w:rPr>
        <w:fldChar w:fldCharType="end"/>
      </w:r>
    </w:p>
    <w:p w14:paraId="3F1E8CE5" w14:textId="77777777" w:rsidR="00604946" w:rsidRPr="00783294" w:rsidRDefault="00604946">
      <w:pPr>
        <w:widowControl w:val="0"/>
        <w:spacing w:before="0" w:after="0"/>
        <w:rPr>
          <w:lang w:val="it-IT"/>
        </w:rPr>
      </w:pPr>
    </w:p>
    <w:p w14:paraId="1210096E" w14:textId="77777777" w:rsidR="00604946" w:rsidRDefault="00000000">
      <w:pPr>
        <w:widowControl w:val="0"/>
        <w:spacing w:before="0" w:after="0"/>
      </w:pPr>
      <w:proofErr w:type="spellStart"/>
      <w:r>
        <w:t>Tootchi</w:t>
      </w:r>
      <w:proofErr w:type="spellEnd"/>
      <w:r>
        <w:t xml:space="preserve">, Ardalan; Jost, Anne; </w:t>
      </w:r>
      <w:proofErr w:type="spellStart"/>
      <w:r>
        <w:t>Ducharne</w:t>
      </w:r>
      <w:proofErr w:type="spellEnd"/>
      <w:r>
        <w:t xml:space="preserve">, Agnès (2018): Multi-source global wetland maps combining surface water imagery and groundwater constraints. Sorbonne Université, Paris, France, PANGAEA, </w:t>
      </w:r>
      <w:hyperlink r:id="rId13">
        <w:r>
          <w:rPr>
            <w:color w:val="1155CC"/>
            <w:u w:val="single"/>
          </w:rPr>
          <w:t>https://doi.org/10.1594/PANGAEA.892657</w:t>
        </w:r>
      </w:hyperlink>
    </w:p>
    <w:p w14:paraId="0C468B71" w14:textId="77777777" w:rsidR="00604946" w:rsidRDefault="00604946">
      <w:pPr>
        <w:widowControl w:val="0"/>
        <w:spacing w:before="0" w:after="0"/>
        <w:rPr>
          <w:rFonts w:ascii="Arial" w:eastAsia="Arial" w:hAnsi="Arial" w:cs="Arial"/>
        </w:rPr>
      </w:pPr>
    </w:p>
    <w:p w14:paraId="096036A9" w14:textId="77777777" w:rsidR="00604946" w:rsidRDefault="00604946">
      <w:pPr>
        <w:widowControl w:val="0"/>
        <w:spacing w:before="0" w:after="0"/>
        <w:rPr>
          <w:rFonts w:ascii="Arial" w:eastAsia="Arial" w:hAnsi="Arial" w:cs="Arial"/>
        </w:rPr>
      </w:pPr>
    </w:p>
    <w:p w14:paraId="5EDA3CF8" w14:textId="77777777" w:rsidR="00604946" w:rsidRDefault="00604946">
      <w:pPr>
        <w:spacing w:before="240"/>
      </w:pPr>
      <w:bookmarkStart w:id="0" w:name="_heading=h.gjdgxs" w:colFirst="0" w:colLast="0"/>
      <w:bookmarkEnd w:id="0"/>
    </w:p>
    <w:sectPr w:rsidR="00604946">
      <w:headerReference w:type="even" r:id="rId14"/>
      <w:headerReference w:type="first" r:id="rId15"/>
      <w:pgSz w:w="12240" w:h="15840"/>
      <w:pgMar w:top="1138" w:right="1181" w:bottom="1138" w:left="1282"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557E95" w14:textId="77777777" w:rsidR="005D5EFD" w:rsidRDefault="005D5EFD">
      <w:pPr>
        <w:spacing w:before="0" w:after="0"/>
      </w:pPr>
      <w:r>
        <w:separator/>
      </w:r>
    </w:p>
  </w:endnote>
  <w:endnote w:type="continuationSeparator" w:id="0">
    <w:p w14:paraId="559F9BDB" w14:textId="77777777" w:rsidR="005D5EFD" w:rsidRDefault="005D5EFD">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1E8FDE" w14:textId="77777777" w:rsidR="005D5EFD" w:rsidRDefault="005D5EFD">
      <w:pPr>
        <w:spacing w:before="0" w:after="0"/>
      </w:pPr>
      <w:r>
        <w:separator/>
      </w:r>
    </w:p>
  </w:footnote>
  <w:footnote w:type="continuationSeparator" w:id="0">
    <w:p w14:paraId="32FC8D8A" w14:textId="77777777" w:rsidR="005D5EFD" w:rsidRDefault="005D5EFD">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439BAA" w14:textId="77777777" w:rsidR="00604946" w:rsidRDefault="00000000">
    <w: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8F5D22" w14:textId="77777777" w:rsidR="00604946" w:rsidRDefault="00000000">
    <w:r>
      <w:rPr>
        <w:b/>
        <w:noProof/>
        <w:color w:val="A6A6A6"/>
      </w:rPr>
      <w:drawing>
        <wp:inline distT="0" distB="0" distL="0" distR="0" wp14:anchorId="04725F8B" wp14:editId="32C80175">
          <wp:extent cx="1534909" cy="551877"/>
          <wp:effectExtent l="0" t="0" r="0" b="0"/>
          <wp:docPr id="7" name="image3.jpg" descr="C:\Users\Elaine.Scott\Documents\LaTex\____TEST____Frontiers_LaTeX_Templates_V2.5\Frontiers LaTeX (Science, Health and Engineering) V2.5 - with Supplementary material (V1.2)\logo1.jpg"/>
          <wp:cNvGraphicFramePr/>
          <a:graphic xmlns:a="http://schemas.openxmlformats.org/drawingml/2006/main">
            <a:graphicData uri="http://schemas.openxmlformats.org/drawingml/2006/picture">
              <pic:pic xmlns:pic="http://schemas.openxmlformats.org/drawingml/2006/picture">
                <pic:nvPicPr>
                  <pic:cNvPr id="0" name="image3.jpg" descr="C:\Users\Elaine.Scott\Documents\LaTex\____TEST____Frontiers_LaTeX_Templates_V2.5\Frontiers LaTeX (Science, Health and Engineering) V2.5 - with Supplementary material (V1.2)\logo1.jpg"/>
                  <pic:cNvPicPr preferRelativeResize="0"/>
                </pic:nvPicPr>
                <pic:blipFill>
                  <a:blip r:embed="rId1"/>
                  <a:srcRect/>
                  <a:stretch>
                    <a:fillRect/>
                  </a:stretch>
                </pic:blipFill>
                <pic:spPr>
                  <a:xfrm>
                    <a:off x="0" y="0"/>
                    <a:ext cx="1534909" cy="551877"/>
                  </a:xfrm>
                  <a:prstGeom prst="rect">
                    <a:avLst/>
                  </a:prstGeom>
                  <a:ln/>
                </pic:spPr>
              </pic:pic>
            </a:graphicData>
          </a:graphic>
        </wp:inline>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5DA3590"/>
    <w:multiLevelType w:val="multilevel"/>
    <w:tmpl w:val="4458799C"/>
    <w:lvl w:ilvl="0">
      <w:start w:val="1"/>
      <w:numFmt w:val="decimal"/>
      <w:lvlText w:val="%1"/>
      <w:lvlJc w:val="left"/>
      <w:pPr>
        <w:ind w:left="567" w:hanging="567"/>
      </w:pPr>
    </w:lvl>
    <w:lvl w:ilvl="1">
      <w:start w:val="1"/>
      <w:numFmt w:val="decimal"/>
      <w:lvlText w:val="%1.%2"/>
      <w:lvlJc w:val="left"/>
      <w:pPr>
        <w:ind w:left="567" w:hanging="567"/>
      </w:pPr>
    </w:lvl>
    <w:lvl w:ilvl="2">
      <w:start w:val="1"/>
      <w:numFmt w:val="decimal"/>
      <w:lvlText w:val="%1.%2.%3"/>
      <w:lvlJc w:val="left"/>
      <w:pPr>
        <w:ind w:left="567" w:hanging="567"/>
      </w:pPr>
    </w:lvl>
    <w:lvl w:ilvl="3">
      <w:start w:val="1"/>
      <w:numFmt w:val="decimal"/>
      <w:lvlText w:val="%1.%2.%3.%4"/>
      <w:lvlJc w:val="left"/>
      <w:pPr>
        <w:ind w:left="567" w:hanging="567"/>
      </w:pPr>
    </w:lvl>
    <w:lvl w:ilvl="4">
      <w:start w:val="1"/>
      <w:numFmt w:val="decimal"/>
      <w:lvlText w:val="%1.%2.%3.%4.%5"/>
      <w:lvlJc w:val="left"/>
      <w:pPr>
        <w:ind w:left="567" w:hanging="567"/>
      </w:pPr>
    </w:lvl>
    <w:lvl w:ilvl="5">
      <w:start w:val="1"/>
      <w:numFmt w:val="lowerRoman"/>
      <w:lvlText w:val="%6."/>
      <w:lvlJc w:val="right"/>
      <w:pPr>
        <w:ind w:left="567" w:hanging="567"/>
      </w:pPr>
    </w:lvl>
    <w:lvl w:ilvl="6">
      <w:start w:val="1"/>
      <w:numFmt w:val="decimal"/>
      <w:lvlText w:val="%7."/>
      <w:lvlJc w:val="left"/>
      <w:pPr>
        <w:ind w:left="567" w:hanging="567"/>
      </w:pPr>
    </w:lvl>
    <w:lvl w:ilvl="7">
      <w:start w:val="1"/>
      <w:numFmt w:val="lowerLetter"/>
      <w:lvlText w:val="%8."/>
      <w:lvlJc w:val="left"/>
      <w:pPr>
        <w:ind w:left="567" w:hanging="567"/>
      </w:pPr>
    </w:lvl>
    <w:lvl w:ilvl="8">
      <w:start w:val="1"/>
      <w:numFmt w:val="lowerRoman"/>
      <w:lvlText w:val="%9."/>
      <w:lvlJc w:val="right"/>
      <w:pPr>
        <w:ind w:left="567" w:hanging="567"/>
      </w:pPr>
    </w:lvl>
  </w:abstractNum>
  <w:num w:numId="1" w16cid:durableId="213656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4946"/>
    <w:rsid w:val="005D5EFD"/>
    <w:rsid w:val="00604946"/>
    <w:rsid w:val="007832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D77744"/>
  <w15:docId w15:val="{28633B62-CC15-4EEB-A375-AE9DCDF2DD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GB" w:bidi="ar-SA"/>
      </w:rPr>
    </w:rPrDefault>
    <w:pPrDefault>
      <w:pPr>
        <w:spacing w:before="120" w:after="24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before="240"/>
      <w:outlineLvl w:val="0"/>
    </w:pPr>
    <w:rPr>
      <w:b/>
    </w:rPr>
  </w:style>
  <w:style w:type="paragraph" w:styleId="Heading2">
    <w:name w:val="heading 2"/>
    <w:basedOn w:val="Normal"/>
    <w:next w:val="Normal"/>
    <w:uiPriority w:val="9"/>
    <w:semiHidden/>
    <w:unhideWhenUsed/>
    <w:qFormat/>
    <w:pPr>
      <w:spacing w:before="240" w:after="200"/>
      <w:outlineLvl w:val="1"/>
    </w:pPr>
    <w:rPr>
      <w:b/>
    </w:rPr>
  </w:style>
  <w:style w:type="paragraph" w:styleId="Heading3">
    <w:name w:val="heading 3"/>
    <w:basedOn w:val="Normal"/>
    <w:next w:val="Normal"/>
    <w:uiPriority w:val="9"/>
    <w:semiHidden/>
    <w:unhideWhenUsed/>
    <w:qFormat/>
    <w:pPr>
      <w:keepNext/>
      <w:keepLines/>
      <w:spacing w:before="40" w:after="120"/>
      <w:outlineLvl w:val="2"/>
    </w:pPr>
    <w:rPr>
      <w:b/>
    </w:rPr>
  </w:style>
  <w:style w:type="paragraph" w:styleId="Heading4">
    <w:name w:val="heading 4"/>
    <w:basedOn w:val="Normal"/>
    <w:next w:val="Normal"/>
    <w:uiPriority w:val="9"/>
    <w:semiHidden/>
    <w:unhideWhenUsed/>
    <w:qFormat/>
    <w:pPr>
      <w:keepNext/>
      <w:keepLines/>
      <w:spacing w:before="40" w:after="120"/>
      <w:outlineLvl w:val="3"/>
    </w:pPr>
    <w:rPr>
      <w:b/>
    </w:rPr>
  </w:style>
  <w:style w:type="paragraph" w:styleId="Heading5">
    <w:name w:val="heading 5"/>
    <w:basedOn w:val="Normal"/>
    <w:next w:val="Normal"/>
    <w:uiPriority w:val="9"/>
    <w:semiHidden/>
    <w:unhideWhenUsed/>
    <w:qFormat/>
    <w:pPr>
      <w:keepNext/>
      <w:keepLines/>
      <w:spacing w:before="40" w:after="12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before="240" w:after="360"/>
      <w:jc w:val="center"/>
    </w:pPr>
    <w:rPr>
      <w:b/>
      <w:sz w:val="32"/>
      <w:szCs w:val="32"/>
    </w:rPr>
  </w:style>
  <w:style w:type="table" w:customStyle="1" w:styleId="TableNormal1">
    <w:name w:val="Table Normal1"/>
    <w:tblPr>
      <w:tblCellMar>
        <w:top w:w="0" w:type="dxa"/>
        <w:left w:w="0" w:type="dxa"/>
        <w:bottom w:w="0" w:type="dxa"/>
        <w:right w:w="0" w:type="dxa"/>
      </w:tblCellMar>
    </w:tblPr>
  </w:style>
  <w:style w:type="paragraph" w:styleId="Subtitle">
    <w:name w:val="Subtitle"/>
    <w:basedOn w:val="Normal"/>
    <w:next w:val="Normal"/>
    <w:uiPriority w:val="11"/>
    <w:qFormat/>
    <w:pPr>
      <w:spacing w:before="240"/>
    </w:pPr>
    <w:rPr>
      <w:b/>
    </w:rPr>
  </w:style>
  <w:style w:type="paragraph" w:styleId="Header">
    <w:name w:val="header"/>
    <w:basedOn w:val="Normal"/>
    <w:link w:val="HeaderChar"/>
    <w:uiPriority w:val="99"/>
    <w:unhideWhenUsed/>
    <w:rsid w:val="000C3FF9"/>
    <w:pPr>
      <w:tabs>
        <w:tab w:val="center" w:pos="4252"/>
        <w:tab w:val="right" w:pos="8504"/>
      </w:tabs>
      <w:spacing w:before="0" w:after="0"/>
    </w:pPr>
  </w:style>
  <w:style w:type="character" w:customStyle="1" w:styleId="HeaderChar">
    <w:name w:val="Header Char"/>
    <w:basedOn w:val="DefaultParagraphFont"/>
    <w:link w:val="Header"/>
    <w:uiPriority w:val="99"/>
    <w:rsid w:val="000C3FF9"/>
  </w:style>
  <w:style w:type="paragraph" w:styleId="Footer">
    <w:name w:val="footer"/>
    <w:basedOn w:val="Normal"/>
    <w:link w:val="FooterChar"/>
    <w:uiPriority w:val="99"/>
    <w:unhideWhenUsed/>
    <w:rsid w:val="000C3FF9"/>
    <w:pPr>
      <w:tabs>
        <w:tab w:val="center" w:pos="4252"/>
        <w:tab w:val="right" w:pos="8504"/>
      </w:tabs>
      <w:spacing w:before="0" w:after="0"/>
    </w:pPr>
  </w:style>
  <w:style w:type="character" w:customStyle="1" w:styleId="FooterChar">
    <w:name w:val="Footer Char"/>
    <w:basedOn w:val="DefaultParagraphFont"/>
    <w:link w:val="Footer"/>
    <w:uiPriority w:val="99"/>
    <w:rsid w:val="000C3F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oi.org/10.1594/PANGAEA.892657"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cifor.org/pid/6419"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x.doi.org/10.1111/gcb.13689"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github.com/mapbiomas-brazil/amazon/blob/master/modules/PreProcessing.py" TargetMode="Externa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XI9ofwu1dtlPkXd/Ag15NORPOtw==">CgMxLjAyCGguZ2pkZ3hzOAByITF2d3Q2aGxPOHRGendLUFU2MlZrcnhpQVZtX3BsRE1aTg==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477</Words>
  <Characters>2721</Characters>
  <Application>Microsoft Office Word</Application>
  <DocSecurity>0</DocSecurity>
  <Lines>22</Lines>
  <Paragraphs>6</Paragraphs>
  <ScaleCrop>false</ScaleCrop>
  <Company>Frontiers Media</Company>
  <LinksUpToDate>false</LinksUpToDate>
  <CharactersWithSpaces>3192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Felicity Bax</cp:lastModifiedBy>
  <cp:revision>2</cp:revision>
  <dcterms:created xsi:type="dcterms:W3CDTF">2023-10-30T14:21:00Z</dcterms:created>
  <dcterms:modified xsi:type="dcterms:W3CDTF">2023-10-30T14:21:00Z</dcterms:modified>
</cp:coreProperties>
</file>