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Methods</w:t>
      </w:r>
    </w:p>
    <w:p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RNA extraction and quantitative real-time PCR (qRT-PCR)</w:t>
      </w: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RNA was extracted from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frozen CC tissue utilizing Tirzol (TaKaRa, Japan)</w:t>
      </w:r>
      <w:r>
        <w:rPr>
          <w:rFonts w:ascii="Times New Roman" w:hAnsi="Times New Roman" w:cs="Times New Roman"/>
          <w:sz w:val="28"/>
          <w:szCs w:val="28"/>
        </w:rPr>
        <w:t xml:space="preserve"> and then the RNA was then transcribed to cDNA using 5 X PrimeScript RT Master Mix (Takara, Japan). Real-time PCR was performed using TB Green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>
        <w:rPr>
          <w:rFonts w:ascii="Times New Roman" w:hAnsi="Times New Roman" w:cs="Times New Roman"/>
          <w:sz w:val="28"/>
          <w:szCs w:val="28"/>
        </w:rPr>
        <w:t xml:space="preserve"> Premix Ex Taq™ II (Tli RNaseH Plus) (Takara, Japan) and analyzed on a CFX connectTM (Bio-Rad, USA). The results were normalized to the expression of glyceraldehyde-3-phosphate dehydrogenase (GAPDH). The qRT-PCR data were analyzed and expressed relative to CT (cycle threshold) values. The qRT-PCR results were analyzed and showed as the fold change (2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-∆∆CT</w:t>
      </w:r>
      <w:r>
        <w:rPr>
          <w:rFonts w:ascii="Times New Roman" w:hAnsi="Times New Roman" w:cs="Times New Roman"/>
          <w:sz w:val="28"/>
          <w:szCs w:val="28"/>
        </w:rPr>
        <w:t>). For the analysis of the expression, the levels were compared with the controls and converted to the fold change (2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-∆∆CT</w:t>
      </w:r>
      <w:r>
        <w:rPr>
          <w:rFonts w:ascii="Times New Roman" w:hAnsi="Times New Roman" w:cs="Times New Roman"/>
          <w:sz w:val="28"/>
          <w:szCs w:val="28"/>
        </w:rPr>
        <w:t xml:space="preserve">). The quantitative PCR reaction for each sample was repeated in triplicate. </w:t>
      </w:r>
    </w:p>
    <w:p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480" w:lineRule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D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ata collection</w:t>
      </w:r>
    </w:p>
    <w:p>
      <w:pPr>
        <w:autoSpaceDE w:val="0"/>
        <w:autoSpaceDN w:val="0"/>
        <w:adjustRightInd w:val="0"/>
        <w:spacing w:line="480" w:lineRule="auto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</w:rPr>
        <w:t xml:space="preserve">These data were derived from the following resources available in the public domain: The CancerGenome Atlas (TCGA)- cervical squamous cell carcinoma and endocervical adenocarcinoma (CESC). https://portal.gdc.cancer.gov/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.</w:t>
      </w:r>
    </w:p>
    <w:p>
      <w:pPr>
        <w:autoSpaceDE w:val="0"/>
        <w:autoSpaceDN w:val="0"/>
        <w:adjustRightInd w:val="0"/>
        <w:spacing w:line="480" w:lineRule="auto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480" w:lineRule="auto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R packages and and the corresponding results.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443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Molecular techniques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TCGA data merge and ID trans 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Perl soft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Analysis of variances and heatmap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“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pheatamp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” 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and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limma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package of R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 DEGs, Figure 2A/2C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Volanco map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“dplyr”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“ggplot2”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“ggrepel”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2B/2D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Venn</w:t>
            </w:r>
          </w:p>
        </w:tc>
        <w:tc>
          <w:tcPr>
            <w:tcW w:w="44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"venn"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GO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"clusterProfiler"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"org.Hs.eg.db"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"enrichplot"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"ggplot2"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KEGG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"clusterProfiler"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"org.Hs.eg.db"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"enrichplot"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"ggplot2"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riskplot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"pheatmap"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4B,4C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ROC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"timeROC"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surivival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"survival"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vertAlign w:val="baseline"/>
                <w:lang w:val="en-US" w:eastAsia="zh-CN"/>
              </w:rPr>
              <w:t>"survminer"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Clinical correlation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"limma"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"ggpubr"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riskplot</w:t>
            </w:r>
          </w:p>
        </w:tc>
        <w:tc>
          <w:tcPr>
            <w:tcW w:w="44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“limma”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“ggpubr”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CIBERSORT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”e1071”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"BiocManager"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"preprocessCore"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immuneplot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"corrplot"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Figure7A,7B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Differential analysis of immune cells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"limma"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vertAlign w:val="baseline"/>
                <w:lang w:val="en-US" w:eastAsia="zh-CN"/>
              </w:rPr>
              <w:t>"vioplot"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Correlation analysis between </w:t>
            </w:r>
            <w:r>
              <w:rPr>
                <w:rFonts w:hint="eastAsia"/>
                <w:vertAlign w:val="baseline"/>
                <w:lang w:val="en-US" w:eastAsia="zh-CN"/>
              </w:rPr>
              <w:t>risk model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and immune cells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“limma”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ggplot2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“ggpubr”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“ggExtra”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 packages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TCGA data merge and ID trans 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Perl soft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Analysis of variances and heatmap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“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pheatamp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” 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and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limma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eastAsia" w:ascii="Calibri" w:hAnsi="Calibri" w:cs="Calibri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package of R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 DEGs, Figure 2A/2C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Volanco map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“dplyr”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“ggplot2”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“ggrepel”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2B/2D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Venn</w:t>
            </w:r>
          </w:p>
        </w:tc>
        <w:tc>
          <w:tcPr>
            <w:tcW w:w="443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"venn"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GO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"clusterProfiler"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"org.Hs.eg.db"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"enrichplot"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"ggplot2"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KEGG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"clusterProfiler"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"org.Hs.eg.db"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"enrichplot"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"ggplot2"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riskplot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"pheatmap"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4B,4C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ROC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"timeROC"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surivival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"survival"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vertAlign w:val="baseline"/>
                <w:lang w:val="en-US" w:eastAsia="zh-CN"/>
              </w:rPr>
              <w:t>"survminer"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Clinical correlation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"limma"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"ggpubr"</w:t>
            </w:r>
          </w:p>
        </w:tc>
        <w:tc>
          <w:tcPr>
            <w:tcW w:w="185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4E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CIBERSORT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”e1071”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"BiocManager"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"preprocessCore"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immuneplot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"corrplot"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Figure7A,7B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Differential analysis of immune cells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"limma"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vertAlign w:val="baseline"/>
                <w:lang w:val="en-US" w:eastAsia="zh-CN"/>
              </w:rPr>
              <w:t>"vioplot"</w:t>
            </w: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 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Correlation analysis between </w:t>
            </w:r>
            <w:r>
              <w:rPr>
                <w:rFonts w:hint="eastAsia"/>
                <w:vertAlign w:val="baseline"/>
                <w:lang w:val="en-US" w:eastAsia="zh-CN"/>
              </w:rPr>
              <w:t>risk model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and immune cells</w:t>
            </w:r>
          </w:p>
        </w:tc>
        <w:tc>
          <w:tcPr>
            <w:tcW w:w="44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“limma”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>ggplot2</w:t>
            </w:r>
            <w:r>
              <w:rPr>
                <w:rFonts w:hint="default"/>
                <w:vertAlign w:val="baseline"/>
                <w:lang w:val="en-US" w:eastAsia="zh-CN"/>
              </w:rPr>
              <w:t>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“ggpubr”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/>
                <w:vertAlign w:val="baseline"/>
                <w:lang w:val="en-US" w:eastAsia="zh-CN"/>
              </w:rPr>
              <w:t>“ggExtra”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Figure8C</w:t>
            </w:r>
          </w:p>
        </w:tc>
      </w:tr>
    </w:tbl>
    <w:p>
      <w:pPr>
        <w:autoSpaceDE w:val="0"/>
        <w:autoSpaceDN w:val="0"/>
        <w:adjustRightInd w:val="0"/>
        <w:spacing w:line="480" w:lineRule="auto"/>
        <w:rPr>
          <w:rFonts w:hint="eastAsia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17B2A"/>
    <w:multiLevelType w:val="singleLevel"/>
    <w:tmpl w:val="99317B2A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741F6FAE"/>
    <w:multiLevelType w:val="singleLevel"/>
    <w:tmpl w:val="741F6FA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M7MwsjAyMbMwsDRT0lEKTi0uzszPAykwrQUAGjNUNiwAAAA="/>
    <w:docVar w:name="commondata" w:val="eyJoZGlkIjoiZjZlZTExNzZlYzU2NWE4MDA5NDc0ZjY0MDQzYmY4OTcifQ=="/>
  </w:docVars>
  <w:rsids>
    <w:rsidRoot w:val="0045079E"/>
    <w:rsid w:val="00016814"/>
    <w:rsid w:val="00030696"/>
    <w:rsid w:val="000F11DC"/>
    <w:rsid w:val="001811C7"/>
    <w:rsid w:val="00215715"/>
    <w:rsid w:val="00261048"/>
    <w:rsid w:val="002A1E44"/>
    <w:rsid w:val="0045079E"/>
    <w:rsid w:val="00451BA5"/>
    <w:rsid w:val="00452940"/>
    <w:rsid w:val="00455C76"/>
    <w:rsid w:val="004E01CF"/>
    <w:rsid w:val="005E596E"/>
    <w:rsid w:val="00610BEB"/>
    <w:rsid w:val="00901833"/>
    <w:rsid w:val="00905A25"/>
    <w:rsid w:val="0099580C"/>
    <w:rsid w:val="009F6007"/>
    <w:rsid w:val="00A40756"/>
    <w:rsid w:val="00A432CC"/>
    <w:rsid w:val="00AA1307"/>
    <w:rsid w:val="00B56352"/>
    <w:rsid w:val="00D82EAC"/>
    <w:rsid w:val="00EB6AB5"/>
    <w:rsid w:val="00EC64B5"/>
    <w:rsid w:val="00F8602F"/>
    <w:rsid w:val="0B2B13D7"/>
    <w:rsid w:val="0F7756E1"/>
    <w:rsid w:val="4D1140F5"/>
    <w:rsid w:val="6C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2394</Characters>
  <Lines>19</Lines>
  <Paragraphs>5</Paragraphs>
  <TotalTime>1</TotalTime>
  <ScaleCrop>false</ScaleCrop>
  <LinksUpToDate>false</LinksUpToDate>
  <CharactersWithSpaces>2809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2021-09-07T07:48:00Z</dcterms:created>
  <dc:creator>ZSY</dc:creator>
  <cp:lastModifiedBy>小gaga</cp:lastModifiedBy>
  <dcterms:modified xsi:type="dcterms:W3CDTF">2023-10-25T08:41:02Z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AC6302443B0848B7BF37C17199739AD8_12</vt:lpwstr>
  </property>
</Properties>
</file>