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  <w:rPr>
          <w:b w:val="0"/>
        </w:rPr>
      </w:pPr>
      <w:r>
        <w:t>Supplementary Material</w:t>
      </w:r>
    </w:p>
    <w:p>
      <w:pPr>
        <w:pStyle w:val="18"/>
      </w:pPr>
      <w:r>
        <w:rPr>
          <w:rFonts w:hint="eastAsia"/>
        </w:rPr>
        <w:t>Associations of micronutrient dietary with sarcopenia among US adults: a population-based study</w:t>
      </w:r>
    </w:p>
    <w:p>
      <w:pPr>
        <w:pStyle w:val="34"/>
      </w:pPr>
      <w:r>
        <w:rPr>
          <w:rFonts w:hint="eastAsia"/>
        </w:rPr>
        <w:t>Yining Liu</w:t>
      </w:r>
      <w:r>
        <w:rPr>
          <w:rFonts w:hint="eastAsia"/>
          <w:sz w:val="24"/>
          <w:szCs w:val="24"/>
          <w:vertAlign w:val="superscript"/>
        </w:rPr>
        <w:t>1†</w:t>
      </w:r>
      <w:r>
        <w:rPr>
          <w:rFonts w:hint="eastAsia"/>
        </w:rPr>
        <w:t>, Xiangli</w:t>
      </w:r>
      <w:r>
        <w:rPr>
          <w:rFonts w:hint="eastAsia" w:eastAsia="宋体"/>
          <w:lang w:val="en-US" w:eastAsia="zh-CN"/>
        </w:rPr>
        <w:t>a</w:t>
      </w:r>
      <w:r>
        <w:rPr>
          <w:rFonts w:hint="eastAsia"/>
        </w:rPr>
        <w:t>ng Liu</w:t>
      </w:r>
      <w:r>
        <w:rPr>
          <w:rFonts w:hint="eastAsia"/>
          <w:vertAlign w:val="superscript"/>
        </w:rPr>
        <w:t>1†</w:t>
      </w:r>
      <w:r>
        <w:rPr>
          <w:rFonts w:hint="eastAsia"/>
        </w:rPr>
        <w:t>, Linnan Duan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, Yixin Zhao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>, Yuwei He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>, Wei Li</w:t>
      </w:r>
      <w:r>
        <w:rPr>
          <w:rFonts w:hint="eastAsia"/>
          <w:vertAlign w:val="superscript"/>
        </w:rPr>
        <w:t>1*</w:t>
      </w:r>
      <w:r>
        <w:rPr>
          <w:rFonts w:hint="eastAsia"/>
        </w:rPr>
        <w:t>, Jiuwei Cui</w:t>
      </w:r>
      <w:r>
        <w:rPr>
          <w:rFonts w:hint="eastAsia"/>
          <w:vertAlign w:val="superscript"/>
        </w:rPr>
        <w:t>1*</w:t>
      </w:r>
    </w:p>
    <w:p>
      <w:pPr>
        <w:spacing w:before="240" w:after="0"/>
        <w:rPr>
          <w:rFonts w:cs="Times New Roman"/>
        </w:rPr>
      </w:pPr>
      <w:r>
        <w:rPr>
          <w:rFonts w:cs="Times New Roman"/>
          <w:b/>
        </w:rPr>
        <w:t xml:space="preserve">* Correspondence: </w:t>
      </w:r>
      <w:r>
        <w:rPr>
          <w:rFonts w:hint="eastAsia" w:cs="Times New Roman"/>
          <w:szCs w:val="24"/>
        </w:rPr>
        <w:t>Wei Li</w:t>
      </w:r>
      <w:r>
        <w:rPr>
          <w:rFonts w:hint="eastAsia" w:eastAsia="宋体" w:cs="Times New Roman"/>
          <w:szCs w:val="24"/>
          <w:lang w:val="en-US" w:eastAsia="zh-CN"/>
        </w:rPr>
        <w:t xml:space="preserve"> ,</w:t>
      </w:r>
      <w:r>
        <w:rPr>
          <w:rFonts w:hint="eastAsia" w:eastAsia="宋体" w:cs="Times New Roman"/>
          <w:color w:val="auto"/>
          <w:szCs w:val="24"/>
          <w:u w:val="none"/>
          <w:lang w:val="en-US" w:eastAsia="zh-CN"/>
        </w:rPr>
        <w:fldChar w:fldCharType="begin"/>
      </w:r>
      <w:r>
        <w:rPr>
          <w:rFonts w:hint="eastAsia" w:eastAsia="宋体" w:cs="Times New Roman"/>
          <w:color w:val="auto"/>
          <w:szCs w:val="24"/>
          <w:u w:val="none"/>
          <w:lang w:val="en-US" w:eastAsia="zh-CN"/>
        </w:rPr>
        <w:instrText xml:space="preserve"> HYPERLINK "mailto:liwei66@jlu.edu.cn" </w:instrText>
      </w:r>
      <w:r>
        <w:rPr>
          <w:rFonts w:hint="eastAsia" w:eastAsia="宋体" w:cs="Times New Roman"/>
          <w:color w:val="auto"/>
          <w:szCs w:val="24"/>
          <w:u w:val="none"/>
          <w:lang w:val="en-US" w:eastAsia="zh-CN"/>
        </w:rPr>
        <w:fldChar w:fldCharType="separate"/>
      </w:r>
      <w:r>
        <w:rPr>
          <w:rStyle w:val="28"/>
          <w:rFonts w:hint="eastAsia" w:eastAsia="宋体" w:cs="Times New Roman"/>
          <w:szCs w:val="24"/>
          <w:lang w:val="en-US" w:eastAsia="zh-CN"/>
        </w:rPr>
        <w:t>liwei66@jlu.edu.cn</w:t>
      </w:r>
      <w:r>
        <w:rPr>
          <w:rFonts w:hint="eastAsia" w:eastAsia="宋体" w:cs="Times New Roman"/>
          <w:color w:val="auto"/>
          <w:szCs w:val="24"/>
          <w:u w:val="none"/>
          <w:lang w:val="en-US" w:eastAsia="zh-CN"/>
        </w:rPr>
        <w:fldChar w:fldCharType="end"/>
      </w:r>
      <w:r>
        <w:rPr>
          <w:rFonts w:hint="eastAsia" w:eastAsia="宋体" w:cs="Times New Roman"/>
          <w:color w:val="auto"/>
          <w:szCs w:val="24"/>
          <w:u w:val="none"/>
          <w:lang w:val="en-US" w:eastAsia="zh-CN"/>
        </w:rPr>
        <w:t xml:space="preserve">; </w:t>
      </w:r>
      <w:r>
        <w:rPr>
          <w:rFonts w:cs="Times New Roman"/>
          <w:szCs w:val="24"/>
        </w:rPr>
        <w:t>JiuweiCui</w:t>
      </w:r>
      <w:r>
        <w:rPr>
          <w:rFonts w:hint="eastAsia" w:eastAsia="宋体" w:cs="Times New Roman"/>
          <w:szCs w:val="24"/>
          <w:lang w:val="en-US" w:eastAsia="zh-CN"/>
        </w:rPr>
        <w:t xml:space="preserve">, </w:t>
      </w:r>
      <w:r>
        <w:rPr>
          <w:rFonts w:hint="eastAsia" w:eastAsia="宋体" w:cs="Times New Roman"/>
          <w:szCs w:val="24"/>
          <w:lang w:val="en-US" w:eastAsia="zh-CN"/>
        </w:rPr>
        <w:fldChar w:fldCharType="begin"/>
      </w:r>
      <w:r>
        <w:rPr>
          <w:rFonts w:hint="eastAsia" w:eastAsia="宋体" w:cs="Times New Roman"/>
          <w:szCs w:val="24"/>
          <w:lang w:val="en-US" w:eastAsia="zh-CN"/>
        </w:rPr>
        <w:instrText xml:space="preserve"> HYPERLINK "mailto:cuijw@jlu.edu.cn" </w:instrText>
      </w:r>
      <w:r>
        <w:rPr>
          <w:rFonts w:hint="eastAsia" w:eastAsia="宋体" w:cs="Times New Roman"/>
          <w:szCs w:val="24"/>
          <w:lang w:val="en-US" w:eastAsia="zh-CN"/>
        </w:rPr>
        <w:fldChar w:fldCharType="separate"/>
      </w:r>
      <w:r>
        <w:rPr>
          <w:rStyle w:val="28"/>
          <w:rFonts w:hint="eastAsia" w:eastAsia="宋体" w:cs="Times New Roman"/>
          <w:szCs w:val="24"/>
          <w:lang w:val="en-US" w:eastAsia="zh-CN"/>
        </w:rPr>
        <w:t>cuijw@jlu.edu.cn</w:t>
      </w:r>
      <w:r>
        <w:rPr>
          <w:rFonts w:hint="eastAsia" w:eastAsia="宋体" w:cs="Times New Roman"/>
          <w:szCs w:val="24"/>
          <w:lang w:val="en-US" w:eastAsia="zh-CN"/>
        </w:rPr>
        <w:fldChar w:fldCharType="end"/>
      </w:r>
    </w:p>
    <w:p>
      <w:pPr>
        <w:pStyle w:val="4"/>
      </w:pPr>
      <w:r>
        <w:t>Supplementary Figures</w:t>
      </w:r>
    </w:p>
    <w:p>
      <w:pPr>
        <w:rPr>
          <w:rFonts w:hint="eastAsia" w:eastAsia="宋体" w:cs="Times New Roman"/>
          <w:szCs w:val="24"/>
          <w:lang w:val="en-US" w:eastAsia="zh-CN"/>
        </w:rPr>
        <w:sectPr>
          <w:headerReference r:id="rId6" w:type="first"/>
          <w:footerReference r:id="rId7" w:type="default"/>
          <w:headerReference r:id="rId5" w:type="even"/>
          <w:footerReference r:id="rId8" w:type="even"/>
          <w:pgSz w:w="12240" w:h="15840"/>
          <w:pgMar w:top="1138" w:right="1181" w:bottom="1138" w:left="1282" w:header="720" w:footer="720" w:gutter="0"/>
          <w:cols w:space="720" w:num="1"/>
          <w:titlePg/>
          <w:docGrid w:linePitch="360" w:charSpace="0"/>
        </w:sect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205855" cy="5120005"/>
            <wp:effectExtent l="0" t="0" r="4445" b="4445"/>
            <wp:docPr id="3" name="图片 3" descr="Figure 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igure S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05855" cy="51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fldChar w:fldCharType="begin"/>
      </w:r>
      <w:r>
        <w:rPr>
          <w:rFonts w:cs="Times New Roman"/>
          <w:b/>
          <w:szCs w:val="24"/>
        </w:rPr>
        <w:instrText xml:space="preserve"> SEQ Figure \* ARABIC </w:instrText>
      </w:r>
      <w:r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szCs w:val="24"/>
        </w:rPr>
        <w:t>1</w:t>
      </w:r>
      <w:r>
        <w:rPr>
          <w:rFonts w:cs="Times New Roman"/>
          <w:b/>
          <w:szCs w:val="24"/>
        </w:rPr>
        <w:fldChar w:fldCharType="end"/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>
        <w:rPr>
          <w:rFonts w:hint="eastAsia" w:cs="Times New Roman"/>
          <w:szCs w:val="24"/>
        </w:rPr>
        <w:t>Multivariate logistic regression analyses of association between micronutrient intakes and sarcopenia</w:t>
      </w:r>
      <w:r>
        <w:rPr>
          <w:rFonts w:cs="Times New Roman"/>
          <w:szCs w:val="24"/>
        </w:rPr>
        <w:t xml:space="preserve">. </w:t>
      </w:r>
      <w:r>
        <w:rPr>
          <w:rFonts w:hint="eastAsia" w:eastAsia="宋体" w:cs="Times New Roman"/>
          <w:szCs w:val="24"/>
          <w:lang w:val="en-US" w:eastAsia="zh-CN"/>
        </w:rPr>
        <w:t xml:space="preserve"> Q1 as reference. Model 1: adjusted for sex, age, race, and BMI. Model 2: adjusted for model 1 and education level, physical activity, smoking status, and drinking history. Model 3: adjusted for model 2 and hypertension, diabetes, cardiovasular disease, and cancer.</w:t>
      </w:r>
    </w:p>
    <w:p>
      <w:pPr>
        <w:pStyle w:val="4"/>
      </w:pPr>
      <w:r>
        <w:t>Supplementary Figures</w:t>
      </w:r>
    </w:p>
    <w:p>
      <w:pPr>
        <w:rPr>
          <w:rFonts w:hint="eastAsia" w:eastAsia="宋体" w:cs="Times New Roman"/>
          <w:szCs w:val="24"/>
          <w:lang w:val="en-US" w:eastAsia="zh-CN"/>
        </w:rPr>
      </w:pPr>
      <w:r>
        <w:rPr>
          <w:rFonts w:hint="eastAsia" w:eastAsia="宋体" w:cs="Times New Roman"/>
          <w:b/>
          <w:bCs/>
          <w:szCs w:val="24"/>
          <w:lang w:val="en-US" w:eastAsia="zh-CN"/>
        </w:rPr>
        <w:t>Supplementary Table 1.</w:t>
      </w:r>
      <w:r>
        <w:rPr>
          <w:rFonts w:hint="eastAsia" w:eastAsia="宋体" w:cs="Times New Roman"/>
          <w:szCs w:val="24"/>
          <w:lang w:val="en-US" w:eastAsia="zh-CN"/>
        </w:rPr>
        <w:t xml:space="preserve">  Baseline characteristics of the study population across tertiles of micronutrient patterns</w:t>
      </w:r>
    </w:p>
    <w:tbl>
      <w:tblPr>
        <w:tblStyle w:val="20"/>
        <w:tblW w:w="15450" w:type="dxa"/>
        <w:tblInd w:w="-566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1208"/>
        <w:gridCol w:w="1237"/>
        <w:gridCol w:w="1215"/>
        <w:gridCol w:w="728"/>
        <w:gridCol w:w="1215"/>
        <w:gridCol w:w="1260"/>
        <w:gridCol w:w="1357"/>
        <w:gridCol w:w="765"/>
        <w:gridCol w:w="1260"/>
        <w:gridCol w:w="1268"/>
        <w:gridCol w:w="1222"/>
        <w:gridCol w:w="80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9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4388" w:type="dxa"/>
            <w:gridSpan w:val="4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VitB-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mineral</w:t>
            </w:r>
          </w:p>
        </w:tc>
        <w:tc>
          <w:tcPr>
            <w:tcW w:w="4597" w:type="dxa"/>
            <w:gridSpan w:val="4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VitAD-Ca-VB12</w:t>
            </w:r>
          </w:p>
        </w:tc>
        <w:tc>
          <w:tcPr>
            <w:tcW w:w="4553" w:type="dxa"/>
            <w:gridSpan w:val="4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Antioxidant Vit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Characteristics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Q1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Q2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Q2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Q1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Q2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91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Median (IQR)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Age (y)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 (21.0)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 (19.0)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 (19.0)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 (21.0)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 (19.0)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 (19.0)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 (21.0)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 (20.0)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 (19.0)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BMI, kg/m2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27.5 (9.6)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27.7 (8.0)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27.4 (7.8)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27.7 (9.7)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27.6 (7.9)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27.3 (7.8)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27.6 (9.7)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27.6 (8.0)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27.4 (7.8)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 (%)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Sex, Male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 (30.4%)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873 (49.7%)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1293 (73.9%)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554 (30.8%)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963 (50.4%)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1181 (76.4%)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 (30.3%)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 (50.0%)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2698 (51.3%)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Race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Mexican American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 (12.3%)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 (11.3%)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 (14.3%)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 (12.2%)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 (11.5%)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 (14.6%)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 (12.2%)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 (11.4%)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 (14.4%)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Non-Hispanic White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664 (37.9%)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714 (40.7%)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719 (41.1%)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686 (38.1%)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777 (40.7%)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634 (41.0%)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671 (38.0%)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709 (40.7%)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717 (41.0%)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Non-Hispanic Black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 (22.9%)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 (21.7%)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 (21.1%)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 (22.8%)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 (21.3%)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 (21.6%)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 (23.0%)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 (21.6%)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 (21.1%)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Others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 (26.9%)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 (26.3%)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 (23.5%)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 (26.9%)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 (26.5%)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 (22.8%)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 (26.9%)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 (26.3%)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 (23.5%)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Education level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Below high school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 (18.5%)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 (16.4%)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 (17.1%)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 (18.5%)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 (15.9%)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 (17.3%)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 (18.4%)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 (16.4%)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 (17.2%)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High school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 (21.1%)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 (20.3%)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 (23.1%)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 (21.2%)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 (20.5%)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 (23.3%)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 (21.2%)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 (20.3%)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 (23.1%)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Above high school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1057 (60.4%)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 (63.3%)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 (59.7%)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1087 (60.4%)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1215 (63.6%)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 (59.0%)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1068 (60.4%)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 (63.3%)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1043 (59.7%)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Smoking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Never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1113 (63.6%)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 (59.5%)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974 (55.7%)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 (63.5%)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1132 (59.3%)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 (55.3%)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1124 (63.6%)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1036 (59.5%)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971 (55.6%)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Ever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 (14.7%)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 (16.6%)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 (18.7%)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 (14.7%)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 (17.0%)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 (18.6%)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 (14.7%)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 (16.6%)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 (18.7%)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Current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 (21.7%)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 (24.0%)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 (25.7%)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 (21.8%)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 (23.8%)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 (26.0%)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 (21.7%)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 (23.9%)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 (25.7%)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Drinking (yes)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1229 (70.2%)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 (78.0%)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1450 (82.9%)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1265 (70.2%)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1493 (78.2%)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 (83.5%)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1241 (70.2%)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1359 (78.1%)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1448 (82.9%)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Recreational physical activity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Sedentary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954 (54.5%)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981 (55.9%)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953 (54.5%)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988 (54.9%)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1048 (54.9%)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852 (55.1%)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965 (54.6%)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 (55.8%)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951 (54.4%)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Insufficient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 (22.0%)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 (23.7%)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 (21.3%)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 (21.8%)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 (23.7%)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 (21.4%)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 (21.9%)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 (23.8%)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 (21.4%)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Moderate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 (13.0%)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 (11.0%)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 (13.3%)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 (13.0%)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 (11.5%)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 (12.9%)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 (13.0%)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 (11.0%)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 (13.2%)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High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 (10.5%)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 (9.4%)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 (11.0%)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 (10.3%)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 (10.0%)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 (10.6%)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 (10.5%)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 (9.4%)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 (11.0%)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Hypertension (yes)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 (26.4%)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 (24.5%)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 (24.0%)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 (26.3%)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 (24.6%)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 (23.9%)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 (26.4%)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 (24.5%)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 (24.0%)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Diabetes (yes)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 (12.8%)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 (13.8%)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 (11.9%)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 (12.8%)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 (13.9%)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 (11.5%)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 (12.8%)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 (13.8%)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 (11.9%)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Cardiovasular disease (yes)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 (2.1%)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 (1.5%)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 (1.9%)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 (2.1%)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 (1.6%)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 (1.9%)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 (2.1%)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 (1.5%)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 (1.9%)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9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Cancer (yes)</w:t>
            </w:r>
          </w:p>
        </w:tc>
        <w:tc>
          <w:tcPr>
            <w:tcW w:w="12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 (4.3%)</w:t>
            </w:r>
          </w:p>
        </w:tc>
        <w:tc>
          <w:tcPr>
            <w:tcW w:w="12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 (3.9%)</w:t>
            </w:r>
          </w:p>
        </w:tc>
        <w:tc>
          <w:tcPr>
            <w:tcW w:w="12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 (3.4%)</w:t>
            </w:r>
          </w:p>
        </w:tc>
        <w:tc>
          <w:tcPr>
            <w:tcW w:w="7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0.368</w:t>
            </w:r>
          </w:p>
        </w:tc>
        <w:tc>
          <w:tcPr>
            <w:tcW w:w="12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 (4.2%)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 (3.9%)</w:t>
            </w:r>
          </w:p>
        </w:tc>
        <w:tc>
          <w:tcPr>
            <w:tcW w:w="13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 (3.4%)</w:t>
            </w: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0.434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 (4.3%)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 (3.9%)</w:t>
            </w:r>
          </w:p>
        </w:tc>
        <w:tc>
          <w:tcPr>
            <w:tcW w:w="1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 (3.4%)</w:t>
            </w:r>
          </w:p>
        </w:tc>
        <w:tc>
          <w:tcPr>
            <w:tcW w:w="8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0.364</w:t>
            </w:r>
          </w:p>
        </w:tc>
      </w:tr>
    </w:tbl>
    <w:p>
      <w:pPr>
        <w:rPr>
          <w:rFonts w:hint="eastAsia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Values were presented as Median (IQR) or Number (%). BMI, body mass index. IQR, interquartile range</w:t>
      </w:r>
      <w:r>
        <w:rPr>
          <w:rFonts w:hint="eastAsia" w:cs="Times New Roman"/>
          <w:sz w:val="21"/>
          <w:szCs w:val="21"/>
          <w:lang w:val="en-US" w:eastAsia="zh-CN"/>
        </w:rPr>
        <w:t>.</w:t>
      </w:r>
    </w:p>
    <w:p>
      <w:pPr>
        <w:rPr>
          <w:rFonts w:hint="eastAsia" w:cs="Times New Roman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Supplementary Table 2.  Differences of micronutrient intakes across tertiles of micronutrient patterns </w:t>
      </w:r>
    </w:p>
    <w:tbl>
      <w:tblPr>
        <w:tblStyle w:val="20"/>
        <w:tblW w:w="15007" w:type="dxa"/>
        <w:tblInd w:w="-131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82"/>
        <w:gridCol w:w="1275"/>
        <w:gridCol w:w="1320"/>
        <w:gridCol w:w="728"/>
        <w:gridCol w:w="1207"/>
        <w:gridCol w:w="1268"/>
        <w:gridCol w:w="1357"/>
        <w:gridCol w:w="773"/>
        <w:gridCol w:w="1252"/>
        <w:gridCol w:w="1275"/>
        <w:gridCol w:w="1223"/>
        <w:gridCol w:w="78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4605" w:type="dxa"/>
            <w:gridSpan w:val="4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VitB-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mineral</w:t>
            </w:r>
          </w:p>
        </w:tc>
        <w:tc>
          <w:tcPr>
            <w:tcW w:w="4605" w:type="dxa"/>
            <w:gridSpan w:val="4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VitAD-Ca-VB12</w:t>
            </w:r>
          </w:p>
        </w:tc>
        <w:tc>
          <w:tcPr>
            <w:tcW w:w="4537" w:type="dxa"/>
            <w:gridSpan w:val="4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Antioxidant Vit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Mean±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Q2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Q1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Q2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  <w:t>Q2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VA (mcg)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2.500±0.011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2.632±0.009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2.690±0.010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2.502±0.011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2.642±0.009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2.688±0.011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2.500±0.011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2.633±0.009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2.690±0.010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VB3 (mg)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1.121±0.005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1.379±0.003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1.604±0.004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1.126±0.005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1.393±0.003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1.620±0.004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1.123±0.005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1.380±0.003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1.605±0.004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VB6 (mg)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0.028±0.006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0.263±0.004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0.480±0.005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0.031±0.006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0.276±0.004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0.496±0.006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0.029±0.006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0.264±0.004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0.480±0.005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VB9 (mcg)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2.345±0.007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2.549±0.005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2.721±0.005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2.349±0.007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2.561±0.005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2.732±0.006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2.347±0.007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2.550±0.005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2.721±0.005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VB12 (mcg)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0.292±0.010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0.555±0.008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0.791±0.008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0.297±0.009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0.570±0.007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0.806±0.009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0.293±0.009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0.555±0.008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0.792±0.008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 (mg)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1.584±0.014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1.643±0.013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1.635±0.014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1.587±0.014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1.645±0.013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1.630±0.015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1.586±0.014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1.641±0.013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1.636±0.014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VD (mcg)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0.284±0.012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0.407±0.012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0.480±0.013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0.285±0.012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0.419±0.012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0.479±0.014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0.284±0.012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0.409±0.012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0.480±0.013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VE (mg)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0.678±0.007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0.871±0.006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1.021±0.006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0.682±0.007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0.880±0.006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1.031±0.007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0.681±0.007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0.870±0.006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1.020±0.006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VK (mcg)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1.743±0.012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1.879±0.010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1.950±0.009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1.746±0.012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1.885±0.009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1.952±0.009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1.745±0.012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1.879±0.010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1.949±0.009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 (mg)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2.778±0.007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2.910±0.006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3.018±0.006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2.779±0.007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2.921±0.006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3.023±0.007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2.778±0.007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2.912±0.006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3.018±0.006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 (mg)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2.922±0.005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3.117±0.003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3.271±0.004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2.925±0.005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3.128±0.003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3.281±0.004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2.923±0.005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3.118±0.003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3.271±0.004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Fe (mg)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0.911±0.005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1.125±0.004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1.301±0.005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0.915±0.005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1.137±0.004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1.311±0.005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0.912±0.005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1.126±0.004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1.301±0.005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Zn (mg)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0.772±0.005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1.000±0.004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1.196±0.005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0.777±0.005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1.011±0.004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1.211±0.005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0.774±0.005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1.001±0.004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1.196±0.005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 (mcg)</w:t>
            </w:r>
          </w:p>
        </w:tc>
        <w:tc>
          <w:tcPr>
            <w:tcW w:w="12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1.803±0.006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2.037±0.004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2.222±0.004</w:t>
            </w:r>
          </w:p>
        </w:tc>
        <w:tc>
          <w:tcPr>
            <w:tcW w:w="7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1.807±0.006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2.051±0.003</w:t>
            </w:r>
          </w:p>
        </w:tc>
        <w:tc>
          <w:tcPr>
            <w:tcW w:w="13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2.234±0.005</w:t>
            </w:r>
          </w:p>
        </w:tc>
        <w:tc>
          <w:tcPr>
            <w:tcW w:w="7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2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1.804±0.006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2.039±0.004</w:t>
            </w:r>
          </w:p>
        </w:tc>
        <w:tc>
          <w:tcPr>
            <w:tcW w:w="12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2.222±0.004</w:t>
            </w:r>
          </w:p>
        </w:tc>
        <w:tc>
          <w:tcPr>
            <w:tcW w:w="7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</w:tr>
    </w:tbl>
    <w:p>
      <w:pPr>
        <w:rPr>
          <w:rFonts w:hint="eastAsia" w:eastAsia="宋体" w:cs="Times New Roman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Values were presented as Mean±SE. 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SE,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S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tandard Error.</w:t>
      </w:r>
    </w:p>
    <w:p>
      <w:pPr>
        <w:rPr>
          <w:rFonts w:hint="eastAsia" w:eastAsia="宋体" w:cs="Times New Roman"/>
          <w:szCs w:val="24"/>
          <w:lang w:val="en-US" w:eastAsia="zh-CN"/>
        </w:rPr>
      </w:pPr>
      <w:r>
        <w:rPr>
          <w:rFonts w:hint="eastAsia" w:eastAsia="宋体" w:cs="Times New Roman"/>
          <w:szCs w:val="24"/>
          <w:lang w:val="en-US" w:eastAsia="zh-CN"/>
        </w:rPr>
        <w:br w:type="page"/>
      </w:r>
    </w:p>
    <w:p>
      <w:pP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Supplementary Table 3.  Differences of micronutrient intakes across tertiles of micronutrient patterns</w:t>
      </w:r>
    </w:p>
    <w:tbl>
      <w:tblPr>
        <w:tblStyle w:val="20"/>
        <w:tblpPr w:leftFromText="180" w:rightFromText="180" w:vertAnchor="text" w:horzAnchor="page" w:tblpXSpec="center" w:tblpY="293"/>
        <w:tblOverlap w:val="never"/>
        <w:tblW w:w="14149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134"/>
        <w:gridCol w:w="1134"/>
        <w:gridCol w:w="1134"/>
        <w:gridCol w:w="771"/>
        <w:gridCol w:w="1134"/>
        <w:gridCol w:w="1134"/>
        <w:gridCol w:w="1134"/>
        <w:gridCol w:w="773"/>
        <w:gridCol w:w="1134"/>
        <w:gridCol w:w="1134"/>
        <w:gridCol w:w="1134"/>
        <w:gridCol w:w="78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6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2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4173" w:type="dxa"/>
            <w:gridSpan w:val="4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VitB-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mineral</w:t>
            </w:r>
          </w:p>
        </w:tc>
        <w:tc>
          <w:tcPr>
            <w:tcW w:w="4175" w:type="dxa"/>
            <w:gridSpan w:val="4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VitAD-Ca-VB12</w:t>
            </w:r>
            <w:bookmarkStart w:id="0" w:name="_GoBack"/>
            <w:bookmarkEnd w:id="0"/>
          </w:p>
        </w:tc>
        <w:tc>
          <w:tcPr>
            <w:tcW w:w="4189" w:type="dxa"/>
            <w:gridSpan w:val="4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Antioxidant Vit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Mean±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  <w:t>Q2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61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Energy (kcal)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3.148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3.321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±0.00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3.468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±0.0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3.151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±0.0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±0.00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3.478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±0.00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3.149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±0.0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3.322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±0.00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3.468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±0.0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Protein (gm)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±0.005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9±0.003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2.077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±0.004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  <w:t>1.675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±0.003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±0.004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±0.005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0±0.003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2.077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±0.004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Carbohydrate (gm)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±0.00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±0.004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±0.00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  <w:t>2.251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2.339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±0.004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2.529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±0.00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±0.00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2.392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±0.004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±0.00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6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Total fat (gm)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1.679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±0.00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1.879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±0.005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±0.005</w:t>
            </w:r>
          </w:p>
        </w:tc>
        <w:tc>
          <w:tcPr>
            <w:tcW w:w="7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1.683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±0.00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1.889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±0.005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±0.00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1.681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±0.00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1.880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±0.005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±0.005</w:t>
            </w:r>
          </w:p>
        </w:tc>
        <w:tc>
          <w:tcPr>
            <w:tcW w:w="7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</w:tr>
    </w:tbl>
    <w:p>
      <w:pP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Values were presented as Mean±SE. 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SE,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S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tandard Error.</w:t>
      </w:r>
    </w:p>
    <w:p>
      <w:pP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Supplementary Table </w:t>
      </w:r>
      <w:r>
        <w:rPr>
          <w:rFonts w:hint="eastAsia" w:cs="Times New Roman"/>
          <w:b/>
          <w:bCs/>
          <w:lang w:val="en-US" w:eastAsia="zh-CN"/>
        </w:rPr>
        <w:t>4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. 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Multivariate adjusted OR (95% CI) of sarcopenia in relation to micronutrient patterns among participants</w:t>
      </w:r>
    </w:p>
    <w:tbl>
      <w:tblPr>
        <w:tblStyle w:val="20"/>
        <w:tblpPr w:leftFromText="180" w:rightFromText="180" w:vertAnchor="text" w:horzAnchor="page" w:tblpX="1808" w:tblpY="117"/>
        <w:tblOverlap w:val="never"/>
        <w:tblW w:w="999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056"/>
        <w:gridCol w:w="870"/>
        <w:gridCol w:w="2024"/>
        <w:gridCol w:w="990"/>
        <w:gridCol w:w="2002"/>
        <w:gridCol w:w="102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926" w:type="dxa"/>
            <w:gridSpan w:val="2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Model 1</w:t>
            </w:r>
          </w:p>
        </w:tc>
        <w:tc>
          <w:tcPr>
            <w:tcW w:w="3014" w:type="dxa"/>
            <w:gridSpan w:val="2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Model 2</w:t>
            </w:r>
          </w:p>
        </w:tc>
        <w:tc>
          <w:tcPr>
            <w:tcW w:w="3030" w:type="dxa"/>
            <w:gridSpan w:val="2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Model 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 (95%CI)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 (95%CI)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 (95%CI)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0.723 (0.573-0.912)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0.006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0.749 (0.590-0.952)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0.018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0.734 (0.577-0.932)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VB3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0.458 (0.297-0.708)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&lt;0.001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0.491 (0.316-0.763)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0.481 (0.309-0.749)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VB6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0.634 (0.432-0.933)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0.665 (0.449-0.985)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0.647 (0.436-0.961)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VB9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0.596 (0.411-0.863)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0.006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0.610 (0.420-0.886)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0.009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0.596 (0.410-0.867)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VB12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0.701 (0.583-0.913)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0.008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0.730 (0.559-0.954)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0.724 (0.554-0.946)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VC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0.873 (0.730-1.044)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0.137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0.865 (0.721-1.038)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0.119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0.857 (0.714-1.029)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VD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0.851 (0.696-1.040)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0.115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0.840 (0.686-1.029)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0.832 (0.679-1.020)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0.333 (0.238-0.465)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&lt;0.001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0.359 (0.254-0.506)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&lt;0.001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0.351 (0.249-0.496)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VK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0.600 (0.468-0.770)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&lt;0.001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0.634 (0.491-0.818)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&lt;0.001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0.622 (0.481-0.804)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0.412 (0.286-0.593)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&lt;0.001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0.420 (0.290-0.608)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&lt;0.001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0.414 (0.286-0.599)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0.319 (0.203-0.502)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&lt;0.001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0.333 (0.210-0.528)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&lt;0.001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0.325 (0.205-0.517)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0.547 (0.356-0.838)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0.006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0.560 (0.364-0.861)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0.008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0.540 (0.351-0.833)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Zn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0.466 (0.306-0.708)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&lt;0.001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0.443 (0.293-0.671)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&lt;0.001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 (0.298-0.691)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</w:t>
            </w:r>
          </w:p>
        </w:tc>
        <w:tc>
          <w:tcPr>
            <w:tcW w:w="20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0.501 (0.330-0.759)</w:t>
            </w:r>
          </w:p>
        </w:tc>
        <w:tc>
          <w:tcPr>
            <w:tcW w:w="8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</w:t>
            </w:r>
          </w:p>
        </w:tc>
        <w:tc>
          <w:tcPr>
            <w:tcW w:w="20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0.507 (0.333-0.774)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</w:t>
            </w:r>
          </w:p>
        </w:tc>
        <w:tc>
          <w:tcPr>
            <w:tcW w:w="20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0.498 (0.326-0.761)</w:t>
            </w:r>
          </w:p>
        </w:tc>
        <w:tc>
          <w:tcPr>
            <w:tcW w:w="10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</w:t>
            </w:r>
          </w:p>
        </w:tc>
      </w:tr>
    </w:tbl>
    <w:p>
      <w:pPr>
        <w:keepNext/>
        <w:rPr>
          <w:rFonts w:hint="eastAsia" w:eastAsia="宋体" w:cs="Times New Roman"/>
          <w:szCs w:val="24"/>
          <w:lang w:val="en-US" w:eastAsia="zh-CN"/>
        </w:rPr>
      </w:pPr>
    </w:p>
    <w:p>
      <w:pPr>
        <w:spacing w:before="240"/>
      </w:pPr>
    </w:p>
    <w:p>
      <w:pPr>
        <w:bidi w:val="0"/>
        <w:rPr>
          <w:rFonts w:ascii="Times New Roman" w:hAnsi="Times New Roman" w:eastAsiaTheme="minorHAnsi" w:cstheme="minorBidi"/>
          <w:sz w:val="24"/>
          <w:szCs w:val="22"/>
          <w:lang w:val="en-US" w:eastAsia="en-US" w:bidi="ar-SA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rFonts w:hint="default" w:ascii="Times New Roman" w:hAnsi="Times New Roman" w:cs="Times New Roman" w:eastAsia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 w:val="0"/>
          <w:bCs w:val="0"/>
          <w:kern w:val="2"/>
          <w:sz w:val="21"/>
          <w:szCs w:val="21"/>
          <w:lang w:val="en-US" w:eastAsia="zh-CN" w:bidi="ar-SA"/>
        </w:rPr>
        <w:t>Model 1: adjusted for sex, age, race, and BMI</w:t>
      </w:r>
      <w:r>
        <w:rPr>
          <w:rFonts w:hint="eastAsia" w:ascii="Times New Roman" w:hAnsi="Times New Roman" w:cs="Times New Roman"/>
          <w:b w:val="0"/>
          <w:bCs w:val="0"/>
          <w:kern w:val="2"/>
          <w:sz w:val="21"/>
          <w:szCs w:val="21"/>
          <w:lang w:val="en-US" w:eastAsia="zh-CN" w:bidi="ar-SA"/>
        </w:rPr>
        <w:t>.</w:t>
      </w:r>
    </w:p>
    <w:p>
      <w:pPr>
        <w:bidi w:val="0"/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Model 2: adjusted for model 1 and education level, physical activity, smoking status, and drinking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history.</w:t>
      </w:r>
    </w:p>
    <w:p>
      <w:pPr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Model 3: adjusted for model 2 and hypertension, diabetes, cardiovasular disease, and cance</w:t>
      </w: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r</w:t>
      </w:r>
    </w:p>
    <w:p>
      <w:pPr>
        <w:tabs>
          <w:tab w:val="left" w:pos="639"/>
        </w:tabs>
        <w:bidi w:val="0"/>
        <w:jc w:val="left"/>
        <w:rPr>
          <w:rFonts w:hint="eastAsia" w:eastAsia="宋体"/>
          <w:lang w:val="en-US" w:eastAsia="zh-CN"/>
        </w:rPr>
      </w:pPr>
    </w:p>
    <w:sectPr>
      <w:pgSz w:w="15840" w:h="12240" w:orient="landscape"/>
      <w:pgMar w:top="1282" w:right="1138" w:bottom="1181" w:left="1138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651.1pt;margin-top:505.3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651.1pt;margin-top:505.3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xN2ZlZDZhY2U0ZDI0OWVlMzQxMmUwYThiMGQ4MTgifQ=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8C4503D"/>
    <w:rsid w:val="0A3F2484"/>
    <w:rsid w:val="15771544"/>
    <w:rsid w:val="537C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autoRedefine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autoRedefine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autoRedefine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autoRedefine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autoRedefine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autoRedefine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autoRedefine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autoRedefine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autoRedefine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autoRedefine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autoRedefine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autoRedefine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autoRedefine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autoRedefine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autoRedefine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autoRedefine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autoRedefine/>
    <w:unhideWhenUsed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autoRedefine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autoRedefine/>
    <w:semiHidden/>
    <w:unhideWhenUsed/>
    <w:qFormat/>
    <w:uiPriority w:val="99"/>
    <w:rPr>
      <w:b/>
      <w:bCs/>
    </w:rPr>
  </w:style>
  <w:style w:type="table" w:styleId="21">
    <w:name w:val="Table Grid"/>
    <w:basedOn w:val="20"/>
    <w:autoRedefine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autoRedefine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autoRedefine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autoRedefine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autoRedefine/>
    <w:semiHidden/>
    <w:unhideWhenUsed/>
    <w:qFormat/>
    <w:uiPriority w:val="99"/>
  </w:style>
  <w:style w:type="character" w:styleId="28">
    <w:name w:val="Hyperlink"/>
    <w:basedOn w:val="22"/>
    <w:autoRedefine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autoRedefine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autoRedefine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autoRedefine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autoRedefine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autoRedefine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autoRedefine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autoRedefine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autoRedefine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autoRedefine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autoRedefine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autoRedefine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autoRedefine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autoRedefine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autoRedefine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autoRedefine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autoRedefine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autoRedefine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autoRedefine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autoRedefine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autoRedefine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autoRedefine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autoRedefine/>
    <w:qFormat/>
    <w:uiPriority w:val="0"/>
    <w:pPr>
      <w:spacing w:after="120"/>
    </w:pPr>
    <w:rPr>
      <w:i/>
    </w:rPr>
  </w:style>
  <w:style w:type="paragraph" w:customStyle="1" w:styleId="53">
    <w:name w:val="Revision"/>
    <w:autoRedefine/>
    <w:hidden/>
    <w:semiHidden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/>
</ds:datastoreItem>
</file>

<file path=customXml/itemProps3.xml><?xml version="1.0" encoding="utf-8"?>
<ds:datastoreItem xmlns:ds="http://schemas.openxmlformats.org/officeDocument/2006/customXml" ds:itemID="{4B2E0E22-D442-4EBE-AAA2-EDC8871E7B41}">
  <ds:schemaRefs/>
</ds:datastoreItem>
</file>

<file path=customXml/itemProps4.xml><?xml version="1.0" encoding="utf-8"?>
<ds:datastoreItem xmlns:ds="http://schemas.openxmlformats.org/officeDocument/2006/customXml" ds:itemID="{A3D4929F-83D0-432F-8F82-6D4423C25F5E}">
  <ds:schemaRefs/>
</ds:datastoreItem>
</file>

<file path=customXml/itemProps5.xml><?xml version="1.0" encoding="utf-8"?>
<ds:datastoreItem xmlns:ds="http://schemas.openxmlformats.org/officeDocument/2006/customXml" ds:itemID="{DFF441E3-103C-4487-877D-08CD22337C19}">
  <ds:schemaRefs/>
</ds:datastoreItem>
</file>

<file path=customXml/itemProps6.xml><?xml version="1.0" encoding="utf-8"?>
<ds:datastoreItem xmlns:ds="http://schemas.openxmlformats.org/officeDocument/2006/customXml" ds:itemID="{114314AF-3C36-4C2C-B599-40A76C6FFF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1</Pages>
  <Words>157</Words>
  <Characters>899</Characters>
  <Lines>7</Lines>
  <Paragraphs>2</Paragraphs>
  <TotalTime>0</TotalTime>
  <ScaleCrop>false</ScaleCrop>
  <LinksUpToDate>false</LinksUpToDate>
  <CharactersWithSpaces>1054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kkk</cp:lastModifiedBy>
  <cp:lastPrinted>2013-10-03T12:51:00Z</cp:lastPrinted>
  <dcterms:modified xsi:type="dcterms:W3CDTF">2024-01-26T09:58:15Z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2052-12.1.0.16120</vt:lpwstr>
  </property>
  <property fmtid="{D5CDD505-2E9C-101B-9397-08002B2CF9AE}" pid="11" name="ICV">
    <vt:lpwstr>09EDC0B305BC41C19A82484BA1BD66AD_13</vt:lpwstr>
  </property>
</Properties>
</file>