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9A1A2C" w:rsidRDefault="00654E8F" w:rsidP="0001436A">
      <w:pPr>
        <w:pStyle w:val="SupplementaryMaterial"/>
        <w:rPr>
          <w:b w:val="0"/>
          <w:sz w:val="24"/>
          <w:szCs w:val="24"/>
        </w:rPr>
      </w:pPr>
      <w:r w:rsidRPr="009A1A2C">
        <w:rPr>
          <w:sz w:val="24"/>
          <w:szCs w:val="24"/>
        </w:rPr>
        <w:t>Supplementary Material</w:t>
      </w:r>
    </w:p>
    <w:p w14:paraId="569768B2" w14:textId="0860A66B" w:rsidR="009A1A2C" w:rsidRPr="009A1A2C" w:rsidRDefault="009A1A2C" w:rsidP="009A1A2C">
      <w:pPr>
        <w:pStyle w:val="AuthorList"/>
        <w:jc w:val="center"/>
        <w:rPr>
          <w:i/>
          <w:iCs/>
        </w:rPr>
      </w:pPr>
      <w:r w:rsidRPr="009A1A2C">
        <w:t xml:space="preserve">Leaf, </w:t>
      </w:r>
      <w:proofErr w:type="gramStart"/>
      <w:r w:rsidRPr="009A1A2C">
        <w:t>root</w:t>
      </w:r>
      <w:proofErr w:type="gramEnd"/>
      <w:r w:rsidRPr="009A1A2C">
        <w:t xml:space="preserve"> and </w:t>
      </w:r>
      <w:r w:rsidR="0096316D" w:rsidRPr="00CD08ED">
        <w:rPr>
          <w:lang w:eastAsia="ja-JP"/>
        </w:rPr>
        <w:t>soil</w:t>
      </w:r>
      <w:r w:rsidR="0096316D">
        <w:rPr>
          <w:lang w:eastAsia="ja-JP"/>
        </w:rPr>
        <w:t xml:space="preserve"> </w:t>
      </w:r>
      <w:r w:rsidRPr="009A1A2C">
        <w:t xml:space="preserve">microbiomes of an invasive plant, </w:t>
      </w:r>
      <w:r w:rsidRPr="009A1A2C">
        <w:rPr>
          <w:i/>
          <w:iCs/>
        </w:rPr>
        <w:t>Ardisia</w:t>
      </w:r>
    </w:p>
    <w:p w14:paraId="09985C25" w14:textId="77777777" w:rsidR="009A1A2C" w:rsidRPr="009A1A2C" w:rsidRDefault="009A1A2C" w:rsidP="009A1A2C">
      <w:pPr>
        <w:pStyle w:val="AuthorList"/>
        <w:jc w:val="center"/>
      </w:pPr>
      <w:r w:rsidRPr="009A1A2C">
        <w:rPr>
          <w:i/>
          <w:iCs/>
        </w:rPr>
        <w:t>crenata</w:t>
      </w:r>
      <w:r w:rsidRPr="009A1A2C">
        <w:t xml:space="preserve">, differ between its native and exotic </w:t>
      </w:r>
      <w:proofErr w:type="gramStart"/>
      <w:r w:rsidRPr="009A1A2C">
        <w:t>ranges</w:t>
      </w:r>
      <w:proofErr w:type="gramEnd"/>
    </w:p>
    <w:p w14:paraId="7F0586CB" w14:textId="77777777" w:rsidR="009A1A2C" w:rsidRPr="009A1A2C" w:rsidRDefault="009A1A2C" w:rsidP="009A1A2C">
      <w:pPr>
        <w:spacing w:before="240" w:after="0"/>
        <w:rPr>
          <w:rFonts w:cs="Times New Roman"/>
          <w:bCs/>
          <w:szCs w:val="24"/>
        </w:rPr>
      </w:pPr>
      <w:r w:rsidRPr="009A1A2C">
        <w:rPr>
          <w:rFonts w:cs="Times New Roman"/>
          <w:bCs/>
          <w:szCs w:val="24"/>
        </w:rPr>
        <w:t xml:space="preserve">Naoto Nakamura </w:t>
      </w:r>
      <w:r w:rsidRPr="009A1A2C">
        <w:rPr>
          <w:rFonts w:cs="Times New Roman"/>
          <w:bCs/>
          <w:szCs w:val="24"/>
          <w:vertAlign w:val="superscript"/>
        </w:rPr>
        <w:t>1</w:t>
      </w:r>
      <w:r w:rsidRPr="009A1A2C">
        <w:rPr>
          <w:rFonts w:cs="Times New Roman"/>
          <w:bCs/>
          <w:szCs w:val="24"/>
        </w:rPr>
        <w:t xml:space="preserve"> *, Hirokazu Toju </w:t>
      </w:r>
      <w:r w:rsidRPr="009A1A2C">
        <w:rPr>
          <w:rFonts w:cs="Times New Roman"/>
          <w:bCs/>
          <w:szCs w:val="24"/>
          <w:vertAlign w:val="superscript"/>
        </w:rPr>
        <w:t>2</w:t>
      </w:r>
      <w:r w:rsidRPr="009A1A2C">
        <w:rPr>
          <w:rFonts w:cs="Times New Roman"/>
          <w:bCs/>
          <w:szCs w:val="24"/>
        </w:rPr>
        <w:t xml:space="preserve">, Kaoru Kitajima </w:t>
      </w:r>
      <w:r w:rsidRPr="009A1A2C">
        <w:rPr>
          <w:rFonts w:cs="Times New Roman"/>
          <w:bCs/>
          <w:szCs w:val="24"/>
          <w:vertAlign w:val="superscript"/>
        </w:rPr>
        <w:t>1</w:t>
      </w:r>
    </w:p>
    <w:p w14:paraId="12110F50" w14:textId="77777777" w:rsidR="009A1A2C" w:rsidRPr="009A1A2C" w:rsidRDefault="009A1A2C" w:rsidP="009A1A2C">
      <w:pPr>
        <w:spacing w:before="240" w:after="0"/>
        <w:rPr>
          <w:rFonts w:cs="Times New Roman"/>
          <w:bCs/>
          <w:szCs w:val="24"/>
        </w:rPr>
      </w:pPr>
    </w:p>
    <w:p w14:paraId="33852364" w14:textId="77777777" w:rsidR="009A1A2C" w:rsidRPr="009A1A2C" w:rsidRDefault="009A1A2C" w:rsidP="009A1A2C">
      <w:pPr>
        <w:spacing w:before="240" w:after="0"/>
        <w:rPr>
          <w:rFonts w:cs="Times New Roman"/>
          <w:bCs/>
          <w:szCs w:val="24"/>
        </w:rPr>
      </w:pPr>
      <w:r w:rsidRPr="009A1A2C">
        <w:rPr>
          <w:rFonts w:cs="Times New Roman"/>
          <w:bCs/>
          <w:szCs w:val="24"/>
          <w:vertAlign w:val="superscript"/>
        </w:rPr>
        <w:t>1</w:t>
      </w:r>
      <w:r w:rsidRPr="009A1A2C">
        <w:rPr>
          <w:rFonts w:cs="Times New Roman"/>
          <w:bCs/>
          <w:szCs w:val="24"/>
        </w:rPr>
        <w:t xml:space="preserve"> Faculty of Agriculture, Kyoto University, Kyoto Japan</w:t>
      </w:r>
    </w:p>
    <w:p w14:paraId="15AB7711" w14:textId="77777777" w:rsidR="009A1A2C" w:rsidRPr="009A1A2C" w:rsidRDefault="009A1A2C" w:rsidP="009A1A2C">
      <w:pPr>
        <w:spacing w:before="240" w:after="0"/>
        <w:rPr>
          <w:rFonts w:cs="Times New Roman"/>
          <w:bCs/>
          <w:szCs w:val="24"/>
        </w:rPr>
      </w:pPr>
      <w:r w:rsidRPr="009A1A2C">
        <w:rPr>
          <w:rFonts w:cs="Times New Roman"/>
          <w:bCs/>
          <w:szCs w:val="24"/>
          <w:vertAlign w:val="superscript"/>
        </w:rPr>
        <w:t>2</w:t>
      </w:r>
      <w:r w:rsidRPr="009A1A2C">
        <w:rPr>
          <w:rFonts w:cs="Times New Roman"/>
          <w:bCs/>
          <w:szCs w:val="24"/>
        </w:rPr>
        <w:t xml:space="preserve"> Center for Ecological Research, Kyoto University, Otsu, Japan</w:t>
      </w:r>
    </w:p>
    <w:p w14:paraId="17B01CE5" w14:textId="595517C1" w:rsidR="009A1A2C" w:rsidRPr="009A1A2C" w:rsidRDefault="009A1A2C" w:rsidP="009A1A2C">
      <w:pPr>
        <w:spacing w:before="240" w:after="0"/>
        <w:rPr>
          <w:rFonts w:cs="Times New Roman"/>
          <w:bCs/>
          <w:szCs w:val="24"/>
        </w:rPr>
      </w:pPr>
      <w:r w:rsidRPr="009A1A2C">
        <w:rPr>
          <w:rFonts w:cs="Times New Roman"/>
          <w:b/>
          <w:szCs w:val="24"/>
        </w:rPr>
        <w:t xml:space="preserve">* Correspondence: </w:t>
      </w:r>
      <w:r w:rsidRPr="009A1A2C">
        <w:rPr>
          <w:rFonts w:cs="Times New Roman"/>
          <w:b/>
          <w:szCs w:val="24"/>
        </w:rPr>
        <w:br/>
      </w:r>
      <w:r w:rsidRPr="009A1A2C">
        <w:rPr>
          <w:rFonts w:cs="Times New Roman"/>
          <w:szCs w:val="24"/>
        </w:rPr>
        <w:t>Naoto Nakamura</w:t>
      </w:r>
      <w:r w:rsidRPr="009A1A2C">
        <w:rPr>
          <w:rFonts w:cs="Times New Roman" w:hint="eastAsia"/>
          <w:bCs/>
          <w:szCs w:val="24"/>
          <w:lang w:eastAsia="ja-JP"/>
        </w:rPr>
        <w:t xml:space="preserve"> </w:t>
      </w:r>
      <w:r w:rsidRPr="009A1A2C">
        <w:rPr>
          <w:rFonts w:cs="Times New Roman"/>
          <w:bCs/>
          <w:szCs w:val="24"/>
        </w:rPr>
        <w:t xml:space="preserve">E-mail address: </w:t>
      </w:r>
      <w:hyperlink r:id="rId12" w:history="1">
        <w:r w:rsidRPr="009A1A2C">
          <w:rPr>
            <w:rStyle w:val="Hyperlink"/>
            <w:rFonts w:cs="Times New Roman"/>
            <w:bCs/>
            <w:szCs w:val="24"/>
          </w:rPr>
          <w:t>nakamura.naoto.35c@st.kyoto-u.ac.jp</w:t>
        </w:r>
      </w:hyperlink>
    </w:p>
    <w:p w14:paraId="0CBBD95C" w14:textId="310F93D3" w:rsidR="009A1A2C" w:rsidRPr="009A1A2C" w:rsidRDefault="009A1A2C" w:rsidP="00185B1D">
      <w:pPr>
        <w:spacing w:before="0" w:after="200" w:line="276" w:lineRule="auto"/>
        <w:rPr>
          <w:rFonts w:cs="Times New Roman"/>
          <w:bCs/>
          <w:szCs w:val="24"/>
        </w:rPr>
      </w:pPr>
      <w:r w:rsidRPr="009A1A2C">
        <w:rPr>
          <w:rFonts w:cs="Times New Roman"/>
          <w:bCs/>
          <w:szCs w:val="24"/>
        </w:rPr>
        <w:br w:type="page"/>
      </w:r>
    </w:p>
    <w:p w14:paraId="3D6ADAD8" w14:textId="160FB560" w:rsidR="009A1A2C" w:rsidRPr="009A1A2C" w:rsidRDefault="009A1A2C" w:rsidP="009A1A2C">
      <w:pPr>
        <w:jc w:val="both"/>
        <w:rPr>
          <w:rFonts w:cs="Times New Roman"/>
          <w:szCs w:val="24"/>
        </w:rPr>
      </w:pPr>
      <w:r w:rsidRPr="009A1A2C">
        <w:rPr>
          <w:rFonts w:cs="Times New Roman"/>
          <w:szCs w:val="24"/>
        </w:rPr>
        <w:lastRenderedPageBreak/>
        <w:t>SUPPLEMENTARY FIGURE</w:t>
      </w:r>
    </w:p>
    <w:p w14:paraId="6F64E6C7" w14:textId="3F071F7F" w:rsidR="009A1A2C" w:rsidRPr="009A1A2C" w:rsidRDefault="009A1A2C" w:rsidP="009A1A2C">
      <w:pPr>
        <w:jc w:val="both"/>
        <w:rPr>
          <w:rFonts w:cs="Times New Roman"/>
          <w:szCs w:val="24"/>
        </w:rPr>
      </w:pPr>
      <w:r>
        <w:rPr>
          <w:noProof/>
          <w:szCs w:val="24"/>
        </w:rPr>
        <w:drawing>
          <wp:inline distT="0" distB="0" distL="0" distR="0" wp14:anchorId="2F906FC8" wp14:editId="3989C4B2">
            <wp:extent cx="4916695" cy="3831021"/>
            <wp:effectExtent l="0" t="0" r="0" b="0"/>
            <wp:docPr id="7646958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1822" cy="3835016"/>
                    </a:xfrm>
                    <a:prstGeom prst="rect">
                      <a:avLst/>
                    </a:prstGeom>
                    <a:noFill/>
                    <a:ln>
                      <a:noFill/>
                    </a:ln>
                  </pic:spPr>
                </pic:pic>
              </a:graphicData>
            </a:graphic>
          </wp:inline>
        </w:drawing>
      </w:r>
    </w:p>
    <w:p w14:paraId="475A6D4E" w14:textId="77777777" w:rsidR="009A1A2C" w:rsidRPr="009A1A2C" w:rsidRDefault="009A1A2C" w:rsidP="009A1A2C">
      <w:pPr>
        <w:jc w:val="both"/>
        <w:rPr>
          <w:rFonts w:cs="Times New Roman"/>
          <w:szCs w:val="24"/>
        </w:rPr>
      </w:pPr>
      <w:r w:rsidRPr="009A1A2C">
        <w:rPr>
          <w:rFonts w:cs="Times New Roman"/>
          <w:szCs w:val="24"/>
        </w:rPr>
        <w:t>Supplementary Figure S1</w:t>
      </w:r>
    </w:p>
    <w:p w14:paraId="73202532" w14:textId="3D348C57" w:rsidR="009A1A2C" w:rsidRPr="009A1A2C" w:rsidRDefault="009A1A2C" w:rsidP="009A1A2C">
      <w:pPr>
        <w:jc w:val="both"/>
        <w:rPr>
          <w:rFonts w:cs="Times New Roman"/>
          <w:szCs w:val="24"/>
        </w:rPr>
      </w:pPr>
      <w:r w:rsidRPr="009A1A2C">
        <w:rPr>
          <w:rFonts w:cs="Times New Roman"/>
          <w:szCs w:val="24"/>
        </w:rPr>
        <w:t xml:space="preserve">Bootstrap consensus phylogenetic tree constructed based on the analysis of the 16S rDNA sequences of OTUs presumed to be symbionts of </w:t>
      </w:r>
      <w:r w:rsidRPr="005B5695">
        <w:rPr>
          <w:rFonts w:cs="Times New Roman"/>
          <w:i/>
          <w:iCs/>
          <w:szCs w:val="24"/>
        </w:rPr>
        <w:t>A. crenata</w:t>
      </w:r>
      <w:r w:rsidRPr="009A1A2C">
        <w:rPr>
          <w:rFonts w:cs="Times New Roman"/>
          <w:szCs w:val="24"/>
        </w:rPr>
        <w:t>. For the phylogenetic analysis, OTUs that matched either</w:t>
      </w:r>
      <w:r w:rsidRPr="009A1A2C">
        <w:rPr>
          <w:rFonts w:cs="Times New Roman"/>
          <w:szCs w:val="24"/>
          <w:lang w:eastAsia="ja-JP"/>
        </w:rPr>
        <w:t xml:space="preserve"> 2 types of the reference sequences of </w:t>
      </w:r>
      <w:r w:rsidRPr="009A1A2C">
        <w:rPr>
          <w:rFonts w:cs="Times New Roman"/>
          <w:i/>
          <w:iCs/>
          <w:szCs w:val="24"/>
          <w:lang w:eastAsia="ja-JP"/>
        </w:rPr>
        <w:t>Burkholderia crenata</w:t>
      </w:r>
      <w:r w:rsidRPr="009A1A2C">
        <w:rPr>
          <w:rFonts w:cs="Times New Roman"/>
          <w:szCs w:val="24"/>
        </w:rPr>
        <w:t xml:space="preserve"> (JQ684816 and JQ684823) in the 806b-515f region with a similarity of 95% or higher were included. The search was conducted with VSEARCH </w:t>
      </w:r>
      <w:r w:rsidRPr="009A1A2C">
        <w:rPr>
          <w:rFonts w:cs="Times New Roman"/>
          <w:szCs w:val="24"/>
        </w:rPr>
        <w:fldChar w:fldCharType="begin" w:fldLock="1"/>
      </w:r>
      <w:r w:rsidRPr="009A1A2C">
        <w:rPr>
          <w:rFonts w:cs="Times New Roman"/>
          <w:szCs w:val="24"/>
        </w:rPr>
        <w:instrText>ADDIN CSL_CITATION {"citationItems":[{"id":"ITEM-1","itemData":{"DOI":"10.7717/peerj.2584","ISSN":"2167-8359","author":[{"dropping-particle":"","family":"Rognes","given":"Torbjørn","non-dropping-particle":"","parse-names":false,"suffix":""},{"dropping-particle":"","family":"Flouri","given":"Tomáš","non-dropping-particle":"","parse-names":false,"suffix":""},{"dropping-particle":"","family":"Nichols","given":"Ben","non-dropping-particle":"","parse-names":false,"suffix":""},{"dropping-particle":"","family":"Quince","given":"Christopher","non-dropping-particle":"","parse-names":false,"suffix":""},{"dropping-particle":"","family":"Mahé","given":"Frédéric","non-dropping-particle":"","parse-names":false,"suffix":""}],"container-title":"PeerJ","id":"ITEM-1","issued":{"date-parts":[["2016","10","18"]]},"page":"e2584","title":"VSEARCH: a versatile open source tool for metagenomics","type":"article-journal","volume":"4"},"uris":["http://www.mendeley.com/documents/?uuid=3ad8ef98-958f-3d3f-81ce-9fcea259274b"]}],"mendeley":{"formattedCitation":"(Rognes et al., 2016)","plainTextFormattedCitation":"(Rognes et al., 2016)","previouslyFormattedCitation":"(Rognes et al., 2016)"},"properties":{"noteIndex":0},"schema":"https://github.com/citation-style-language/schema/raw/master/csl-citation.json"}</w:instrText>
      </w:r>
      <w:r w:rsidRPr="009A1A2C">
        <w:rPr>
          <w:rFonts w:cs="Times New Roman"/>
          <w:szCs w:val="24"/>
        </w:rPr>
        <w:fldChar w:fldCharType="separate"/>
      </w:r>
      <w:r w:rsidRPr="009A1A2C">
        <w:rPr>
          <w:rFonts w:cs="Times New Roman"/>
          <w:noProof/>
          <w:szCs w:val="24"/>
        </w:rPr>
        <w:t>(Rognes et al., 2016)</w:t>
      </w:r>
      <w:r w:rsidRPr="009A1A2C">
        <w:rPr>
          <w:rFonts w:cs="Times New Roman"/>
          <w:szCs w:val="24"/>
        </w:rPr>
        <w:fldChar w:fldCharType="end"/>
      </w:r>
      <w:r w:rsidRPr="009A1A2C">
        <w:rPr>
          <w:rFonts w:cs="Times New Roman"/>
          <w:szCs w:val="24"/>
        </w:rPr>
        <w:t xml:space="preserve">, and as a result, 18 OTUs out of a total of 8295 OTUs were matched. In addition to the 18 OTUs, 2 reference sequences (red) and 5 sequences of </w:t>
      </w:r>
      <w:proofErr w:type="spellStart"/>
      <w:r w:rsidRPr="009A1A2C">
        <w:rPr>
          <w:rFonts w:cs="Times New Roman"/>
          <w:szCs w:val="24"/>
        </w:rPr>
        <w:t>Buekholderiales</w:t>
      </w:r>
      <w:proofErr w:type="spellEnd"/>
      <w:r w:rsidRPr="009A1A2C">
        <w:rPr>
          <w:rFonts w:cs="Times New Roman"/>
          <w:szCs w:val="24"/>
        </w:rPr>
        <w:t xml:space="preserve"> OTUs randomly chosen from our dataset  (grey) were included for estimating phylogeny. As an outgroup, 806b-515f region of </w:t>
      </w:r>
      <w:proofErr w:type="spellStart"/>
      <w:r w:rsidRPr="009A1A2C">
        <w:rPr>
          <w:rFonts w:cs="Times New Roman"/>
          <w:i/>
          <w:iCs/>
          <w:szCs w:val="24"/>
        </w:rPr>
        <w:t>Leptothrix</w:t>
      </w:r>
      <w:proofErr w:type="spellEnd"/>
      <w:r w:rsidRPr="009A1A2C">
        <w:rPr>
          <w:rFonts w:cs="Times New Roman"/>
          <w:i/>
          <w:iCs/>
          <w:szCs w:val="24"/>
        </w:rPr>
        <w:t xml:space="preserve"> </w:t>
      </w:r>
      <w:proofErr w:type="spellStart"/>
      <w:r w:rsidRPr="009A1A2C">
        <w:rPr>
          <w:rFonts w:cs="Times New Roman"/>
          <w:i/>
          <w:iCs/>
          <w:szCs w:val="24"/>
        </w:rPr>
        <w:t>mobilis</w:t>
      </w:r>
      <w:proofErr w:type="spellEnd"/>
      <w:r w:rsidRPr="009A1A2C">
        <w:rPr>
          <w:rFonts w:cs="Times New Roman"/>
          <w:szCs w:val="24"/>
        </w:rPr>
        <w:t xml:space="preserve">, belonging to the Burkholderiales were used (FM886869). The software "muscle" </w:t>
      </w:r>
      <w:r w:rsidR="005B5695">
        <w:rPr>
          <w:rFonts w:cs="Times New Roman"/>
          <w:szCs w:val="24"/>
        </w:rPr>
        <w:fldChar w:fldCharType="begin" w:fldLock="1"/>
      </w:r>
      <w:r w:rsidR="005B5695">
        <w:rPr>
          <w:rFonts w:cs="Times New Roman"/>
          <w:szCs w:val="24"/>
        </w:rPr>
        <w:instrText>ADDIN CSL_CITATION {"citationItems":[{"id":"ITEM-1","itemData":{"DOI":"10.1093/nar/gkh340","author":[{"dropping-particle":"","family":"Edgar","given":"Robert C","non-dropping-particle":"","parse-names":false,"suffix":""},{"dropping-particle":"","family":"Drive","given":"Roque Moraes","non-dropping-particle":"","parse-names":false,"suffix":""},{"dropping-particle":"","family":"Valley","given":"Mill","non-dropping-particle":"","parse-names":false,"suffix":""}],"id":"ITEM-1","issue":"5","issued":{"date-parts":[["2004"]]},"page":"1792-1797","title":"MUSCLE : multiple sequence alignment with high accuracy and high throughput","type":"article-journal","volume":"32"},"uris":["http://www.mendeley.com/documents/?uuid=cef816b9-c481-45da-acd5-7e36278e78b6"]}],"mendeley":{"formattedCitation":"(Edgar et al., 2004)","plainTextFormattedCitation":"(Edgar et al., 2004)","previouslyFormattedCitation":"(Edgar et al., 2004)"},"properties":{"noteIndex":0},"schema":"https://github.com/citation-style-language/schema/raw/master/csl-citation.json"}</w:instrText>
      </w:r>
      <w:r w:rsidR="005B5695">
        <w:rPr>
          <w:rFonts w:cs="Times New Roman"/>
          <w:szCs w:val="24"/>
        </w:rPr>
        <w:fldChar w:fldCharType="separate"/>
      </w:r>
      <w:r w:rsidR="005B5695" w:rsidRPr="005B5695">
        <w:rPr>
          <w:rFonts w:cs="Times New Roman"/>
          <w:noProof/>
          <w:szCs w:val="24"/>
        </w:rPr>
        <w:t>(Edgar et al., 2004)</w:t>
      </w:r>
      <w:r w:rsidR="005B5695">
        <w:rPr>
          <w:rFonts w:cs="Times New Roman"/>
          <w:szCs w:val="24"/>
        </w:rPr>
        <w:fldChar w:fldCharType="end"/>
      </w:r>
      <w:r w:rsidRPr="009A1A2C">
        <w:rPr>
          <w:rFonts w:cs="Times New Roman"/>
          <w:szCs w:val="24"/>
        </w:rPr>
        <w:t xml:space="preserve"> and "Seaview" </w:t>
      </w:r>
      <w:r w:rsidR="005B5695">
        <w:rPr>
          <w:rFonts w:cs="Times New Roman"/>
          <w:szCs w:val="24"/>
        </w:rPr>
        <w:fldChar w:fldCharType="begin" w:fldLock="1"/>
      </w:r>
      <w:r w:rsidR="005B5695">
        <w:rPr>
          <w:rFonts w:cs="Times New Roman"/>
          <w:szCs w:val="24"/>
        </w:rPr>
        <w:instrText>ADDIN CSL_CITATION {"citationItems":[{"id":"ITEM-1","itemData":{"author":[{"dropping-particle":"","family":"N.Galtier","given":"","non-dropping-particle":"","parse-names":false,"suffix":""}],"id":"ITEM-1","issue":"6","issued":{"date-parts":[["1996"]]},"page":"543-548","title":"SEA VIEW and PHYLO_ WIN: two graphic tools for sequence alignment and molecular phylogeny","type":"article-journal","volume":"12"},"uris":["http://www.mendeley.com/documents/?uuid=26ccddf4-232e-4523-9e97-21828862d370"]}],"mendeley":{"formattedCitation":"(N.Galtier, 1996)","plainTextFormattedCitation":"(N.Galtier, 1996)","previouslyFormattedCitation":"(N.Galtier, 1996)"},"properties":{"noteIndex":0},"schema":"https://github.com/citation-style-language/schema/raw/master/csl-citation.json"}</w:instrText>
      </w:r>
      <w:r w:rsidR="005B5695">
        <w:rPr>
          <w:rFonts w:cs="Times New Roman"/>
          <w:szCs w:val="24"/>
        </w:rPr>
        <w:fldChar w:fldCharType="separate"/>
      </w:r>
      <w:r w:rsidR="005B5695" w:rsidRPr="005B5695">
        <w:rPr>
          <w:rFonts w:cs="Times New Roman"/>
          <w:noProof/>
          <w:szCs w:val="24"/>
        </w:rPr>
        <w:t>(N.Galtier, 1996)</w:t>
      </w:r>
      <w:r w:rsidR="005B5695">
        <w:rPr>
          <w:rFonts w:cs="Times New Roman"/>
          <w:szCs w:val="24"/>
        </w:rPr>
        <w:fldChar w:fldCharType="end"/>
      </w:r>
      <w:r w:rsidRPr="009A1A2C">
        <w:rPr>
          <w:rFonts w:cs="Times New Roman"/>
          <w:szCs w:val="24"/>
        </w:rPr>
        <w:t xml:space="preserve"> were employed for DNA sequence alignment, and the Neighbor-joining method with MEGA</w:t>
      </w:r>
      <w:r w:rsidRPr="009A1A2C">
        <w:rPr>
          <w:rFonts w:cs="Times New Roman"/>
          <w:b/>
          <w:bCs/>
          <w:color w:val="800000"/>
          <w:szCs w:val="24"/>
        </w:rPr>
        <w:t xml:space="preserve"> </w:t>
      </w:r>
      <w:r w:rsidRPr="009A1A2C">
        <w:rPr>
          <w:rFonts w:cs="Times New Roman"/>
          <w:szCs w:val="24"/>
        </w:rPr>
        <w:t xml:space="preserve">version 11 </w:t>
      </w:r>
      <w:r w:rsidR="005B5695">
        <w:rPr>
          <w:rFonts w:cs="Times New Roman"/>
          <w:szCs w:val="24"/>
        </w:rPr>
        <w:fldChar w:fldCharType="begin" w:fldLock="1"/>
      </w:r>
      <w:r w:rsidR="005B5695">
        <w:rPr>
          <w:rFonts w:cs="Times New Roman"/>
          <w:szCs w:val="24"/>
        </w:rPr>
        <w:instrText>ADDIN CSL_CITATION {"citationItems":[{"id":"ITEM-1","itemData":{"DOI":"10.1093/molbev/msab120","ISSN":"15371719","PMID":"33892491","abstract":"The Molecular Evolutionary Genetics Analysis (MEGA) software has matured to contain a large collection of methods and tools of computational molecular evolution. Here, we describe new additions that make MEGA a more comprehensive tool for building timetrees of species, pathogens, and gene families using rapid relaxed-clock methods. Methods for estimating divergence times and confidence intervals are implemented to use probability densities for calibration constraints for node-dating and sequence sampling dates for tip-dating analyses. They are supported by new options for tagging sequences with spatiotemporal sampling information, an expanded interactive Node Calibrations Editor, and an extended Tree Explorer to display timetrees. Also added is a Bayesian method for estimating neutral evolutionary probabilities of alleles in a species using multispecies sequence alignments and a machine learning method to test for the autocorrelation of evolutionary rates in phylogenies. The computer memory requirements for the maximum likelihood analysis are reduced significantly through reprogramming, and the graphical user interface has been made more responsive and interactive for very big data sets. These enhancements will improve the user experience, quality of results, and the pace of biological discovery. Natively compiled graphical user interface and command-line versions of MEGA11 are available for Microsoft Windows, Linux, and macOS from www.megasoftware.net.","author":[{"dropping-particle":"","family":"Tamura","given":"Koichiro","non-dropping-particle":"","parse-names":false,"suffix":""},{"dropping-particle":"","family":"Stecher","given":"Glen","non-dropping-particle":"","parse-names":false,"suffix":""},{"dropping-particle":"","family":"Kumar","given":"Sudhir","non-dropping-particle":"","parse-names":false,"suffix":""}],"container-title":"Molecular Biology and Evolution","id":"ITEM-1","issue":"7","issued":{"date-parts":[["2021"]]},"page":"3022-3027","title":"MEGA11: Molecular Evolutionary Genetics Analysis Version 11","type":"article-journal","volume":"38"},"uris":["http://www.mendeley.com/documents/?uuid=65122a67-5147-458a-aa68-a18b807996f1"]}],"mendeley":{"formattedCitation":"(Tamura et al., 2021)","plainTextFormattedCitation":"(Tamura et al., 2021)","previouslyFormattedCitation":"(Tamura et al., 2021)"},"properties":{"noteIndex":0},"schema":"https://github.com/citation-style-language/schema/raw/master/csl-citation.json"}</w:instrText>
      </w:r>
      <w:r w:rsidR="005B5695">
        <w:rPr>
          <w:rFonts w:cs="Times New Roman"/>
          <w:szCs w:val="24"/>
        </w:rPr>
        <w:fldChar w:fldCharType="separate"/>
      </w:r>
      <w:r w:rsidR="005B5695" w:rsidRPr="005B5695">
        <w:rPr>
          <w:rFonts w:cs="Times New Roman"/>
          <w:noProof/>
          <w:szCs w:val="24"/>
        </w:rPr>
        <w:t>(Tamura et al., 2021)</w:t>
      </w:r>
      <w:r w:rsidR="005B5695">
        <w:rPr>
          <w:rFonts w:cs="Times New Roman"/>
          <w:szCs w:val="24"/>
        </w:rPr>
        <w:fldChar w:fldCharType="end"/>
      </w:r>
      <w:r w:rsidRPr="009A1A2C">
        <w:rPr>
          <w:rFonts w:cs="Times New Roman"/>
          <w:szCs w:val="24"/>
        </w:rPr>
        <w:t xml:space="preserve"> was used to estimate and visualize phylogeny. Numbers adjacent to branches represent bootstrap support levels based on 1,000 resampled datasets. Branches with lower support than 7</w:t>
      </w:r>
      <w:r w:rsidRPr="009A1A2C">
        <w:rPr>
          <w:rFonts w:cs="Times New Roman" w:hint="eastAsia"/>
          <w:szCs w:val="24"/>
          <w:lang w:eastAsia="ja-JP"/>
        </w:rPr>
        <w:t>5</w:t>
      </w:r>
      <w:r w:rsidRPr="009A1A2C">
        <w:rPr>
          <w:rFonts w:cs="Times New Roman"/>
          <w:szCs w:val="24"/>
        </w:rPr>
        <w:t xml:space="preserve"> % were collapsed. The Order-level taxonomic identification is indicated at the tips, accompanied by the read count obtained from Illumina MiSeq sequencing. Four unidentified OTUs with read counts of 105822, 10448, 2087, and 266 were grouped with the branch containing reference sequences of referenced sequence, so we labeled</w:t>
      </w:r>
      <w:r w:rsidRPr="009A1A2C">
        <w:rPr>
          <w:rFonts w:cs="Times New Roman" w:hint="eastAsia"/>
          <w:szCs w:val="24"/>
          <w:lang w:eastAsia="ja-JP"/>
        </w:rPr>
        <w:t xml:space="preserve">　</w:t>
      </w:r>
      <w:r w:rsidRPr="009A1A2C">
        <w:rPr>
          <w:rFonts w:cs="Times New Roman"/>
          <w:szCs w:val="24"/>
        </w:rPr>
        <w:t>them as “</w:t>
      </w:r>
      <w:r w:rsidRPr="009A1A2C">
        <w:rPr>
          <w:rFonts w:cs="Times New Roman"/>
          <w:i/>
          <w:iCs/>
          <w:szCs w:val="24"/>
        </w:rPr>
        <w:t>Burkholderia</w:t>
      </w:r>
      <w:r w:rsidRPr="009A1A2C">
        <w:rPr>
          <w:rFonts w:cs="Times New Roman"/>
          <w:szCs w:val="24"/>
        </w:rPr>
        <w:t>.</w:t>
      </w:r>
      <w:r w:rsidRPr="009A1A2C">
        <w:rPr>
          <w:rFonts w:cs="Times New Roman"/>
          <w:szCs w:val="24"/>
          <w:lang w:eastAsia="ja-JP"/>
        </w:rPr>
        <w:t xml:space="preserve"> </w:t>
      </w:r>
      <w:proofErr w:type="spellStart"/>
      <w:r w:rsidRPr="009A1A2C">
        <w:rPr>
          <w:rFonts w:cs="Times New Roman"/>
          <w:i/>
          <w:iCs/>
          <w:szCs w:val="24"/>
        </w:rPr>
        <w:t>sp</w:t>
      </w:r>
      <w:proofErr w:type="spellEnd"/>
      <w:r w:rsidRPr="009A1A2C">
        <w:rPr>
          <w:rFonts w:cs="Times New Roman"/>
          <w:szCs w:val="24"/>
        </w:rPr>
        <w:t xml:space="preserve">” in our dataset. Additionally, three </w:t>
      </w:r>
      <w:proofErr w:type="gramStart"/>
      <w:r w:rsidRPr="009A1A2C">
        <w:rPr>
          <w:rFonts w:cs="Times New Roman"/>
          <w:szCs w:val="24"/>
        </w:rPr>
        <w:t>other</w:t>
      </w:r>
      <w:proofErr w:type="gramEnd"/>
      <w:r w:rsidRPr="009A1A2C">
        <w:rPr>
          <w:rFonts w:cs="Times New Roman"/>
          <w:szCs w:val="24"/>
        </w:rPr>
        <w:t xml:space="preserve"> unidentified OTUs with read counts of 548, 3800, and 1106 were labeled as “Burkholderiales”.</w:t>
      </w:r>
      <w:r w:rsidRPr="009A1A2C">
        <w:rPr>
          <w:rFonts w:cs="Times New Roman"/>
          <w:szCs w:val="24"/>
        </w:rPr>
        <w:br w:type="page"/>
      </w:r>
    </w:p>
    <w:p w14:paraId="333FE387" w14:textId="4FBF13A4" w:rsidR="009A1A2C" w:rsidRPr="009A1A2C" w:rsidRDefault="009A1A2C" w:rsidP="009A1A2C">
      <w:pPr>
        <w:jc w:val="both"/>
        <w:rPr>
          <w:rFonts w:cs="Times New Roman"/>
          <w:szCs w:val="24"/>
        </w:rPr>
      </w:pPr>
      <w:r>
        <w:rPr>
          <w:rFonts w:cs="Times New Roman"/>
          <w:noProof/>
          <w:szCs w:val="24"/>
        </w:rPr>
        <w:lastRenderedPageBreak/>
        <w:drawing>
          <wp:anchor distT="0" distB="0" distL="114300" distR="114300" simplePos="0" relativeHeight="251660288" behindDoc="0" locked="0" layoutInCell="1" allowOverlap="1" wp14:anchorId="25B896CD" wp14:editId="73B2F07B">
            <wp:simplePos x="0" y="0"/>
            <wp:positionH relativeFrom="column">
              <wp:posOffset>5715</wp:posOffset>
            </wp:positionH>
            <wp:positionV relativeFrom="paragraph">
              <wp:posOffset>97155</wp:posOffset>
            </wp:positionV>
            <wp:extent cx="5076190" cy="6346825"/>
            <wp:effectExtent l="0" t="0" r="0" b="0"/>
            <wp:wrapTopAndBottom/>
            <wp:docPr id="4681866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190" cy="634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A2C">
        <w:rPr>
          <w:rFonts w:cs="Times New Roman"/>
          <w:szCs w:val="24"/>
        </w:rPr>
        <w:t xml:space="preserve">Supplementary Figure </w:t>
      </w:r>
      <w:r w:rsidRPr="009A1A2C">
        <w:rPr>
          <w:rFonts w:cs="Times New Roman"/>
          <w:szCs w:val="24"/>
          <w:lang w:eastAsia="ja-JP"/>
        </w:rPr>
        <w:t>S</w:t>
      </w:r>
      <w:r w:rsidRPr="009A1A2C">
        <w:rPr>
          <w:rFonts w:cs="Times New Roman"/>
          <w:szCs w:val="24"/>
        </w:rPr>
        <w:t>2</w:t>
      </w:r>
    </w:p>
    <w:p w14:paraId="35088F54" w14:textId="7EE8E0C3" w:rsidR="009A1A2C" w:rsidRPr="009A1A2C" w:rsidRDefault="009A1A2C" w:rsidP="009A1A2C">
      <w:pPr>
        <w:pStyle w:val="NoSpacing"/>
        <w:jc w:val="both"/>
        <w:rPr>
          <w:rFonts w:cs="Times New Roman"/>
          <w:szCs w:val="24"/>
        </w:rPr>
      </w:pPr>
      <w:r w:rsidRPr="009A1A2C">
        <w:rPr>
          <w:rFonts w:cs="Times New Roman"/>
          <w:szCs w:val="24"/>
        </w:rPr>
        <w:t>Species accumulation (rarefaction) curves of detected OTUs from ITS (A, fungi) and 16S (B, bacteria) from samples pooled by plant part and population range. Colors represent leaf (green), root (orange) and soil (brown) samples. Solid and dashed lines represent samples from native and exotic populations, respectively. Vertical doted lines indicate the sample sizes rarefied for the analysis reported.</w:t>
      </w:r>
    </w:p>
    <w:p w14:paraId="246F68D4" w14:textId="69AA9265" w:rsidR="009A1A2C" w:rsidRPr="009A1A2C" w:rsidRDefault="009A1A2C" w:rsidP="009A1A2C">
      <w:pPr>
        <w:jc w:val="both"/>
        <w:rPr>
          <w:rFonts w:cs="Times New Roman"/>
          <w:szCs w:val="24"/>
        </w:rPr>
      </w:pPr>
    </w:p>
    <w:p w14:paraId="6115424A" w14:textId="0E9536EF" w:rsidR="009A1A2C" w:rsidRPr="009A1A2C" w:rsidRDefault="009A1A2C" w:rsidP="009A1A2C">
      <w:pPr>
        <w:jc w:val="both"/>
        <w:rPr>
          <w:rFonts w:cs="Times New Roman"/>
          <w:noProof/>
          <w:szCs w:val="24"/>
        </w:rPr>
      </w:pPr>
      <w:r>
        <w:rPr>
          <w:rFonts w:cs="Times New Roman"/>
          <w:noProof/>
          <w:szCs w:val="24"/>
        </w:rPr>
        <w:lastRenderedPageBreak/>
        <w:drawing>
          <wp:inline distT="0" distB="0" distL="0" distR="0" wp14:anchorId="0483C59A" wp14:editId="3916C4D4">
            <wp:extent cx="3279140" cy="7204710"/>
            <wp:effectExtent l="0" t="0" r="0" b="0"/>
            <wp:docPr id="185449615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9140" cy="7204710"/>
                    </a:xfrm>
                    <a:prstGeom prst="rect">
                      <a:avLst/>
                    </a:prstGeom>
                    <a:noFill/>
                    <a:ln>
                      <a:noFill/>
                    </a:ln>
                  </pic:spPr>
                </pic:pic>
              </a:graphicData>
            </a:graphic>
          </wp:inline>
        </w:drawing>
      </w:r>
    </w:p>
    <w:p w14:paraId="079CF058" w14:textId="77777777" w:rsidR="009A1A2C" w:rsidRPr="009A1A2C" w:rsidRDefault="009A1A2C" w:rsidP="009A1A2C">
      <w:pPr>
        <w:jc w:val="both"/>
        <w:rPr>
          <w:rFonts w:cs="Times New Roman"/>
          <w:szCs w:val="24"/>
        </w:rPr>
      </w:pPr>
      <w:r w:rsidRPr="009A1A2C">
        <w:rPr>
          <w:rFonts w:cs="Times New Roman"/>
          <w:szCs w:val="24"/>
        </w:rPr>
        <w:t xml:space="preserve">Supplementary Figure </w:t>
      </w:r>
      <w:r w:rsidRPr="009A1A2C">
        <w:rPr>
          <w:rFonts w:cs="Times New Roman"/>
          <w:szCs w:val="24"/>
          <w:lang w:eastAsia="ja-JP"/>
        </w:rPr>
        <w:t>S</w:t>
      </w:r>
      <w:r w:rsidRPr="009A1A2C">
        <w:rPr>
          <w:rFonts w:cs="Times New Roman"/>
          <w:szCs w:val="24"/>
        </w:rPr>
        <w:t>3</w:t>
      </w:r>
    </w:p>
    <w:p w14:paraId="2ABD232E" w14:textId="77777777" w:rsidR="009A1A2C" w:rsidRPr="009A1A2C" w:rsidRDefault="009A1A2C" w:rsidP="009A1A2C">
      <w:pPr>
        <w:jc w:val="both"/>
        <w:rPr>
          <w:rFonts w:cs="Times New Roman"/>
          <w:szCs w:val="24"/>
        </w:rPr>
      </w:pPr>
      <w:r w:rsidRPr="009A1A2C">
        <w:rPr>
          <w:rFonts w:cs="Times New Roman"/>
          <w:szCs w:val="24"/>
        </w:rPr>
        <w:t xml:space="preserve">The phylum-level taxonomic </w:t>
      </w:r>
      <w:proofErr w:type="spellStart"/>
      <w:r w:rsidRPr="009A1A2C">
        <w:rPr>
          <w:rFonts w:cs="Times New Roman"/>
          <w:szCs w:val="24"/>
        </w:rPr>
        <w:t>omposition</w:t>
      </w:r>
      <w:proofErr w:type="spellEnd"/>
      <w:r w:rsidRPr="009A1A2C">
        <w:rPr>
          <w:rFonts w:cs="Times New Roman"/>
          <w:szCs w:val="24"/>
        </w:rPr>
        <w:t xml:space="preserve"> of fungal (A) and bacterial (B) OTUs. The top 5 taxa for bacteria and the top 10 taxa for fungi were displayed All remaining species are consolidated into the 'Others' category. The vertical axis indicates the relative abundance of each taxon.</w:t>
      </w:r>
    </w:p>
    <w:p w14:paraId="34FB72EE" w14:textId="38627087" w:rsidR="009A1A2C" w:rsidRPr="009A1A2C" w:rsidRDefault="009A1A2C" w:rsidP="009A1A2C">
      <w:pPr>
        <w:jc w:val="both"/>
        <w:rPr>
          <w:rFonts w:cs="Times New Roman"/>
          <w:noProof/>
          <w:szCs w:val="24"/>
          <w:lang w:eastAsia="ja-JP"/>
        </w:rPr>
      </w:pPr>
      <w:r>
        <w:rPr>
          <w:rFonts w:cs="Times New Roman"/>
          <w:noProof/>
          <w:szCs w:val="24"/>
          <w:lang w:eastAsia="ja-JP"/>
        </w:rPr>
        <w:lastRenderedPageBreak/>
        <w:drawing>
          <wp:inline distT="0" distB="0" distL="0" distR="0" wp14:anchorId="6CEFAD89" wp14:editId="619C0272">
            <wp:extent cx="6211570" cy="4650740"/>
            <wp:effectExtent l="0" t="0" r="0" b="0"/>
            <wp:docPr id="4258328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1570" cy="4650740"/>
                    </a:xfrm>
                    <a:prstGeom prst="rect">
                      <a:avLst/>
                    </a:prstGeom>
                    <a:noFill/>
                    <a:ln>
                      <a:noFill/>
                    </a:ln>
                  </pic:spPr>
                </pic:pic>
              </a:graphicData>
            </a:graphic>
          </wp:inline>
        </w:drawing>
      </w:r>
    </w:p>
    <w:p w14:paraId="2D74D86C" w14:textId="77777777" w:rsidR="009A1A2C" w:rsidRPr="009A1A2C" w:rsidRDefault="009A1A2C" w:rsidP="009A1A2C">
      <w:pPr>
        <w:spacing w:before="0" w:after="200" w:line="276" w:lineRule="auto"/>
        <w:jc w:val="both"/>
        <w:rPr>
          <w:rFonts w:cs="Times New Roman"/>
          <w:szCs w:val="24"/>
        </w:rPr>
      </w:pPr>
      <w:r w:rsidRPr="009A1A2C">
        <w:rPr>
          <w:rFonts w:cs="Times New Roman"/>
          <w:szCs w:val="24"/>
        </w:rPr>
        <w:t>Supplementary Figure S4</w:t>
      </w:r>
    </w:p>
    <w:p w14:paraId="769F7768" w14:textId="77777777" w:rsidR="009A1A2C" w:rsidRPr="009A1A2C" w:rsidRDefault="009A1A2C" w:rsidP="009A1A2C">
      <w:pPr>
        <w:jc w:val="both"/>
        <w:rPr>
          <w:rFonts w:cs="Times New Roman"/>
          <w:szCs w:val="24"/>
        </w:rPr>
      </w:pPr>
      <w:r w:rsidRPr="009A1A2C">
        <w:rPr>
          <w:rFonts w:cs="Times New Roman"/>
          <w:szCs w:val="24"/>
        </w:rPr>
        <w:t xml:space="preserve">Taxonomic compositions of fungal OTUs (relative abundance) at the order (A) and genus (C) levels (left), and bacterial OTUs at the order (B) and genus (D) levels (right) for each sampling site. The top </w:t>
      </w:r>
      <w:r w:rsidRPr="009A1A2C">
        <w:rPr>
          <w:rFonts w:cs="Times New Roman"/>
          <w:szCs w:val="24"/>
          <w:lang w:eastAsia="ja-JP"/>
        </w:rPr>
        <w:t>20</w:t>
      </w:r>
      <w:r w:rsidRPr="009A1A2C">
        <w:rPr>
          <w:rFonts w:cs="Times New Roman"/>
          <w:szCs w:val="24"/>
        </w:rPr>
        <w:t xml:space="preserve"> taxa are indicated, and all remaining taxa are consolidated into the 'Others' category. See Supplementary Table S1 for geographical coordinates and vegetation characteristics of sampling sites.</w:t>
      </w:r>
    </w:p>
    <w:p w14:paraId="58F1AED1" w14:textId="3383B90B" w:rsidR="009A1A2C" w:rsidRDefault="009A1A2C">
      <w:pPr>
        <w:spacing w:before="0" w:after="200" w:line="276" w:lineRule="auto"/>
        <w:rPr>
          <w:szCs w:val="24"/>
        </w:rPr>
      </w:pPr>
      <w:r>
        <w:rPr>
          <w:szCs w:val="24"/>
        </w:rPr>
        <w:br w:type="page"/>
      </w:r>
    </w:p>
    <w:p w14:paraId="5F5EB835" w14:textId="2F2896EE" w:rsidR="00DE23E8" w:rsidRDefault="009A1A2C" w:rsidP="00654E8F">
      <w:pPr>
        <w:spacing w:before="240"/>
        <w:rPr>
          <w:szCs w:val="24"/>
          <w:lang w:eastAsia="ja-JP"/>
        </w:rPr>
      </w:pPr>
      <w:r>
        <w:rPr>
          <w:szCs w:val="24"/>
          <w:lang w:eastAsia="ja-JP"/>
        </w:rPr>
        <w:lastRenderedPageBreak/>
        <w:t>Reference</w:t>
      </w:r>
    </w:p>
    <w:p w14:paraId="7F7395AD" w14:textId="57F55E2D" w:rsidR="005B5695" w:rsidRPr="005B5695" w:rsidRDefault="005B5695" w:rsidP="005B5695">
      <w:pPr>
        <w:autoSpaceDE w:val="0"/>
        <w:autoSpaceDN w:val="0"/>
        <w:adjustRightInd w:val="0"/>
        <w:spacing w:before="240"/>
        <w:ind w:left="480" w:hanging="480"/>
        <w:rPr>
          <w:rFonts w:cs="Times New Roman"/>
          <w:noProof/>
          <w:szCs w:val="24"/>
        </w:rPr>
      </w:pPr>
      <w:r>
        <w:rPr>
          <w:szCs w:val="24"/>
          <w:lang w:eastAsia="ja-JP"/>
        </w:rPr>
        <w:fldChar w:fldCharType="begin" w:fldLock="1"/>
      </w:r>
      <w:r>
        <w:rPr>
          <w:szCs w:val="24"/>
          <w:lang w:eastAsia="ja-JP"/>
        </w:rPr>
        <w:instrText xml:space="preserve">ADDIN Mendeley Bibliography CSL_BIBLIOGRAPHY </w:instrText>
      </w:r>
      <w:r>
        <w:rPr>
          <w:szCs w:val="24"/>
          <w:lang w:eastAsia="ja-JP"/>
        </w:rPr>
        <w:fldChar w:fldCharType="separate"/>
      </w:r>
      <w:r w:rsidRPr="005B5695">
        <w:rPr>
          <w:rFonts w:cs="Times New Roman"/>
          <w:noProof/>
          <w:szCs w:val="24"/>
        </w:rPr>
        <w:t>Edgar, R. C., Drive, R. M., and Valley, M. (2004). MUSCLE : multiple sequence alignment with high accuracy and high throughput. 32, 1792–1797. doi: 10.1093/nar/gkh340.</w:t>
      </w:r>
    </w:p>
    <w:p w14:paraId="1042036A" w14:textId="77777777" w:rsidR="005B5695" w:rsidRPr="005B5695" w:rsidRDefault="005B5695" w:rsidP="005B5695">
      <w:pPr>
        <w:autoSpaceDE w:val="0"/>
        <w:autoSpaceDN w:val="0"/>
        <w:adjustRightInd w:val="0"/>
        <w:spacing w:before="240"/>
        <w:ind w:left="480" w:hanging="480"/>
        <w:rPr>
          <w:rFonts w:cs="Times New Roman"/>
          <w:noProof/>
          <w:szCs w:val="24"/>
        </w:rPr>
      </w:pPr>
      <w:r w:rsidRPr="005B5695">
        <w:rPr>
          <w:rFonts w:cs="Times New Roman"/>
          <w:noProof/>
          <w:szCs w:val="24"/>
        </w:rPr>
        <w:t>N.Galtier (1996). SEA VIEW and PHYLO_ WIN: two graphic tools for sequence alignment and molecular phylogeny. 12, 543–548.</w:t>
      </w:r>
    </w:p>
    <w:p w14:paraId="4F89ACD5" w14:textId="77777777" w:rsidR="005B5695" w:rsidRPr="005B5695" w:rsidRDefault="005B5695" w:rsidP="005B5695">
      <w:pPr>
        <w:autoSpaceDE w:val="0"/>
        <w:autoSpaceDN w:val="0"/>
        <w:adjustRightInd w:val="0"/>
        <w:spacing w:before="240"/>
        <w:ind w:left="480" w:hanging="480"/>
        <w:rPr>
          <w:rFonts w:cs="Times New Roman"/>
          <w:noProof/>
          <w:szCs w:val="24"/>
        </w:rPr>
      </w:pPr>
      <w:r w:rsidRPr="005B5695">
        <w:rPr>
          <w:rFonts w:cs="Times New Roman"/>
          <w:noProof/>
          <w:szCs w:val="24"/>
        </w:rPr>
        <w:t xml:space="preserve">Rognes, T., Flouri, T., Nichols, B., Quince, C., and Mahé, F. (2016). VSEARCH: a versatile open source tool for metagenomics. </w:t>
      </w:r>
      <w:r w:rsidRPr="005B5695">
        <w:rPr>
          <w:rFonts w:cs="Times New Roman"/>
          <w:i/>
          <w:iCs/>
          <w:noProof/>
          <w:szCs w:val="24"/>
        </w:rPr>
        <w:t>PeerJ</w:t>
      </w:r>
      <w:r w:rsidRPr="005B5695">
        <w:rPr>
          <w:rFonts w:cs="Times New Roman"/>
          <w:noProof/>
          <w:szCs w:val="24"/>
        </w:rPr>
        <w:t xml:space="preserve"> 4, e2584. doi: 10.7717/peerj.2584.</w:t>
      </w:r>
    </w:p>
    <w:p w14:paraId="6FB8517A" w14:textId="77777777" w:rsidR="005B5695" w:rsidRPr="005B5695" w:rsidRDefault="005B5695" w:rsidP="005B5695">
      <w:pPr>
        <w:autoSpaceDE w:val="0"/>
        <w:autoSpaceDN w:val="0"/>
        <w:adjustRightInd w:val="0"/>
        <w:spacing w:before="240"/>
        <w:ind w:left="480" w:hanging="480"/>
        <w:rPr>
          <w:rFonts w:cs="Times New Roman"/>
          <w:noProof/>
        </w:rPr>
      </w:pPr>
      <w:r w:rsidRPr="005B5695">
        <w:rPr>
          <w:rFonts w:cs="Times New Roman"/>
          <w:noProof/>
          <w:szCs w:val="24"/>
        </w:rPr>
        <w:t xml:space="preserve">Tamura, K., Stecher, G., and Kumar, S. (2021). MEGA11: Molecular Evolutionary Genetics Analysis Version 11. </w:t>
      </w:r>
      <w:r w:rsidRPr="005B5695">
        <w:rPr>
          <w:rFonts w:cs="Times New Roman"/>
          <w:i/>
          <w:iCs/>
          <w:noProof/>
          <w:szCs w:val="24"/>
        </w:rPr>
        <w:t>Mol. Biol. Evol.</w:t>
      </w:r>
      <w:r w:rsidRPr="005B5695">
        <w:rPr>
          <w:rFonts w:cs="Times New Roman"/>
          <w:noProof/>
          <w:szCs w:val="24"/>
        </w:rPr>
        <w:t xml:space="preserve"> 38, 3022–3027. doi: 10.1093/molbev/msab120.</w:t>
      </w:r>
    </w:p>
    <w:p w14:paraId="6E8CAAD4" w14:textId="24951D91" w:rsidR="005B5695" w:rsidRPr="009A1A2C" w:rsidRDefault="005B5695" w:rsidP="00654E8F">
      <w:pPr>
        <w:spacing w:before="240"/>
        <w:rPr>
          <w:szCs w:val="24"/>
          <w:lang w:eastAsia="ja-JP"/>
        </w:rPr>
      </w:pPr>
      <w:r>
        <w:rPr>
          <w:szCs w:val="24"/>
          <w:lang w:eastAsia="ja-JP"/>
        </w:rPr>
        <w:fldChar w:fldCharType="end"/>
      </w:r>
    </w:p>
    <w:sectPr w:rsidR="005B5695" w:rsidRPr="009A1A2C"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57F89" w14:textId="77777777" w:rsidR="00471F55" w:rsidRDefault="00471F55" w:rsidP="00117666">
      <w:pPr>
        <w:spacing w:after="0"/>
      </w:pPr>
      <w:r>
        <w:separator/>
      </w:r>
    </w:p>
  </w:endnote>
  <w:endnote w:type="continuationSeparator" w:id="0">
    <w:p w14:paraId="7557B8A2" w14:textId="77777777" w:rsidR="00471F55" w:rsidRDefault="00471F5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185B1D"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185B1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185B1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185B1D"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185B1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185B1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D7F79" w14:textId="77777777" w:rsidR="00471F55" w:rsidRDefault="00471F55" w:rsidP="00117666">
      <w:pPr>
        <w:spacing w:after="0"/>
      </w:pPr>
      <w:r>
        <w:separator/>
      </w:r>
    </w:p>
  </w:footnote>
  <w:footnote w:type="continuationSeparator" w:id="0">
    <w:p w14:paraId="6390C1F7" w14:textId="77777777" w:rsidR="00471F55" w:rsidRDefault="00471F5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185B1D"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185B1D"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0NLYwNLUwNjU0tDBX0lEKTi0uzszPAykwqQUA/yRyhCwAAAA="/>
  </w:docVars>
  <w:rsids>
    <w:rsidRoot w:val="00803D24"/>
    <w:rsid w:val="0001436A"/>
    <w:rsid w:val="00034304"/>
    <w:rsid w:val="00035434"/>
    <w:rsid w:val="00052A14"/>
    <w:rsid w:val="00077D53"/>
    <w:rsid w:val="000972CF"/>
    <w:rsid w:val="00105FD9"/>
    <w:rsid w:val="00117666"/>
    <w:rsid w:val="001549D3"/>
    <w:rsid w:val="00160065"/>
    <w:rsid w:val="00177D84"/>
    <w:rsid w:val="00185B1D"/>
    <w:rsid w:val="00267D18"/>
    <w:rsid w:val="002868E2"/>
    <w:rsid w:val="002869C3"/>
    <w:rsid w:val="002936E4"/>
    <w:rsid w:val="002A1B1E"/>
    <w:rsid w:val="002B4A57"/>
    <w:rsid w:val="002C74CA"/>
    <w:rsid w:val="003544FB"/>
    <w:rsid w:val="003D2F2D"/>
    <w:rsid w:val="00401590"/>
    <w:rsid w:val="00447801"/>
    <w:rsid w:val="00452E9C"/>
    <w:rsid w:val="00471F55"/>
    <w:rsid w:val="004735C8"/>
    <w:rsid w:val="004961FF"/>
    <w:rsid w:val="00517A89"/>
    <w:rsid w:val="005250F2"/>
    <w:rsid w:val="00577E97"/>
    <w:rsid w:val="00593EEA"/>
    <w:rsid w:val="005A5EEE"/>
    <w:rsid w:val="005B5695"/>
    <w:rsid w:val="006375C7"/>
    <w:rsid w:val="00654E8F"/>
    <w:rsid w:val="00660D05"/>
    <w:rsid w:val="006820B1"/>
    <w:rsid w:val="00696B03"/>
    <w:rsid w:val="006B7D14"/>
    <w:rsid w:val="006C1903"/>
    <w:rsid w:val="00701727"/>
    <w:rsid w:val="0070566C"/>
    <w:rsid w:val="00714C50"/>
    <w:rsid w:val="00725A7D"/>
    <w:rsid w:val="007501BE"/>
    <w:rsid w:val="00790BB3"/>
    <w:rsid w:val="007C206C"/>
    <w:rsid w:val="00803D24"/>
    <w:rsid w:val="00817DD6"/>
    <w:rsid w:val="00885156"/>
    <w:rsid w:val="009151AA"/>
    <w:rsid w:val="0093429D"/>
    <w:rsid w:val="00943573"/>
    <w:rsid w:val="0096316D"/>
    <w:rsid w:val="00970F7D"/>
    <w:rsid w:val="00994A3D"/>
    <w:rsid w:val="009A1A2C"/>
    <w:rsid w:val="009C2B12"/>
    <w:rsid w:val="009C70F3"/>
    <w:rsid w:val="00A174D9"/>
    <w:rsid w:val="00A569CD"/>
    <w:rsid w:val="00AB6715"/>
    <w:rsid w:val="00B1671E"/>
    <w:rsid w:val="00B25EB8"/>
    <w:rsid w:val="00B354E1"/>
    <w:rsid w:val="00B37F4D"/>
    <w:rsid w:val="00C52A7B"/>
    <w:rsid w:val="00C56BAF"/>
    <w:rsid w:val="00C679AA"/>
    <w:rsid w:val="00C75972"/>
    <w:rsid w:val="00CC0A3A"/>
    <w:rsid w:val="00CD066B"/>
    <w:rsid w:val="00CD08ED"/>
    <w:rsid w:val="00CE4FEE"/>
    <w:rsid w:val="00DB59C3"/>
    <w:rsid w:val="00DC259A"/>
    <w:rsid w:val="00DE23E8"/>
    <w:rsid w:val="00E52377"/>
    <w:rsid w:val="00E64E17"/>
    <w:rsid w:val="00E866C9"/>
    <w:rsid w:val="00EA3D3C"/>
    <w:rsid w:val="00F10862"/>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link w:val="NoSpacingChar"/>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9A1A2C"/>
    <w:rPr>
      <w:rFonts w:ascii="Times New Roman" w:hAnsi="Times New Roman"/>
      <w:sz w:val="24"/>
    </w:rPr>
  </w:style>
  <w:style w:type="character" w:styleId="UnresolvedMention">
    <w:name w:val="Unresolved Mention"/>
    <w:basedOn w:val="DefaultParagraphFont"/>
    <w:uiPriority w:val="99"/>
    <w:semiHidden/>
    <w:unhideWhenUsed/>
    <w:rsid w:val="009A1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nakamura.naoto.35c@st.kyoto-u.ac.j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6</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Clare Spencer</cp:lastModifiedBy>
  <cp:revision>4</cp:revision>
  <cp:lastPrinted>2013-10-03T12:51:00Z</cp:lastPrinted>
  <dcterms:created xsi:type="dcterms:W3CDTF">2023-11-07T09:16:00Z</dcterms:created>
  <dcterms:modified xsi:type="dcterms:W3CDTF">2023-11-08T10:58:00Z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7th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http://www.zotero.org/styles/chicago-note-bibliography</vt:lpwstr>
  </property>
  <property fmtid="{D5CDD505-2E9C-101B-9397-08002B2CF9AE}" pid="19" name="Mendeley Recent Style Name 4_1">
    <vt:lpwstr>Chicago Manual of Style 17th edition (note)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http://www.zotero.org/styles/frontiers-in-microbiology</vt:lpwstr>
  </property>
  <property fmtid="{D5CDD505-2E9C-101B-9397-08002B2CF9AE}" pid="23" name="Mendeley Recent Style Name 6_1">
    <vt:lpwstr>Frontiers in Microbiology</vt:lpwstr>
  </property>
  <property fmtid="{D5CDD505-2E9C-101B-9397-08002B2CF9AE}" pid="24" name="Mendeley Recent Style Id 7_1">
    <vt:lpwstr>http://www.zotero.org/styles/ieee</vt:lpwstr>
  </property>
  <property fmtid="{D5CDD505-2E9C-101B-9397-08002B2CF9AE}" pid="25" name="Mendeley Recent Style Name 7_1">
    <vt:lpwstr>IEEE</vt:lpwstr>
  </property>
  <property fmtid="{D5CDD505-2E9C-101B-9397-08002B2CF9AE}" pid="26" name="Mendeley Recent Style Id 8_1">
    <vt:lpwstr>http://www.zotero.org/styles/nature</vt:lpwstr>
  </property>
  <property fmtid="{D5CDD505-2E9C-101B-9397-08002B2CF9AE}" pid="27" name="Mendeley Recent Style Name 8_1">
    <vt:lpwstr>Nature</vt:lpwstr>
  </property>
  <property fmtid="{D5CDD505-2E9C-101B-9397-08002B2CF9AE}" pid="28" name="Mendeley Recent Style Id 9_1">
    <vt:lpwstr>http://www.zotero.org/styles/science</vt:lpwstr>
  </property>
  <property fmtid="{D5CDD505-2E9C-101B-9397-08002B2CF9AE}" pid="29" name="Mendeley Recent Style Name 9_1">
    <vt:lpwstr>Science</vt:lpwstr>
  </property>
  <property fmtid="{D5CDD505-2E9C-101B-9397-08002B2CF9AE}" pid="30" name="Mendeley Document_1">
    <vt:lpwstr>True</vt:lpwstr>
  </property>
  <property fmtid="{D5CDD505-2E9C-101B-9397-08002B2CF9AE}" pid="31" name="Mendeley Citation Style_1">
    <vt:lpwstr>http://www.zotero.org/styles/frontiers-in-microbiology</vt:lpwstr>
  </property>
  <property fmtid="{D5CDD505-2E9C-101B-9397-08002B2CF9AE}" pid="32" name="Mendeley Unique User Id_1">
    <vt:lpwstr>54525331-df10-3aae-9b6f-bebf792b8593</vt:lpwstr>
  </property>
</Properties>
</file>