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E6DDC" w:rsidRPr="007343BE" w:rsidRDefault="00CE6DDC" w:rsidP="00CE6DDC">
      <w:pPr>
        <w:pStyle w:val="MDPI62BackMatter"/>
        <w:ind w:left="0"/>
        <w:rPr>
          <w:b/>
          <w:bCs/>
          <w:sz w:val="22"/>
          <w:szCs w:val="24"/>
        </w:rPr>
      </w:pPr>
      <w:r w:rsidRPr="007343BE">
        <w:rPr>
          <w:b/>
          <w:bCs/>
          <w:sz w:val="22"/>
          <w:szCs w:val="24"/>
        </w:rPr>
        <w:t>Supplementary Materials</w:t>
      </w:r>
    </w:p>
    <w:p w:rsidR="00860FF5" w:rsidRDefault="00860FF5" w:rsidP="00CE6DDC">
      <w:pPr>
        <w:pStyle w:val="MDPI62BackMatter"/>
        <w:ind w:left="0"/>
        <w:rPr>
          <w:b/>
          <w:bCs/>
          <w:sz w:val="22"/>
          <w:szCs w:val="24"/>
        </w:rPr>
      </w:pPr>
    </w:p>
    <w:p w:rsidR="00CE6DDC" w:rsidRPr="007343BE" w:rsidRDefault="00CE6DDC" w:rsidP="00CE6DDC">
      <w:pPr>
        <w:pStyle w:val="MDPI62BackMatter"/>
        <w:ind w:left="0"/>
        <w:rPr>
          <w:b/>
          <w:bCs/>
          <w:sz w:val="22"/>
          <w:szCs w:val="24"/>
        </w:rPr>
      </w:pPr>
      <w:r w:rsidRPr="007343BE">
        <w:rPr>
          <w:b/>
          <w:bCs/>
          <w:sz w:val="22"/>
          <w:szCs w:val="24"/>
        </w:rPr>
        <w:t>1. Resul</w:t>
      </w:r>
      <w:r w:rsidR="009A69E7">
        <w:rPr>
          <w:b/>
          <w:bCs/>
          <w:sz w:val="22"/>
          <w:szCs w:val="24"/>
        </w:rPr>
        <w:t>ts</w:t>
      </w:r>
    </w:p>
    <w:p w:rsidR="009A69E7" w:rsidRDefault="00723FBD" w:rsidP="009A69E7">
      <w:pPr>
        <w:pStyle w:val="MDPI62BackMatter"/>
        <w:ind w:left="0"/>
        <w:jc w:val="center"/>
        <w:rPr>
          <w:noProof/>
          <w:snapToGrid/>
          <w:sz w:val="20"/>
          <w:szCs w:val="21"/>
          <w14:ligatures w14:val="standardContextual"/>
        </w:rPr>
      </w:pPr>
      <w:r w:rsidRPr="00723FBD">
        <w:rPr>
          <w:noProof/>
          <w:snapToGrid/>
          <w:sz w:val="20"/>
          <w:szCs w:val="21"/>
          <w14:ligatures w14:val="standardContextual"/>
        </w:rPr>
        <w:object w:dxaOrig="10908" w:dyaOrig="10030" w14:anchorId="0E95B3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61.15pt;height:424.55pt;mso-width-percent:0;mso-height-percent:0;mso-width-percent:0;mso-height-percent:0" o:ole="" filled="t">
            <v:imagedata r:id="rId4" o:title=""/>
          </v:shape>
          <o:OLEObject Type="Embed" ProgID="Prism8.Document" ShapeID="_x0000_i1026" DrawAspect="Content" ObjectID="_1757495110" r:id="rId5"/>
        </w:object>
      </w:r>
      <w:bookmarkStart w:id="0" w:name="OLE_LINK2"/>
    </w:p>
    <w:p w:rsidR="009A69E7" w:rsidRDefault="009A69E7" w:rsidP="00B26161">
      <w:pPr>
        <w:pStyle w:val="MDPI62BackMatter"/>
        <w:ind w:left="0"/>
        <w:rPr>
          <w:b/>
          <w:bCs/>
          <w:sz w:val="20"/>
        </w:rPr>
      </w:pPr>
    </w:p>
    <w:p w:rsidR="00CE6DDC" w:rsidRPr="00B26161" w:rsidRDefault="00CE6DDC" w:rsidP="00B26161">
      <w:pPr>
        <w:pStyle w:val="MDPI62BackMatter"/>
        <w:ind w:left="0"/>
        <w:rPr>
          <w:sz w:val="20"/>
          <w:szCs w:val="21"/>
        </w:rPr>
      </w:pPr>
      <w:r w:rsidRPr="00B26161">
        <w:rPr>
          <w:b/>
          <w:bCs/>
          <w:sz w:val="20"/>
        </w:rPr>
        <w:t xml:space="preserve">Figure S1. Effect of increasing concentrations of the </w:t>
      </w:r>
      <w:r w:rsidRPr="00B26161">
        <w:rPr>
          <w:b/>
          <w:bCs/>
          <w:sz w:val="20"/>
          <w:lang w:val="en-GB"/>
        </w:rPr>
        <w:t xml:space="preserve">anthocyanin-enriched fraction </w:t>
      </w:r>
      <w:r w:rsidRPr="00B26161">
        <w:rPr>
          <w:b/>
          <w:bCs/>
          <w:sz w:val="20"/>
        </w:rPr>
        <w:t xml:space="preserve">on </w:t>
      </w:r>
      <w:r w:rsidRPr="00B26161">
        <w:rPr>
          <w:b/>
          <w:bCs/>
          <w:sz w:val="20"/>
          <w:lang w:val="en-GB"/>
        </w:rPr>
        <w:t>haemolysis</w:t>
      </w:r>
      <w:r w:rsidRPr="00B26161">
        <w:rPr>
          <w:b/>
          <w:bCs/>
          <w:sz w:val="20"/>
        </w:rPr>
        <w:t>, TBARS levels, and sulfhydryl groups total content.</w:t>
      </w:r>
      <w:r w:rsidRPr="007343BE">
        <w:rPr>
          <w:bCs/>
          <w:sz w:val="20"/>
        </w:rPr>
        <w:t xml:space="preserve"> In A, B and C, </w:t>
      </w:r>
      <w:r w:rsidRPr="007343BE">
        <w:rPr>
          <w:bCs/>
          <w:sz w:val="20"/>
          <w:lang w:val="en-GB"/>
        </w:rPr>
        <w:t>haemolysis measurement is shown. Red blood cells were incubated with increasing concentrations of the anthocyanin-enriched fraction for 30 min, or alternatively, for 1 h and 2 h at</w:t>
      </w:r>
      <w:r w:rsidRPr="007343BE">
        <w:rPr>
          <w:bCs/>
          <w:sz w:val="20"/>
        </w:rPr>
        <w:t xml:space="preserve"> 37 °C. Complete </w:t>
      </w:r>
      <w:r w:rsidRPr="007343BE">
        <w:rPr>
          <w:bCs/>
          <w:sz w:val="20"/>
          <w:lang w:val="en-GB"/>
        </w:rPr>
        <w:t xml:space="preserve">haemolysis </w:t>
      </w:r>
      <w:r w:rsidRPr="007343BE">
        <w:rPr>
          <w:bCs/>
          <w:sz w:val="20"/>
        </w:rPr>
        <w:t>was obtained with distilled water (dH</w:t>
      </w:r>
      <w:r w:rsidRPr="007343BE">
        <w:rPr>
          <w:bCs/>
          <w:sz w:val="20"/>
          <w:vertAlign w:val="subscript"/>
        </w:rPr>
        <w:t>2</w:t>
      </w:r>
      <w:r w:rsidRPr="007343BE">
        <w:rPr>
          <w:bCs/>
          <w:sz w:val="20"/>
        </w:rPr>
        <w:t xml:space="preserve">O). ns, not statistically significant versus untreated; ***p&lt;0.001 versus untreated, ANOVA with </w:t>
      </w:r>
      <w:proofErr w:type="spellStart"/>
      <w:r w:rsidRPr="007343BE">
        <w:rPr>
          <w:bCs/>
          <w:sz w:val="20"/>
        </w:rPr>
        <w:t>Dunnet’s</w:t>
      </w:r>
      <w:proofErr w:type="spellEnd"/>
      <w:r w:rsidRPr="007343BE">
        <w:rPr>
          <w:bCs/>
          <w:sz w:val="20"/>
        </w:rPr>
        <w:t xml:space="preserve"> post-test (n=12). In D, E, and F, oxidative stress assessment by estimation of TBARS levels is shown. </w:t>
      </w:r>
      <w:r w:rsidRPr="007343BE">
        <w:rPr>
          <w:bCs/>
          <w:sz w:val="20"/>
          <w:lang w:val="en-GB"/>
        </w:rPr>
        <w:t>Red blood cells were incubated with increasing concentrations of the anthocyanin-enriched fraction for 30 min, 1 h, and 2 h at</w:t>
      </w:r>
      <w:r w:rsidRPr="007343BE">
        <w:rPr>
          <w:bCs/>
          <w:sz w:val="20"/>
        </w:rPr>
        <w:t xml:space="preserve"> 37° C or with 20 mM H</w:t>
      </w:r>
      <w:r w:rsidRPr="007343BE">
        <w:rPr>
          <w:bCs/>
          <w:sz w:val="20"/>
          <w:vertAlign w:val="subscript"/>
        </w:rPr>
        <w:t>2</w:t>
      </w:r>
      <w:r w:rsidRPr="007343BE">
        <w:rPr>
          <w:bCs/>
          <w:sz w:val="20"/>
        </w:rPr>
        <w:t>O</w:t>
      </w:r>
      <w:r w:rsidRPr="007343BE">
        <w:rPr>
          <w:bCs/>
          <w:sz w:val="20"/>
          <w:vertAlign w:val="subscript"/>
        </w:rPr>
        <w:t>2</w:t>
      </w:r>
      <w:r w:rsidRPr="007343BE">
        <w:rPr>
          <w:bCs/>
          <w:sz w:val="20"/>
        </w:rPr>
        <w:t xml:space="preserve"> as a positive control. ns, not statistically significant versus untreated; *p&lt;0.05 and **p&lt;0.001 versus untreated, ANOVA with </w:t>
      </w:r>
      <w:proofErr w:type="spellStart"/>
      <w:r w:rsidRPr="007343BE">
        <w:rPr>
          <w:bCs/>
          <w:sz w:val="20"/>
        </w:rPr>
        <w:t>Dunnet’s</w:t>
      </w:r>
      <w:proofErr w:type="spellEnd"/>
      <w:r w:rsidRPr="007343BE">
        <w:rPr>
          <w:bCs/>
          <w:sz w:val="20"/>
        </w:rPr>
        <w:t xml:space="preserve"> post-test (n=12). In G, H and I, oxidative stress assessment by estimation of total sulfhydryl group content (µM TNB/µg protein) is shown. </w:t>
      </w:r>
      <w:r w:rsidRPr="007343BE">
        <w:rPr>
          <w:bCs/>
          <w:sz w:val="20"/>
          <w:lang w:val="en-GB"/>
        </w:rPr>
        <w:t>Red blood cells were incubated with increasing concentrations of the anthocyanin-enriched fraction for 30 min, or alternatively, for 1 h and 2 h at</w:t>
      </w:r>
      <w:r w:rsidRPr="007343BE">
        <w:rPr>
          <w:bCs/>
          <w:sz w:val="20"/>
        </w:rPr>
        <w:t xml:space="preserve"> 37 °C or with 2 mM NEM as a positive control. ns, not statistically significant versus untreated; *** p&lt;0.001</w:t>
      </w:r>
      <w:r w:rsidR="004C506C">
        <w:rPr>
          <w:bCs/>
          <w:sz w:val="20"/>
        </w:rPr>
        <w:t xml:space="preserve"> </w:t>
      </w:r>
      <w:r w:rsidRPr="007343BE">
        <w:rPr>
          <w:bCs/>
          <w:sz w:val="20"/>
        </w:rPr>
        <w:t xml:space="preserve">versus untreated, ANOVA with </w:t>
      </w:r>
      <w:proofErr w:type="spellStart"/>
      <w:r w:rsidRPr="007343BE">
        <w:rPr>
          <w:bCs/>
          <w:sz w:val="20"/>
        </w:rPr>
        <w:t>Dunnet’s</w:t>
      </w:r>
      <w:proofErr w:type="spellEnd"/>
      <w:r w:rsidRPr="007343BE">
        <w:rPr>
          <w:bCs/>
          <w:sz w:val="20"/>
        </w:rPr>
        <w:t xml:space="preserve"> post-test (n=12).</w:t>
      </w:r>
    </w:p>
    <w:p w:rsidR="00CE6DDC" w:rsidRDefault="00723FBD" w:rsidP="00CE6DDC">
      <w:pPr>
        <w:pStyle w:val="Abstract"/>
        <w:spacing w:line="240" w:lineRule="auto"/>
        <w:rPr>
          <w:rFonts w:ascii="Palatino Linotype" w:hAnsi="Palatino Linotype"/>
          <w:b w:val="0"/>
          <w:bCs/>
          <w:sz w:val="18"/>
          <w:szCs w:val="18"/>
        </w:rPr>
      </w:pPr>
      <w:r w:rsidRPr="00723FBD">
        <w:rPr>
          <w:noProof/>
          <w14:ligatures w14:val="standardContextual"/>
        </w:rPr>
        <w:object w:dxaOrig="3708" w:dyaOrig="4077" w14:anchorId="40639782">
          <v:shape id="_x0000_i1025" type="#_x0000_t75" alt="" style="width:175.45pt;height:194.85pt;mso-width-percent:0;mso-height-percent:0;mso-width-percent:0;mso-height-percent:0" o:ole="">
            <v:imagedata r:id="rId6" o:title=""/>
          </v:shape>
          <o:OLEObject Type="Embed" ProgID="Prism8.Document" ShapeID="_x0000_i1025" DrawAspect="Content" ObjectID="_1757495111" r:id="rId7"/>
        </w:object>
      </w:r>
    </w:p>
    <w:p w:rsidR="00CE6DDC" w:rsidRDefault="00CE6DDC" w:rsidP="00CE6DDC">
      <w:pPr>
        <w:pStyle w:val="Abstract"/>
        <w:spacing w:line="240" w:lineRule="auto"/>
        <w:rPr>
          <w:rFonts w:ascii="Palatino Linotype" w:hAnsi="Palatino Linotype"/>
          <w:b w:val="0"/>
          <w:bCs/>
          <w:sz w:val="20"/>
          <w:szCs w:val="20"/>
        </w:rPr>
      </w:pPr>
      <w:r w:rsidRPr="007343BE">
        <w:rPr>
          <w:rFonts w:ascii="Palatino Linotype" w:hAnsi="Palatino Linotype"/>
          <w:sz w:val="20"/>
          <w:szCs w:val="20"/>
        </w:rPr>
        <w:t>Figure S2. Apoptosis evaluation by flow cytometry</w:t>
      </w:r>
      <w:r w:rsidRPr="007343BE">
        <w:rPr>
          <w:rFonts w:ascii="Palatino Linotype" w:hAnsi="Palatino Linotype"/>
          <w:b w:val="0"/>
          <w:bCs/>
          <w:sz w:val="20"/>
          <w:szCs w:val="20"/>
        </w:rPr>
        <w:t>. Percentage of apoptotic RBCs, namely positive to annexin 5 and trypan blue, detected after incubation with 50 AAPH (</w:t>
      </w:r>
      <w:r w:rsidRPr="007343BE">
        <w:rPr>
          <w:rFonts w:ascii="Palatino Linotype" w:hAnsi="Palatino Linotype"/>
          <w:b w:val="0"/>
          <w:bCs/>
          <w:sz w:val="20"/>
          <w:szCs w:val="20"/>
          <w:lang w:val="en-GB"/>
        </w:rPr>
        <w:t>for 1 h, at 37 °C)</w:t>
      </w:r>
      <w:r w:rsidRPr="007343BE">
        <w:rPr>
          <w:rFonts w:ascii="Palatino Linotype" w:hAnsi="Palatino Linotype"/>
          <w:b w:val="0"/>
          <w:bCs/>
          <w:sz w:val="20"/>
          <w:szCs w:val="20"/>
        </w:rPr>
        <w:t>, with or without exposure</w:t>
      </w:r>
      <w:r w:rsidRPr="007343BE">
        <w:rPr>
          <w:rFonts w:ascii="Palatino Linotype" w:hAnsi="Palatino Linotype"/>
          <w:b w:val="0"/>
          <w:bCs/>
          <w:sz w:val="20"/>
          <w:szCs w:val="20"/>
          <w:lang w:val="en-GB"/>
        </w:rPr>
        <w:t xml:space="preserve"> to the anthocyanin-enriched fraction</w:t>
      </w:r>
      <w:r w:rsidRPr="007343BE">
        <w:rPr>
          <w:rFonts w:ascii="Palatino Linotype" w:hAnsi="Palatino Linotype"/>
          <w:sz w:val="20"/>
          <w:szCs w:val="20"/>
          <w:lang w:val="en-GB"/>
        </w:rPr>
        <w:t xml:space="preserve"> </w:t>
      </w:r>
      <w:r w:rsidRPr="007343BE">
        <w:rPr>
          <w:rFonts w:ascii="Palatino Linotype" w:hAnsi="Palatino Linotype"/>
          <w:b w:val="0"/>
          <w:bCs/>
          <w:sz w:val="20"/>
          <w:szCs w:val="20"/>
        </w:rPr>
        <w:t xml:space="preserve">(0.01 </w:t>
      </w:r>
      <w:proofErr w:type="spellStart"/>
      <w:r w:rsidRPr="007343BE">
        <w:rPr>
          <w:rFonts w:ascii="Palatino Linotype" w:hAnsi="Palatino Linotype"/>
          <w:b w:val="0"/>
          <w:bCs/>
          <w:sz w:val="20"/>
          <w:szCs w:val="20"/>
          <w:lang w:val="en-GB"/>
        </w:rPr>
        <w:t>μg</w:t>
      </w:r>
      <w:proofErr w:type="spellEnd"/>
      <w:r w:rsidRPr="007343BE">
        <w:rPr>
          <w:rFonts w:ascii="Palatino Linotype" w:hAnsi="Palatino Linotype"/>
          <w:b w:val="0"/>
          <w:bCs/>
          <w:sz w:val="20"/>
          <w:szCs w:val="20"/>
          <w:lang w:val="en-GB"/>
        </w:rPr>
        <w:t>/mL for 1 h, at 37 °C)</w:t>
      </w:r>
      <w:r w:rsidRPr="007343BE">
        <w:rPr>
          <w:rFonts w:ascii="Palatino Linotype" w:hAnsi="Palatino Linotype"/>
          <w:b w:val="0"/>
          <w:bCs/>
          <w:sz w:val="20"/>
          <w:szCs w:val="20"/>
        </w:rPr>
        <w:t xml:space="preserve">. ns, not statistically significant versus untreated cells, ANOVA with </w:t>
      </w:r>
      <w:proofErr w:type="spellStart"/>
      <w:r w:rsidRPr="007343BE">
        <w:rPr>
          <w:rFonts w:ascii="Palatino Linotype" w:hAnsi="Palatino Linotype"/>
          <w:b w:val="0"/>
          <w:bCs/>
          <w:sz w:val="20"/>
          <w:szCs w:val="20"/>
        </w:rPr>
        <w:t>Dunnet’s</w:t>
      </w:r>
      <w:proofErr w:type="spellEnd"/>
      <w:r w:rsidRPr="007343BE">
        <w:rPr>
          <w:rFonts w:ascii="Palatino Linotype" w:hAnsi="Palatino Linotype"/>
          <w:b w:val="0"/>
          <w:bCs/>
          <w:sz w:val="20"/>
          <w:szCs w:val="20"/>
        </w:rPr>
        <w:t xml:space="preserve"> post-test (n=</w:t>
      </w:r>
      <w:r w:rsidR="009A69E7">
        <w:rPr>
          <w:rFonts w:ascii="Palatino Linotype" w:hAnsi="Palatino Linotype"/>
          <w:b w:val="0"/>
          <w:bCs/>
          <w:sz w:val="20"/>
          <w:szCs w:val="20"/>
        </w:rPr>
        <w:t>10</w:t>
      </w:r>
      <w:r w:rsidRPr="007343BE">
        <w:rPr>
          <w:rFonts w:ascii="Palatino Linotype" w:hAnsi="Palatino Linotype"/>
          <w:b w:val="0"/>
          <w:bCs/>
          <w:sz w:val="20"/>
          <w:szCs w:val="20"/>
        </w:rPr>
        <w:t>).</w:t>
      </w:r>
    </w:p>
    <w:bookmarkEnd w:id="0"/>
    <w:p w:rsidR="00A53932" w:rsidRDefault="00A53932" w:rsidP="00CE6DDC">
      <w:pPr>
        <w:pStyle w:val="Abstract"/>
        <w:spacing w:line="240" w:lineRule="auto"/>
        <w:rPr>
          <w:rFonts w:ascii="Palatino Linotype" w:hAnsi="Palatino Linotype"/>
          <w:b w:val="0"/>
          <w:bCs/>
          <w:sz w:val="20"/>
          <w:szCs w:val="20"/>
        </w:rPr>
      </w:pPr>
    </w:p>
    <w:p w:rsidR="00EE0EDF" w:rsidRPr="00EE0EDF" w:rsidRDefault="00EE0EDF" w:rsidP="00CE6DDC">
      <w:pPr>
        <w:pStyle w:val="Abstract"/>
        <w:spacing w:line="240" w:lineRule="auto"/>
        <w:rPr>
          <w:rFonts w:ascii="Palatino Linotype" w:hAnsi="Palatino Linotype"/>
          <w:sz w:val="20"/>
          <w:szCs w:val="20"/>
        </w:rPr>
      </w:pPr>
      <w:r w:rsidRPr="00EE0EDF">
        <w:rPr>
          <w:rFonts w:ascii="Palatino Linotype" w:hAnsi="Palatino Linotype"/>
          <w:sz w:val="20"/>
          <w:szCs w:val="20"/>
        </w:rPr>
        <w:t>Original Blots</w:t>
      </w:r>
    </w:p>
    <w:p w:rsidR="00EE0EDF" w:rsidRPr="00EF59A8" w:rsidRDefault="00EF59A8" w:rsidP="00CE6DDC">
      <w:pPr>
        <w:pStyle w:val="Abstract"/>
        <w:spacing w:line="240" w:lineRule="auto"/>
        <w:rPr>
          <w:rFonts w:ascii="Palatino Linotype" w:hAnsi="Palatino Linotype"/>
          <w:sz w:val="20"/>
          <w:szCs w:val="20"/>
        </w:rPr>
      </w:pPr>
      <w:r w:rsidRPr="00EF59A8">
        <w:rPr>
          <w:rFonts w:ascii="Palatino Linotype" w:hAnsi="Palatino Linotype"/>
          <w:sz w:val="20"/>
          <w:szCs w:val="20"/>
        </w:rPr>
        <w:t>Band 3 protein (AE1)</w:t>
      </w:r>
    </w:p>
    <w:p w:rsidR="00EE0EDF" w:rsidRDefault="00EE0EDF" w:rsidP="00CE6DDC">
      <w:pPr>
        <w:pStyle w:val="Abstract"/>
        <w:spacing w:line="240" w:lineRule="auto"/>
        <w:rPr>
          <w:rFonts w:ascii="Palatino Linotype" w:hAnsi="Palatino Linotype"/>
          <w:b w:val="0"/>
          <w:bCs/>
          <w:sz w:val="20"/>
          <w:szCs w:val="20"/>
        </w:rPr>
      </w:pPr>
    </w:p>
    <w:p w:rsidR="00EE0EDF" w:rsidRDefault="00EE0EDF" w:rsidP="00CE6DDC">
      <w:pPr>
        <w:pStyle w:val="Abstract"/>
        <w:spacing w:line="240" w:lineRule="auto"/>
        <w:rPr>
          <w:rFonts w:ascii="Palatino Linotype" w:hAnsi="Palatino Linotype"/>
          <w:b w:val="0"/>
          <w:bCs/>
          <w:sz w:val="20"/>
          <w:szCs w:val="20"/>
        </w:rPr>
      </w:pPr>
      <w:r>
        <w:rPr>
          <w:rFonts w:ascii="Palatino Linotype" w:hAnsi="Palatino Linotype"/>
          <w:b w:val="0"/>
          <w:bCs/>
          <w:noProof/>
          <w:sz w:val="20"/>
          <w:szCs w:val="20"/>
          <w14:ligatures w14:val="standardContextual"/>
        </w:rPr>
        <w:drawing>
          <wp:inline distT="0" distB="0" distL="0" distR="0">
            <wp:extent cx="6116320" cy="2923540"/>
            <wp:effectExtent l="0" t="0" r="5080" b="0"/>
            <wp:docPr id="12916140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14025" name="Immagine 12916140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A8" w:rsidRDefault="00EF59A8" w:rsidP="00CE6DDC">
      <w:pPr>
        <w:pStyle w:val="Abstract"/>
        <w:spacing w:line="240" w:lineRule="auto"/>
        <w:rPr>
          <w:rFonts w:ascii="Palatino Linotype" w:hAnsi="Palatino Linotype"/>
          <w:b w:val="0"/>
          <w:bCs/>
          <w:sz w:val="20"/>
          <w:szCs w:val="20"/>
        </w:rPr>
      </w:pPr>
    </w:p>
    <w:p w:rsidR="00EF59A8" w:rsidRDefault="00EF59A8" w:rsidP="00CE6DDC">
      <w:pPr>
        <w:pStyle w:val="Abstract"/>
        <w:spacing w:line="240" w:lineRule="auto"/>
        <w:rPr>
          <w:rFonts w:ascii="Palatino Linotype" w:hAnsi="Palatino Linotype"/>
          <w:b w:val="0"/>
          <w:bCs/>
          <w:sz w:val="20"/>
          <w:szCs w:val="20"/>
        </w:rPr>
      </w:pPr>
    </w:p>
    <w:p w:rsidR="00EF59A8" w:rsidRDefault="00EF59A8" w:rsidP="00CE6DDC">
      <w:pPr>
        <w:pStyle w:val="Abstract"/>
        <w:spacing w:line="240" w:lineRule="auto"/>
        <w:rPr>
          <w:rFonts w:ascii="Palatino Linotype" w:hAnsi="Palatino Linotype"/>
          <w:b w:val="0"/>
          <w:bCs/>
          <w:sz w:val="20"/>
          <w:szCs w:val="20"/>
        </w:rPr>
      </w:pPr>
    </w:p>
    <w:p w:rsidR="00EF59A8" w:rsidRDefault="00EF59A8" w:rsidP="00CE6DDC">
      <w:pPr>
        <w:pStyle w:val="Abstract"/>
        <w:spacing w:line="240" w:lineRule="auto"/>
        <w:rPr>
          <w:rFonts w:ascii="Palatino Linotype" w:hAnsi="Palatino Linotype"/>
          <w:b w:val="0"/>
          <w:bCs/>
          <w:sz w:val="20"/>
          <w:szCs w:val="20"/>
        </w:rPr>
      </w:pPr>
    </w:p>
    <w:p w:rsidR="00EE0EDF" w:rsidRPr="00EF59A8" w:rsidRDefault="00EF59A8" w:rsidP="00CE6DDC">
      <w:pPr>
        <w:pStyle w:val="Abstract"/>
        <w:spacing w:line="240" w:lineRule="auto"/>
        <w:rPr>
          <w:rFonts w:ascii="Palatino Linotype" w:hAnsi="Palatino Linotype"/>
          <w:sz w:val="20"/>
          <w:szCs w:val="20"/>
        </w:rPr>
      </w:pPr>
      <w:proofErr w:type="spellStart"/>
      <w:r>
        <w:rPr>
          <w:rFonts w:ascii="Palatino Linotype" w:hAnsi="Palatino Linotype"/>
          <w:sz w:val="20"/>
          <w:szCs w:val="20"/>
        </w:rPr>
        <w:lastRenderedPageBreak/>
        <w:t>SyK</w:t>
      </w:r>
      <w:proofErr w:type="spellEnd"/>
      <w:r>
        <w:rPr>
          <w:rFonts w:ascii="Palatino Linotype" w:hAnsi="Palatino Linotype"/>
          <w:sz w:val="20"/>
          <w:szCs w:val="20"/>
        </w:rPr>
        <w:t xml:space="preserve"> kinase</w:t>
      </w:r>
    </w:p>
    <w:p w:rsidR="00EE0EDF" w:rsidRDefault="00EE0EDF" w:rsidP="00CE6DDC">
      <w:pPr>
        <w:pStyle w:val="Abstract"/>
        <w:spacing w:line="240" w:lineRule="auto"/>
        <w:rPr>
          <w:rFonts w:ascii="Palatino Linotype" w:hAnsi="Palatino Linotype"/>
          <w:b w:val="0"/>
          <w:bCs/>
          <w:sz w:val="20"/>
          <w:szCs w:val="20"/>
        </w:rPr>
      </w:pPr>
      <w:r>
        <w:rPr>
          <w:rFonts w:ascii="Palatino Linotype" w:hAnsi="Palatino Linotype"/>
          <w:b w:val="0"/>
          <w:bCs/>
          <w:noProof/>
          <w:sz w:val="20"/>
          <w:szCs w:val="20"/>
          <w14:ligatures w14:val="standardContextual"/>
        </w:rPr>
        <w:drawing>
          <wp:inline distT="0" distB="0" distL="0" distR="0" wp14:anchorId="72F12C39" wp14:editId="293A730E">
            <wp:extent cx="6116320" cy="3066415"/>
            <wp:effectExtent l="0" t="0" r="5080" b="0"/>
            <wp:docPr id="74474269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42695" name="Immagine 7447426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EDF" w:rsidRDefault="00EF59A8" w:rsidP="00CE6DDC">
      <w:pPr>
        <w:pStyle w:val="Abstract"/>
        <w:spacing w:line="240" w:lineRule="auto"/>
        <w:rPr>
          <w:rFonts w:ascii="Palatino Linotype" w:hAnsi="Palatino Linotype"/>
          <w:b w:val="0"/>
          <w:bCs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p-</w:t>
      </w:r>
      <w:proofErr w:type="spellStart"/>
      <w:r>
        <w:rPr>
          <w:rFonts w:ascii="Palatino Linotype" w:hAnsi="Palatino Linotype"/>
          <w:sz w:val="20"/>
          <w:szCs w:val="20"/>
        </w:rPr>
        <w:t>TyR</w:t>
      </w:r>
      <w:proofErr w:type="spellEnd"/>
      <w:r>
        <w:rPr>
          <w:rFonts w:ascii="Palatino Linotype" w:hAnsi="Palatino Linotype"/>
          <w:sz w:val="20"/>
          <w:szCs w:val="20"/>
        </w:rPr>
        <w:t xml:space="preserve"> Band 3 protein</w:t>
      </w:r>
    </w:p>
    <w:p w:rsidR="00EE0EDF" w:rsidRDefault="00EE0EDF" w:rsidP="00CE6DDC">
      <w:pPr>
        <w:pStyle w:val="Abstract"/>
        <w:spacing w:line="240" w:lineRule="auto"/>
        <w:rPr>
          <w:rFonts w:ascii="Palatino Linotype" w:hAnsi="Palatino Linotype"/>
          <w:b w:val="0"/>
          <w:bCs/>
          <w:sz w:val="20"/>
          <w:szCs w:val="20"/>
        </w:rPr>
      </w:pPr>
      <w:r>
        <w:rPr>
          <w:rFonts w:ascii="Palatino Linotype" w:hAnsi="Palatino Linotype"/>
          <w:b w:val="0"/>
          <w:bCs/>
          <w:noProof/>
          <w:sz w:val="20"/>
          <w:szCs w:val="20"/>
          <w14:ligatures w14:val="standardContextual"/>
        </w:rPr>
        <w:drawing>
          <wp:inline distT="0" distB="0" distL="0" distR="0">
            <wp:extent cx="6116320" cy="3138805"/>
            <wp:effectExtent l="0" t="0" r="5080" b="0"/>
            <wp:docPr id="97095828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58286" name="Immagine 9709582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EDF" w:rsidSect="00354B0A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DDC"/>
    <w:rsid w:val="00002559"/>
    <w:rsid w:val="00037CA7"/>
    <w:rsid w:val="00074285"/>
    <w:rsid w:val="000756BC"/>
    <w:rsid w:val="000A29AD"/>
    <w:rsid w:val="000A7D86"/>
    <w:rsid w:val="000D0BEA"/>
    <w:rsid w:val="000D64B0"/>
    <w:rsid w:val="000D6BC2"/>
    <w:rsid w:val="000E5659"/>
    <w:rsid w:val="000E7D0B"/>
    <w:rsid w:val="00104EBD"/>
    <w:rsid w:val="001125FB"/>
    <w:rsid w:val="00125AAA"/>
    <w:rsid w:val="00126134"/>
    <w:rsid w:val="001261CC"/>
    <w:rsid w:val="001400F9"/>
    <w:rsid w:val="00153E2D"/>
    <w:rsid w:val="0016117D"/>
    <w:rsid w:val="00176C3C"/>
    <w:rsid w:val="00184973"/>
    <w:rsid w:val="00190DEF"/>
    <w:rsid w:val="001B4CEB"/>
    <w:rsid w:val="001C18C0"/>
    <w:rsid w:val="001C3676"/>
    <w:rsid w:val="001E038D"/>
    <w:rsid w:val="001E11CC"/>
    <w:rsid w:val="001E1ED5"/>
    <w:rsid w:val="001E6B82"/>
    <w:rsid w:val="00202238"/>
    <w:rsid w:val="002221D6"/>
    <w:rsid w:val="00235C37"/>
    <w:rsid w:val="00244BCF"/>
    <w:rsid w:val="00246D9A"/>
    <w:rsid w:val="00262428"/>
    <w:rsid w:val="00265F2A"/>
    <w:rsid w:val="002674BE"/>
    <w:rsid w:val="00273749"/>
    <w:rsid w:val="002B41E9"/>
    <w:rsid w:val="002C0DC4"/>
    <w:rsid w:val="002C5D89"/>
    <w:rsid w:val="002E42C0"/>
    <w:rsid w:val="0034790A"/>
    <w:rsid w:val="003503D5"/>
    <w:rsid w:val="00354B0A"/>
    <w:rsid w:val="0035580D"/>
    <w:rsid w:val="00362D66"/>
    <w:rsid w:val="00370A50"/>
    <w:rsid w:val="003A6BF8"/>
    <w:rsid w:val="003C51A6"/>
    <w:rsid w:val="00404AF3"/>
    <w:rsid w:val="00416C52"/>
    <w:rsid w:val="004262B0"/>
    <w:rsid w:val="004265B1"/>
    <w:rsid w:val="004376BB"/>
    <w:rsid w:val="0044681F"/>
    <w:rsid w:val="0045077C"/>
    <w:rsid w:val="004510BB"/>
    <w:rsid w:val="004549C3"/>
    <w:rsid w:val="00456745"/>
    <w:rsid w:val="0046437C"/>
    <w:rsid w:val="0047215C"/>
    <w:rsid w:val="004810DE"/>
    <w:rsid w:val="00494FA6"/>
    <w:rsid w:val="00495250"/>
    <w:rsid w:val="004B004E"/>
    <w:rsid w:val="004B07B3"/>
    <w:rsid w:val="004B7209"/>
    <w:rsid w:val="004C2D0C"/>
    <w:rsid w:val="004C3261"/>
    <w:rsid w:val="004C506C"/>
    <w:rsid w:val="004C5E71"/>
    <w:rsid w:val="004D1BB5"/>
    <w:rsid w:val="004E4386"/>
    <w:rsid w:val="004F6A3D"/>
    <w:rsid w:val="00505632"/>
    <w:rsid w:val="00514D03"/>
    <w:rsid w:val="00517426"/>
    <w:rsid w:val="00520864"/>
    <w:rsid w:val="0056560E"/>
    <w:rsid w:val="00595B0B"/>
    <w:rsid w:val="005A433C"/>
    <w:rsid w:val="005A7F3D"/>
    <w:rsid w:val="005E0BEA"/>
    <w:rsid w:val="005E204B"/>
    <w:rsid w:val="005F183D"/>
    <w:rsid w:val="005F5A35"/>
    <w:rsid w:val="00607659"/>
    <w:rsid w:val="00610778"/>
    <w:rsid w:val="006141A8"/>
    <w:rsid w:val="00615682"/>
    <w:rsid w:val="00637CDE"/>
    <w:rsid w:val="0066079C"/>
    <w:rsid w:val="006674CE"/>
    <w:rsid w:val="00674B23"/>
    <w:rsid w:val="00697F87"/>
    <w:rsid w:val="006A09B1"/>
    <w:rsid w:val="006A2058"/>
    <w:rsid w:val="006C6922"/>
    <w:rsid w:val="006E13A2"/>
    <w:rsid w:val="006E1C84"/>
    <w:rsid w:val="006E4AAB"/>
    <w:rsid w:val="00700268"/>
    <w:rsid w:val="00723FBD"/>
    <w:rsid w:val="00745C0C"/>
    <w:rsid w:val="007534A6"/>
    <w:rsid w:val="00754D9F"/>
    <w:rsid w:val="0075546F"/>
    <w:rsid w:val="00780F5E"/>
    <w:rsid w:val="007B5021"/>
    <w:rsid w:val="007C1053"/>
    <w:rsid w:val="007C1094"/>
    <w:rsid w:val="007C72AF"/>
    <w:rsid w:val="007D26A9"/>
    <w:rsid w:val="007E23CC"/>
    <w:rsid w:val="007E6070"/>
    <w:rsid w:val="007F540A"/>
    <w:rsid w:val="007F578E"/>
    <w:rsid w:val="00837C53"/>
    <w:rsid w:val="00860FF5"/>
    <w:rsid w:val="008738E5"/>
    <w:rsid w:val="00874A75"/>
    <w:rsid w:val="008810F6"/>
    <w:rsid w:val="008A787F"/>
    <w:rsid w:val="008B0685"/>
    <w:rsid w:val="008B4772"/>
    <w:rsid w:val="008B688E"/>
    <w:rsid w:val="008C3A79"/>
    <w:rsid w:val="008E1854"/>
    <w:rsid w:val="008E5F7C"/>
    <w:rsid w:val="008F1980"/>
    <w:rsid w:val="008F41A5"/>
    <w:rsid w:val="00912A74"/>
    <w:rsid w:val="009208A1"/>
    <w:rsid w:val="00955132"/>
    <w:rsid w:val="009770F6"/>
    <w:rsid w:val="0098635F"/>
    <w:rsid w:val="00991817"/>
    <w:rsid w:val="00996DA9"/>
    <w:rsid w:val="009A0DA0"/>
    <w:rsid w:val="009A1A5F"/>
    <w:rsid w:val="009A69E7"/>
    <w:rsid w:val="009F0CDB"/>
    <w:rsid w:val="009F10F4"/>
    <w:rsid w:val="009F6084"/>
    <w:rsid w:val="00A03B5E"/>
    <w:rsid w:val="00A05F5F"/>
    <w:rsid w:val="00A30EE0"/>
    <w:rsid w:val="00A4683D"/>
    <w:rsid w:val="00A520B0"/>
    <w:rsid w:val="00A53932"/>
    <w:rsid w:val="00A71E5E"/>
    <w:rsid w:val="00A7785E"/>
    <w:rsid w:val="00A84BF1"/>
    <w:rsid w:val="00A86F52"/>
    <w:rsid w:val="00A94446"/>
    <w:rsid w:val="00AA1CD7"/>
    <w:rsid w:val="00AC7A70"/>
    <w:rsid w:val="00AE7526"/>
    <w:rsid w:val="00AE75EB"/>
    <w:rsid w:val="00B13942"/>
    <w:rsid w:val="00B26039"/>
    <w:rsid w:val="00B26161"/>
    <w:rsid w:val="00B50E73"/>
    <w:rsid w:val="00B51E31"/>
    <w:rsid w:val="00B812D6"/>
    <w:rsid w:val="00B87D6F"/>
    <w:rsid w:val="00B90A38"/>
    <w:rsid w:val="00B913C8"/>
    <w:rsid w:val="00B93295"/>
    <w:rsid w:val="00BA3DA5"/>
    <w:rsid w:val="00BA4B77"/>
    <w:rsid w:val="00BB7D9D"/>
    <w:rsid w:val="00BD49C2"/>
    <w:rsid w:val="00BE11D6"/>
    <w:rsid w:val="00BF34D1"/>
    <w:rsid w:val="00BF3A2C"/>
    <w:rsid w:val="00BF5655"/>
    <w:rsid w:val="00C07BBD"/>
    <w:rsid w:val="00C37242"/>
    <w:rsid w:val="00C40F2F"/>
    <w:rsid w:val="00C42FAD"/>
    <w:rsid w:val="00C613E3"/>
    <w:rsid w:val="00C624E8"/>
    <w:rsid w:val="00C70BC3"/>
    <w:rsid w:val="00C72E90"/>
    <w:rsid w:val="00CA20F1"/>
    <w:rsid w:val="00CB4C42"/>
    <w:rsid w:val="00CB6FE8"/>
    <w:rsid w:val="00CD6545"/>
    <w:rsid w:val="00CE6DDC"/>
    <w:rsid w:val="00CE7BFD"/>
    <w:rsid w:val="00CF446F"/>
    <w:rsid w:val="00D01617"/>
    <w:rsid w:val="00D20E4C"/>
    <w:rsid w:val="00D46E55"/>
    <w:rsid w:val="00D53F2B"/>
    <w:rsid w:val="00DA2C34"/>
    <w:rsid w:val="00DA7458"/>
    <w:rsid w:val="00DC060D"/>
    <w:rsid w:val="00DC6547"/>
    <w:rsid w:val="00DF3B2F"/>
    <w:rsid w:val="00DF656E"/>
    <w:rsid w:val="00E02C82"/>
    <w:rsid w:val="00E165BB"/>
    <w:rsid w:val="00E36240"/>
    <w:rsid w:val="00E44830"/>
    <w:rsid w:val="00E44D65"/>
    <w:rsid w:val="00E44F55"/>
    <w:rsid w:val="00E715EA"/>
    <w:rsid w:val="00E71E11"/>
    <w:rsid w:val="00E747B8"/>
    <w:rsid w:val="00E76C7E"/>
    <w:rsid w:val="00EA7FA8"/>
    <w:rsid w:val="00EB05A5"/>
    <w:rsid w:val="00EB1ACB"/>
    <w:rsid w:val="00EB71B0"/>
    <w:rsid w:val="00EB76AC"/>
    <w:rsid w:val="00EC4B2C"/>
    <w:rsid w:val="00ED00B0"/>
    <w:rsid w:val="00ED5743"/>
    <w:rsid w:val="00EE0EDF"/>
    <w:rsid w:val="00EE7B9D"/>
    <w:rsid w:val="00EF59A8"/>
    <w:rsid w:val="00F53FA7"/>
    <w:rsid w:val="00F67E1C"/>
    <w:rsid w:val="00F7393D"/>
    <w:rsid w:val="00F828DA"/>
    <w:rsid w:val="00F82C52"/>
    <w:rsid w:val="00F952E4"/>
    <w:rsid w:val="00FA687D"/>
    <w:rsid w:val="00FC1FDF"/>
    <w:rsid w:val="00FD6B8F"/>
    <w:rsid w:val="00FF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A001"/>
  <w15:chartTrackingRefBased/>
  <w15:docId w15:val="{CBCF3054-DEA8-204C-AA7C-EACD5503A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Formuladiapertura">
    <w:name w:val="Salutation"/>
    <w:basedOn w:val="Normale"/>
    <w:next w:val="Normale"/>
    <w:link w:val="FormuladiaperturaCarattere"/>
    <w:uiPriority w:val="99"/>
    <w:unhideWhenUsed/>
    <w:rsid w:val="0016117D"/>
    <w:pPr>
      <w:jc w:val="both"/>
    </w:pPr>
    <w:rPr>
      <w:sz w:val="20"/>
    </w:rPr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rsid w:val="0016117D"/>
    <w:rPr>
      <w:sz w:val="20"/>
    </w:rPr>
  </w:style>
  <w:style w:type="paragraph" w:customStyle="1" w:styleId="Abstract">
    <w:name w:val="Abstract"/>
    <w:basedOn w:val="Normale"/>
    <w:link w:val="AbstractCarattere"/>
    <w:qFormat/>
    <w:rsid w:val="00CE6DDC"/>
    <w:pPr>
      <w:widowControl w:val="0"/>
      <w:spacing w:before="240" w:line="288" w:lineRule="auto"/>
      <w:jc w:val="both"/>
    </w:pPr>
    <w:rPr>
      <w:rFonts w:ascii="Times New Roman" w:eastAsia="Times New Roman" w:hAnsi="Times New Roman" w:cs="Times New Roman"/>
      <w:b/>
      <w:kern w:val="0"/>
      <w:lang w:val="en-US" w:eastAsia="zh-CN"/>
      <w14:ligatures w14:val="none"/>
    </w:rPr>
  </w:style>
  <w:style w:type="character" w:customStyle="1" w:styleId="AbstractCarattere">
    <w:name w:val="Abstract Carattere"/>
    <w:basedOn w:val="Carpredefinitoparagrafo"/>
    <w:link w:val="Abstract"/>
    <w:rsid w:val="00CE6DDC"/>
    <w:rPr>
      <w:rFonts w:ascii="Times New Roman" w:eastAsia="Times New Roman" w:hAnsi="Times New Roman" w:cs="Times New Roman"/>
      <w:b/>
      <w:kern w:val="0"/>
      <w:lang w:val="en-US" w:eastAsia="zh-CN"/>
      <w14:ligatures w14:val="none"/>
    </w:rPr>
  </w:style>
  <w:style w:type="paragraph" w:customStyle="1" w:styleId="MDPI62BackMatter">
    <w:name w:val="MDPI_6.2_BackMatter"/>
    <w:qFormat/>
    <w:rsid w:val="00CE6DDC"/>
    <w:pPr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val="en-US" w:bidi="en-US"/>
      <w14:ligatures w14:val="none"/>
    </w:rPr>
  </w:style>
  <w:style w:type="paragraph" w:customStyle="1" w:styleId="MDPI23heading3">
    <w:name w:val="MDPI_2.3_heading3"/>
    <w:qFormat/>
    <w:rsid w:val="009A69E7"/>
    <w:pPr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character" w:styleId="Collegamentoipertestuale">
    <w:name w:val="Hyperlink"/>
    <w:uiPriority w:val="99"/>
    <w:rsid w:val="009A69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5.png"/><Relationship Id="rId4" Type="http://schemas.openxmlformats.org/officeDocument/2006/relationships/image" Target="media/image1.em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284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REMIGANTE</dc:creator>
  <cp:keywords/>
  <dc:description/>
  <cp:lastModifiedBy>ALESSIA REMIGANTE</cp:lastModifiedBy>
  <cp:revision>9</cp:revision>
  <dcterms:created xsi:type="dcterms:W3CDTF">2023-08-02T13:21:00Z</dcterms:created>
  <dcterms:modified xsi:type="dcterms:W3CDTF">2023-09-29T10:06:00Z</dcterms:modified>
</cp:coreProperties>
</file>