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D848A" w14:textId="77777777" w:rsidR="00D44CFB" w:rsidRPr="005379D1" w:rsidRDefault="00D44CFB" w:rsidP="00DD0F3F">
      <w:pPr>
        <w:spacing w:line="360" w:lineRule="auto"/>
        <w:rPr>
          <w:b/>
        </w:rPr>
      </w:pPr>
      <w:r>
        <w:rPr>
          <w:b/>
        </w:rPr>
        <w:t xml:space="preserve">Supplementary material for: </w:t>
      </w:r>
      <w:r w:rsidRPr="00FE3115">
        <w:rPr>
          <w:b/>
          <w:bCs/>
          <w:sz w:val="22"/>
          <w:szCs w:val="22"/>
        </w:rPr>
        <w:t>Brief Research Report- Capturing</w:t>
      </w:r>
      <w:r w:rsidRPr="005379D1">
        <w:rPr>
          <w:b/>
        </w:rPr>
        <w:t xml:space="preserve"> autonomy, competence, and relatedness at work: </w:t>
      </w:r>
      <w:r>
        <w:rPr>
          <w:b/>
        </w:rPr>
        <w:t>Further examining and v</w:t>
      </w:r>
      <w:r w:rsidRPr="005379D1">
        <w:rPr>
          <w:b/>
        </w:rPr>
        <w:t>alidati</w:t>
      </w:r>
      <w:r>
        <w:rPr>
          <w:b/>
        </w:rPr>
        <w:t>ng</w:t>
      </w:r>
      <w:r w:rsidRPr="005379D1">
        <w:rPr>
          <w:b/>
        </w:rPr>
        <w:t xml:space="preserve"> an English Language version of the Work-related Basic Need Satisfaction (WBNS) scale</w:t>
      </w:r>
    </w:p>
    <w:p w14:paraId="74E281BD" w14:textId="77777777" w:rsidR="00D44CFB" w:rsidRPr="005379D1" w:rsidRDefault="00D44CFB" w:rsidP="00DD0F3F">
      <w:pPr>
        <w:spacing w:line="360" w:lineRule="auto"/>
      </w:pPr>
    </w:p>
    <w:p w14:paraId="3098272C" w14:textId="721317B9" w:rsidR="00D44CFB" w:rsidRPr="005379D1" w:rsidRDefault="00D44CFB" w:rsidP="00DD0F3F">
      <w:pPr>
        <w:spacing w:line="360" w:lineRule="auto"/>
        <w:rPr>
          <w:sz w:val="22"/>
          <w:szCs w:val="22"/>
        </w:rPr>
      </w:pPr>
      <w:r w:rsidRPr="004E1547">
        <w:rPr>
          <w:sz w:val="22"/>
          <w:szCs w:val="22"/>
        </w:rPr>
        <w:t>Paul A. Tiffin</w:t>
      </w:r>
      <w:r w:rsidRPr="00096F6D">
        <w:rPr>
          <w:sz w:val="22"/>
          <w:szCs w:val="22"/>
          <w:vertAlign w:val="superscript"/>
        </w:rPr>
        <w:t>1</w:t>
      </w:r>
      <w:r>
        <w:rPr>
          <w:sz w:val="22"/>
          <w:szCs w:val="22"/>
          <w:vertAlign w:val="superscript"/>
        </w:rPr>
        <w:t>*</w:t>
      </w:r>
      <w:r w:rsidRPr="004E1547">
        <w:rPr>
          <w:sz w:val="22"/>
          <w:szCs w:val="22"/>
        </w:rPr>
        <w:t>, Ray Cabrera</w:t>
      </w:r>
      <w:r w:rsidRPr="00096F6D">
        <w:rPr>
          <w:sz w:val="22"/>
          <w:szCs w:val="22"/>
          <w:vertAlign w:val="superscript"/>
        </w:rPr>
        <w:t>2</w:t>
      </w:r>
      <w:r w:rsidRPr="004E1547">
        <w:rPr>
          <w:sz w:val="22"/>
          <w:szCs w:val="22"/>
        </w:rPr>
        <w:t>, Sarah Dexter-Smith</w:t>
      </w:r>
      <w:r w:rsidRPr="00096F6D">
        <w:rPr>
          <w:sz w:val="22"/>
          <w:szCs w:val="22"/>
          <w:vertAlign w:val="superscript"/>
        </w:rPr>
        <w:t>2</w:t>
      </w:r>
      <w:r w:rsidR="00774A56" w:rsidRPr="00774A56">
        <w:rPr>
          <w:sz w:val="22"/>
          <w:szCs w:val="22"/>
        </w:rPr>
        <w:t xml:space="preserve"> </w:t>
      </w:r>
      <w:r w:rsidR="00774A56">
        <w:rPr>
          <w:sz w:val="22"/>
          <w:szCs w:val="22"/>
        </w:rPr>
        <w:t xml:space="preserve">&amp; </w:t>
      </w:r>
      <w:r w:rsidR="00774A56" w:rsidRPr="00096F6D">
        <w:rPr>
          <w:sz w:val="22"/>
          <w:szCs w:val="22"/>
        </w:rPr>
        <w:t>Anja Van den Broeck</w:t>
      </w:r>
      <w:r w:rsidR="00774A56" w:rsidRPr="00096F6D">
        <w:rPr>
          <w:sz w:val="22"/>
          <w:szCs w:val="22"/>
          <w:vertAlign w:val="superscript"/>
        </w:rPr>
        <w:t>3</w:t>
      </w:r>
    </w:p>
    <w:p w14:paraId="58239208" w14:textId="77777777" w:rsidR="00D44CFB" w:rsidRDefault="00D44CFB" w:rsidP="00096F6D">
      <w:pPr>
        <w:pStyle w:val="ListParagraph"/>
        <w:spacing w:line="360" w:lineRule="auto"/>
        <w:rPr>
          <w:sz w:val="22"/>
          <w:szCs w:val="22"/>
        </w:rPr>
      </w:pPr>
    </w:p>
    <w:p w14:paraId="67A62EF2" w14:textId="77777777" w:rsidR="00D44CFB" w:rsidRPr="001A35B5" w:rsidRDefault="00D44CFB" w:rsidP="00447E44">
      <w:pPr>
        <w:pStyle w:val="ListParagraph"/>
        <w:numPr>
          <w:ilvl w:val="0"/>
          <w:numId w:val="7"/>
        </w:numPr>
        <w:spacing w:line="360" w:lineRule="auto"/>
        <w:rPr>
          <w:sz w:val="22"/>
          <w:szCs w:val="22"/>
        </w:rPr>
      </w:pPr>
      <w:r w:rsidRPr="001A35B5">
        <w:rPr>
          <w:sz w:val="22"/>
          <w:szCs w:val="22"/>
        </w:rPr>
        <w:t>University of York &amp; Hull York Medical School, UK.</w:t>
      </w:r>
    </w:p>
    <w:p w14:paraId="6D63E549" w14:textId="77777777" w:rsidR="00D44CFB" w:rsidRDefault="00D44CFB" w:rsidP="00447E44">
      <w:pPr>
        <w:pStyle w:val="ListParagraph"/>
        <w:numPr>
          <w:ilvl w:val="0"/>
          <w:numId w:val="7"/>
        </w:numPr>
        <w:spacing w:line="360" w:lineRule="auto"/>
        <w:rPr>
          <w:sz w:val="22"/>
          <w:szCs w:val="22"/>
        </w:rPr>
      </w:pPr>
      <w:proofErr w:type="spellStart"/>
      <w:r w:rsidRPr="001A35B5">
        <w:rPr>
          <w:sz w:val="22"/>
          <w:szCs w:val="22"/>
        </w:rPr>
        <w:t>Tees,</w:t>
      </w:r>
      <w:proofErr w:type="spellEnd"/>
      <w:r w:rsidRPr="001A35B5">
        <w:rPr>
          <w:sz w:val="22"/>
          <w:szCs w:val="22"/>
        </w:rPr>
        <w:t xml:space="preserve"> </w:t>
      </w:r>
      <w:proofErr w:type="spellStart"/>
      <w:r w:rsidRPr="001A35B5">
        <w:rPr>
          <w:sz w:val="22"/>
          <w:szCs w:val="22"/>
        </w:rPr>
        <w:t>Esk</w:t>
      </w:r>
      <w:proofErr w:type="spellEnd"/>
      <w:r w:rsidRPr="001A35B5">
        <w:rPr>
          <w:sz w:val="22"/>
          <w:szCs w:val="22"/>
        </w:rPr>
        <w:t xml:space="preserve"> and Wear Valleys NHS Foundation Trust. </w:t>
      </w:r>
    </w:p>
    <w:p w14:paraId="2C600686" w14:textId="77777777" w:rsidR="00D44CFB" w:rsidRPr="001A35B5" w:rsidRDefault="00D44CFB" w:rsidP="00447E44">
      <w:pPr>
        <w:pStyle w:val="ListParagraph"/>
        <w:numPr>
          <w:ilvl w:val="0"/>
          <w:numId w:val="7"/>
        </w:numPr>
        <w:spacing w:line="360" w:lineRule="auto"/>
        <w:rPr>
          <w:sz w:val="22"/>
          <w:szCs w:val="22"/>
        </w:rPr>
      </w:pPr>
      <w:r>
        <w:rPr>
          <w:sz w:val="22"/>
          <w:szCs w:val="22"/>
        </w:rPr>
        <w:t>KU</w:t>
      </w:r>
      <w:r w:rsidRPr="00447E44">
        <w:rPr>
          <w:sz w:val="22"/>
          <w:szCs w:val="22"/>
        </w:rPr>
        <w:t xml:space="preserve"> Leuven</w:t>
      </w:r>
      <w:r>
        <w:rPr>
          <w:sz w:val="22"/>
          <w:szCs w:val="22"/>
        </w:rPr>
        <w:t>, Belgium; North West University, South-Africa</w:t>
      </w:r>
    </w:p>
    <w:p w14:paraId="7AE716D2" w14:textId="77777777" w:rsidR="00D44CFB" w:rsidRDefault="00D44CFB" w:rsidP="00447E44">
      <w:pPr>
        <w:spacing w:line="360" w:lineRule="auto"/>
        <w:rPr>
          <w:sz w:val="22"/>
          <w:szCs w:val="22"/>
        </w:rPr>
      </w:pPr>
    </w:p>
    <w:p w14:paraId="0E6375D2" w14:textId="77777777" w:rsidR="00D44CFB" w:rsidRPr="001A35B5" w:rsidRDefault="00D44CFB" w:rsidP="00447E44">
      <w:pPr>
        <w:spacing w:line="360" w:lineRule="auto"/>
        <w:rPr>
          <w:sz w:val="22"/>
          <w:szCs w:val="22"/>
        </w:rPr>
      </w:pPr>
      <w:r w:rsidRPr="001A35B5">
        <w:rPr>
          <w:sz w:val="22"/>
          <w:szCs w:val="22"/>
        </w:rPr>
        <w:t>*</w:t>
      </w:r>
      <w:r>
        <w:rPr>
          <w:sz w:val="22"/>
          <w:szCs w:val="22"/>
        </w:rPr>
        <w:t xml:space="preserve"> </w:t>
      </w:r>
      <w:r w:rsidRPr="001A35B5">
        <w:rPr>
          <w:sz w:val="22"/>
          <w:szCs w:val="22"/>
        </w:rPr>
        <w:t>Corresponding author</w:t>
      </w:r>
      <w:r>
        <w:rPr>
          <w:sz w:val="22"/>
          <w:szCs w:val="22"/>
        </w:rPr>
        <w:t xml:space="preserve">. Contact details: </w:t>
      </w:r>
      <w:r w:rsidRPr="001A35B5">
        <w:rPr>
          <w:sz w:val="22"/>
          <w:szCs w:val="22"/>
        </w:rPr>
        <w:t>Mental Health and Addiction Research Group, Department of Health Sciences, University of York</w:t>
      </w:r>
      <w:r>
        <w:rPr>
          <w:sz w:val="22"/>
          <w:szCs w:val="22"/>
        </w:rPr>
        <w:t xml:space="preserve">, </w:t>
      </w:r>
      <w:r w:rsidRPr="001A35B5">
        <w:rPr>
          <w:sz w:val="22"/>
          <w:szCs w:val="22"/>
        </w:rPr>
        <w:t>Area 4, A/B/309, Alcuin Research Resource Centre</w:t>
      </w:r>
      <w:r>
        <w:rPr>
          <w:sz w:val="22"/>
          <w:szCs w:val="22"/>
        </w:rPr>
        <w:t xml:space="preserve">, </w:t>
      </w:r>
      <w:r w:rsidRPr="001A35B5">
        <w:rPr>
          <w:sz w:val="22"/>
          <w:szCs w:val="22"/>
        </w:rPr>
        <w:t>University of York</w:t>
      </w:r>
      <w:r>
        <w:rPr>
          <w:sz w:val="22"/>
          <w:szCs w:val="22"/>
        </w:rPr>
        <w:t xml:space="preserve">, </w:t>
      </w:r>
      <w:r w:rsidRPr="001A35B5">
        <w:rPr>
          <w:sz w:val="22"/>
          <w:szCs w:val="22"/>
        </w:rPr>
        <w:t>Heslington, York, YO10 5DD</w:t>
      </w:r>
      <w:r>
        <w:rPr>
          <w:sz w:val="22"/>
          <w:szCs w:val="22"/>
        </w:rPr>
        <w:t xml:space="preserve">, UK. Email: paul.tiffin@york.ac.uk </w:t>
      </w:r>
    </w:p>
    <w:p w14:paraId="18ABB2C3" w14:textId="77777777" w:rsidR="00D44CFB" w:rsidRDefault="00D44CFB" w:rsidP="00447E44">
      <w:pPr>
        <w:spacing w:line="360" w:lineRule="auto"/>
        <w:rPr>
          <w:sz w:val="22"/>
          <w:szCs w:val="22"/>
        </w:rPr>
      </w:pPr>
    </w:p>
    <w:p w14:paraId="0DF5A288" w14:textId="77777777" w:rsidR="00D44CFB" w:rsidRPr="00096F6D" w:rsidRDefault="00D44CFB" w:rsidP="00447E44">
      <w:pPr>
        <w:spacing w:line="360" w:lineRule="auto"/>
        <w:rPr>
          <w:b/>
          <w:bCs/>
          <w:sz w:val="22"/>
          <w:szCs w:val="22"/>
        </w:rPr>
      </w:pPr>
      <w:r>
        <w:rPr>
          <w:b/>
          <w:bCs/>
          <w:sz w:val="22"/>
          <w:szCs w:val="22"/>
        </w:rPr>
        <w:t xml:space="preserve">Introduction </w:t>
      </w:r>
    </w:p>
    <w:p w14:paraId="2368FE05" w14:textId="77777777" w:rsidR="00D44CFB" w:rsidRDefault="00D44CFB" w:rsidP="00DD0F3F">
      <w:pPr>
        <w:spacing w:line="360" w:lineRule="auto"/>
        <w:rPr>
          <w:sz w:val="22"/>
          <w:szCs w:val="22"/>
        </w:rPr>
      </w:pPr>
      <w:r>
        <w:rPr>
          <w:sz w:val="22"/>
          <w:szCs w:val="22"/>
        </w:rPr>
        <w:t>This Supplementary Material document contains additional results and some more detailed background information in relation to the Brief Research Report.</w:t>
      </w:r>
    </w:p>
    <w:p w14:paraId="0DE5CBA7" w14:textId="77777777" w:rsidR="00D44CFB" w:rsidRDefault="00D44CFB" w:rsidP="00DD0F3F">
      <w:pPr>
        <w:spacing w:line="360" w:lineRule="auto"/>
        <w:rPr>
          <w:sz w:val="22"/>
          <w:szCs w:val="22"/>
        </w:rPr>
      </w:pPr>
    </w:p>
    <w:p w14:paraId="43C2843C" w14:textId="77777777" w:rsidR="00D44CFB" w:rsidRPr="00FE3115" w:rsidRDefault="00D44CFB" w:rsidP="00DD0F3F">
      <w:pPr>
        <w:spacing w:line="360" w:lineRule="auto"/>
        <w:rPr>
          <w:b/>
          <w:bCs/>
          <w:sz w:val="22"/>
          <w:szCs w:val="22"/>
        </w:rPr>
      </w:pPr>
      <w:r w:rsidRPr="00FE3115">
        <w:rPr>
          <w:b/>
          <w:bCs/>
          <w:sz w:val="22"/>
          <w:szCs w:val="22"/>
        </w:rPr>
        <w:t>Section S1: Description of Self-Determination Theory and rationale for the study</w:t>
      </w:r>
    </w:p>
    <w:p w14:paraId="1857BEFA" w14:textId="77777777" w:rsidR="00D44CFB" w:rsidRPr="00C236B5" w:rsidRDefault="00D44CFB" w:rsidP="00C236B5">
      <w:pPr>
        <w:autoSpaceDE w:val="0"/>
        <w:autoSpaceDN w:val="0"/>
        <w:adjustRightInd w:val="0"/>
        <w:spacing w:after="0" w:line="360" w:lineRule="auto"/>
        <w:rPr>
          <w:sz w:val="22"/>
          <w:szCs w:val="22"/>
        </w:rPr>
      </w:pPr>
      <w:r w:rsidRPr="00A53CEA">
        <w:rPr>
          <w:kern w:val="0"/>
          <w:sz w:val="22"/>
          <w:szCs w:val="22"/>
        </w:rPr>
        <w:t xml:space="preserve">Self-Determination Theory (SDT) postulates </w:t>
      </w:r>
      <w:r>
        <w:rPr>
          <w:kern w:val="0"/>
          <w:sz w:val="22"/>
          <w:szCs w:val="22"/>
        </w:rPr>
        <w:t xml:space="preserve">that there are </w:t>
      </w:r>
      <w:r w:rsidRPr="00A53CEA">
        <w:rPr>
          <w:kern w:val="0"/>
          <w:sz w:val="22"/>
          <w:szCs w:val="22"/>
        </w:rPr>
        <w:t xml:space="preserve">three innate psychological needs. </w:t>
      </w:r>
      <w:r>
        <w:rPr>
          <w:kern w:val="0"/>
          <w:sz w:val="22"/>
          <w:szCs w:val="22"/>
        </w:rPr>
        <w:t>It is theorised that t</w:t>
      </w:r>
      <w:r w:rsidRPr="00A53CEA">
        <w:rPr>
          <w:kern w:val="0"/>
          <w:sz w:val="22"/>
          <w:szCs w:val="22"/>
        </w:rPr>
        <w:t xml:space="preserve">hese have to be satisfied for individuals to </w:t>
      </w:r>
      <w:r>
        <w:rPr>
          <w:kern w:val="0"/>
          <w:sz w:val="22"/>
          <w:szCs w:val="22"/>
        </w:rPr>
        <w:t>function optimally</w:t>
      </w:r>
      <w:r w:rsidRPr="00A53CEA">
        <w:rPr>
          <w:kern w:val="0"/>
          <w:sz w:val="22"/>
          <w:szCs w:val="22"/>
        </w:rPr>
        <w:t xml:space="preserve"> </w:t>
      </w:r>
      <w:r>
        <w:rPr>
          <w:noProof/>
          <w:kern w:val="0"/>
          <w:sz w:val="22"/>
          <w:szCs w:val="22"/>
        </w:rPr>
        <w:t>(Deci &amp; Ryan, 2000; Deci, Ryan, &amp; Vansteenkiste, 2008)</w:t>
      </w:r>
      <w:r w:rsidRPr="00A53CEA">
        <w:rPr>
          <w:kern w:val="0"/>
          <w:sz w:val="22"/>
          <w:szCs w:val="22"/>
        </w:rPr>
        <w:t xml:space="preserve">. These are the need for: </w:t>
      </w:r>
      <w:r w:rsidRPr="00A53CEA">
        <w:rPr>
          <w:i/>
          <w:kern w:val="0"/>
          <w:sz w:val="22"/>
          <w:szCs w:val="22"/>
        </w:rPr>
        <w:t>autonomy</w:t>
      </w:r>
      <w:r w:rsidRPr="00A53CEA">
        <w:rPr>
          <w:kern w:val="0"/>
          <w:sz w:val="22"/>
          <w:szCs w:val="22"/>
        </w:rPr>
        <w:t xml:space="preserve"> (i.e. a sense that one is generally in control of one’s destiny; </w:t>
      </w:r>
      <w:r w:rsidRPr="00A53CEA">
        <w:rPr>
          <w:i/>
          <w:kern w:val="0"/>
          <w:sz w:val="22"/>
          <w:szCs w:val="22"/>
        </w:rPr>
        <w:t>competence</w:t>
      </w:r>
      <w:r w:rsidRPr="00A53CEA">
        <w:rPr>
          <w:kern w:val="0"/>
          <w:sz w:val="22"/>
          <w:szCs w:val="22"/>
        </w:rPr>
        <w:t xml:space="preserve"> (i.e. a feeling that one is personally effective), and; </w:t>
      </w:r>
      <w:r w:rsidRPr="00A53CEA">
        <w:rPr>
          <w:i/>
          <w:kern w:val="0"/>
          <w:sz w:val="22"/>
          <w:szCs w:val="22"/>
        </w:rPr>
        <w:t>relatedness</w:t>
      </w:r>
      <w:r w:rsidRPr="00A53CEA">
        <w:rPr>
          <w:kern w:val="0"/>
          <w:sz w:val="22"/>
          <w:szCs w:val="22"/>
        </w:rPr>
        <w:t xml:space="preserve"> (i.e. feeling socially connected to others). There is evidence that an experience of having these needs met is associated with </w:t>
      </w:r>
      <w:r>
        <w:rPr>
          <w:kern w:val="0"/>
          <w:sz w:val="22"/>
          <w:szCs w:val="22"/>
        </w:rPr>
        <w:t xml:space="preserve">positive </w:t>
      </w:r>
      <w:r w:rsidRPr="00A53CEA">
        <w:rPr>
          <w:kern w:val="0"/>
          <w:sz w:val="22"/>
          <w:szCs w:val="22"/>
        </w:rPr>
        <w:t xml:space="preserve">outcomes in terms of both wellbeing and functioning </w:t>
      </w:r>
      <w:r>
        <w:rPr>
          <w:noProof/>
          <w:kern w:val="0"/>
          <w:sz w:val="22"/>
          <w:szCs w:val="22"/>
        </w:rPr>
        <w:t>(Olafsen, 2017; Van den Broeck et al., 2016; Vansteenkiste, Soenens, &amp; Ryan, 2023)</w:t>
      </w:r>
      <w:r>
        <w:rPr>
          <w:kern w:val="0"/>
          <w:sz w:val="22"/>
          <w:szCs w:val="22"/>
        </w:rPr>
        <w:t xml:space="preserve">. This theoretical framework can also be applied to the workplace </w:t>
      </w:r>
      <w:r>
        <w:rPr>
          <w:noProof/>
          <w:kern w:val="0"/>
          <w:sz w:val="22"/>
          <w:szCs w:val="22"/>
        </w:rPr>
        <w:t>(Van den Broeck et al., 2016)</w:t>
      </w:r>
      <w:r>
        <w:rPr>
          <w:kern w:val="0"/>
          <w:sz w:val="22"/>
          <w:szCs w:val="22"/>
        </w:rPr>
        <w:t xml:space="preserve">. Indeed, there is evidence, including one meta-analytic study, that the meeting (or frustration) of these SDT-defined needs is also related to work-related satisfaction and effectiveness </w:t>
      </w:r>
      <w:r>
        <w:rPr>
          <w:noProof/>
          <w:kern w:val="0"/>
          <w:sz w:val="22"/>
          <w:szCs w:val="22"/>
        </w:rPr>
        <w:t xml:space="preserve">(Coxen et al., 2021; Van den Broeck et al., 2017; </w:t>
      </w:r>
      <w:r>
        <w:rPr>
          <w:noProof/>
          <w:kern w:val="0"/>
          <w:sz w:val="22"/>
          <w:szCs w:val="22"/>
        </w:rPr>
        <w:lastRenderedPageBreak/>
        <w:t>Van den Broeck et al., 2016)</w:t>
      </w:r>
      <w:r w:rsidRPr="00096F6D">
        <w:rPr>
          <w:kern w:val="0"/>
          <w:sz w:val="22"/>
          <w:szCs w:val="22"/>
          <w:lang w:val="nl-BE"/>
        </w:rPr>
        <w:t xml:space="preserve">. </w:t>
      </w:r>
      <w:r>
        <w:rPr>
          <w:kern w:val="0"/>
          <w:sz w:val="22"/>
          <w:szCs w:val="22"/>
          <w:lang w:val="nl-BE"/>
        </w:rPr>
        <w:t>Thus, SDT</w:t>
      </w:r>
      <w:r w:rsidRPr="00C236B5">
        <w:rPr>
          <w:sz w:val="22"/>
          <w:szCs w:val="22"/>
        </w:rPr>
        <w:t xml:space="preserve"> is likely to be a useful framework for understanding staff satisfaction </w:t>
      </w:r>
      <w:r>
        <w:rPr>
          <w:sz w:val="22"/>
          <w:szCs w:val="22"/>
        </w:rPr>
        <w:t xml:space="preserve">in a workplace setting </w:t>
      </w:r>
      <w:r w:rsidRPr="00C236B5">
        <w:rPr>
          <w:sz w:val="22"/>
          <w:szCs w:val="22"/>
        </w:rPr>
        <w:t>for three main reasons:</w:t>
      </w:r>
    </w:p>
    <w:p w14:paraId="794633BD" w14:textId="77777777" w:rsidR="00D44CFB" w:rsidRPr="00C236B5" w:rsidRDefault="00D44CFB" w:rsidP="00C236B5">
      <w:pPr>
        <w:autoSpaceDE w:val="0"/>
        <w:autoSpaceDN w:val="0"/>
        <w:adjustRightInd w:val="0"/>
        <w:spacing w:after="0" w:line="360" w:lineRule="auto"/>
        <w:rPr>
          <w:sz w:val="22"/>
          <w:szCs w:val="22"/>
        </w:rPr>
      </w:pPr>
    </w:p>
    <w:p w14:paraId="153BDF56" w14:textId="77777777" w:rsidR="00D44CFB" w:rsidRDefault="00D44CFB" w:rsidP="00C236B5">
      <w:pPr>
        <w:autoSpaceDE w:val="0"/>
        <w:autoSpaceDN w:val="0"/>
        <w:adjustRightInd w:val="0"/>
        <w:spacing w:after="0" w:line="360" w:lineRule="auto"/>
        <w:rPr>
          <w:sz w:val="22"/>
          <w:szCs w:val="22"/>
        </w:rPr>
      </w:pPr>
      <w:r w:rsidRPr="00C236B5">
        <w:rPr>
          <w:sz w:val="22"/>
          <w:szCs w:val="22"/>
        </w:rPr>
        <w:t>1.</w:t>
      </w:r>
      <w:r w:rsidRPr="00C236B5">
        <w:rPr>
          <w:sz w:val="22"/>
          <w:szCs w:val="22"/>
        </w:rPr>
        <w:tab/>
        <w:t>S</w:t>
      </w:r>
      <w:r>
        <w:rPr>
          <w:sz w:val="22"/>
          <w:szCs w:val="22"/>
        </w:rPr>
        <w:t>DT</w:t>
      </w:r>
      <w:r w:rsidRPr="00C236B5">
        <w:rPr>
          <w:sz w:val="22"/>
          <w:szCs w:val="22"/>
        </w:rPr>
        <w:t xml:space="preserve"> is a</w:t>
      </w:r>
      <w:r>
        <w:rPr>
          <w:sz w:val="22"/>
          <w:szCs w:val="22"/>
        </w:rPr>
        <w:t>lready a</w:t>
      </w:r>
      <w:r w:rsidRPr="00C236B5">
        <w:rPr>
          <w:sz w:val="22"/>
          <w:szCs w:val="22"/>
        </w:rPr>
        <w:t xml:space="preserve"> well-established theoretical framework which outlines three distinct</w:t>
      </w:r>
      <w:r>
        <w:rPr>
          <w:sz w:val="22"/>
          <w:szCs w:val="22"/>
        </w:rPr>
        <w:t>,</w:t>
      </w:r>
      <w:r w:rsidRPr="00C236B5">
        <w:rPr>
          <w:sz w:val="22"/>
          <w:szCs w:val="22"/>
        </w:rPr>
        <w:t xml:space="preserve"> but related</w:t>
      </w:r>
      <w:r>
        <w:rPr>
          <w:sz w:val="22"/>
          <w:szCs w:val="22"/>
        </w:rPr>
        <w:t>,</w:t>
      </w:r>
      <w:r w:rsidRPr="00C236B5">
        <w:rPr>
          <w:sz w:val="22"/>
          <w:szCs w:val="22"/>
        </w:rPr>
        <w:t xml:space="preserve"> areas related to life satisfaction.</w:t>
      </w:r>
      <w:r>
        <w:rPr>
          <w:sz w:val="22"/>
          <w:szCs w:val="22"/>
        </w:rPr>
        <w:t xml:space="preserve"> These could be potentially translated and applied to a workplace setting.</w:t>
      </w:r>
    </w:p>
    <w:p w14:paraId="34F39B84" w14:textId="77777777" w:rsidR="00D44CFB" w:rsidRPr="00C236B5" w:rsidRDefault="00D44CFB" w:rsidP="00C236B5">
      <w:pPr>
        <w:autoSpaceDE w:val="0"/>
        <w:autoSpaceDN w:val="0"/>
        <w:adjustRightInd w:val="0"/>
        <w:spacing w:after="0" w:line="360" w:lineRule="auto"/>
        <w:rPr>
          <w:sz w:val="22"/>
          <w:szCs w:val="22"/>
        </w:rPr>
      </w:pPr>
    </w:p>
    <w:p w14:paraId="00A1F66A" w14:textId="77777777" w:rsidR="00D44CFB" w:rsidRDefault="00D44CFB" w:rsidP="00C236B5">
      <w:pPr>
        <w:autoSpaceDE w:val="0"/>
        <w:autoSpaceDN w:val="0"/>
        <w:adjustRightInd w:val="0"/>
        <w:spacing w:after="0" w:line="360" w:lineRule="auto"/>
        <w:rPr>
          <w:sz w:val="22"/>
          <w:szCs w:val="22"/>
        </w:rPr>
      </w:pPr>
      <w:r w:rsidRPr="00C236B5">
        <w:rPr>
          <w:sz w:val="22"/>
          <w:szCs w:val="22"/>
        </w:rPr>
        <w:t>2.</w:t>
      </w:r>
      <w:r w:rsidRPr="00C236B5">
        <w:rPr>
          <w:sz w:val="22"/>
          <w:szCs w:val="22"/>
        </w:rPr>
        <w:tab/>
        <w:t xml:space="preserve">The distinctness of these areas </w:t>
      </w:r>
      <w:r>
        <w:rPr>
          <w:sz w:val="22"/>
          <w:szCs w:val="22"/>
        </w:rPr>
        <w:t xml:space="preserve">of SDT-orientated need </w:t>
      </w:r>
      <w:r w:rsidRPr="00C236B5">
        <w:rPr>
          <w:sz w:val="22"/>
          <w:szCs w:val="22"/>
        </w:rPr>
        <w:t>has been supported by</w:t>
      </w:r>
      <w:r>
        <w:rPr>
          <w:sz w:val="22"/>
          <w:szCs w:val="22"/>
        </w:rPr>
        <w:t xml:space="preserve"> prior</w:t>
      </w:r>
      <w:r w:rsidRPr="00C236B5">
        <w:rPr>
          <w:sz w:val="22"/>
          <w:szCs w:val="22"/>
        </w:rPr>
        <w:t xml:space="preserve"> empirical evidence, e.g. via factor analytic studies.</w:t>
      </w:r>
      <w:r>
        <w:rPr>
          <w:sz w:val="22"/>
          <w:szCs w:val="22"/>
        </w:rPr>
        <w:t xml:space="preserve"> The measurement of the extent to which an employee feels that these needs are met, or unmet, could yield valuable information to organisations about staff morale. </w:t>
      </w:r>
    </w:p>
    <w:p w14:paraId="607703B8" w14:textId="77777777" w:rsidR="00D44CFB" w:rsidRPr="00C236B5" w:rsidRDefault="00D44CFB" w:rsidP="00C236B5">
      <w:pPr>
        <w:autoSpaceDE w:val="0"/>
        <w:autoSpaceDN w:val="0"/>
        <w:adjustRightInd w:val="0"/>
        <w:spacing w:after="0" w:line="360" w:lineRule="auto"/>
        <w:rPr>
          <w:sz w:val="22"/>
          <w:szCs w:val="22"/>
        </w:rPr>
      </w:pPr>
    </w:p>
    <w:p w14:paraId="50D68110" w14:textId="77777777" w:rsidR="00D44CFB" w:rsidRDefault="00D44CFB" w:rsidP="00C236B5">
      <w:pPr>
        <w:autoSpaceDE w:val="0"/>
        <w:autoSpaceDN w:val="0"/>
        <w:adjustRightInd w:val="0"/>
        <w:spacing w:after="0" w:line="360" w:lineRule="auto"/>
        <w:rPr>
          <w:sz w:val="22"/>
          <w:szCs w:val="22"/>
        </w:rPr>
      </w:pPr>
      <w:r w:rsidRPr="00C236B5">
        <w:rPr>
          <w:sz w:val="22"/>
          <w:szCs w:val="22"/>
        </w:rPr>
        <w:t>3.</w:t>
      </w:r>
      <w:r w:rsidRPr="00C236B5">
        <w:rPr>
          <w:sz w:val="22"/>
          <w:szCs w:val="22"/>
        </w:rPr>
        <w:tab/>
        <w:t>SDT thus provides a strong framework to guide workforce policy and interventions related to employee work satisfaction.</w:t>
      </w:r>
      <w:r>
        <w:rPr>
          <w:sz w:val="22"/>
          <w:szCs w:val="22"/>
        </w:rPr>
        <w:t xml:space="preserve"> These could be potentially tailored to the area or areas of need perceived as most satisfied or frustrated. </w:t>
      </w:r>
      <w:r w:rsidRPr="00C236B5">
        <w:rPr>
          <w:sz w:val="22"/>
          <w:szCs w:val="22"/>
        </w:rPr>
        <w:t xml:space="preserve">  </w:t>
      </w:r>
    </w:p>
    <w:p w14:paraId="5022123C" w14:textId="77777777" w:rsidR="00D44CFB" w:rsidRDefault="00D44CFB" w:rsidP="006237A9">
      <w:pPr>
        <w:autoSpaceDE w:val="0"/>
        <w:autoSpaceDN w:val="0"/>
        <w:adjustRightInd w:val="0"/>
        <w:spacing w:after="0" w:line="360" w:lineRule="auto"/>
        <w:rPr>
          <w:sz w:val="22"/>
          <w:szCs w:val="22"/>
        </w:rPr>
      </w:pPr>
    </w:p>
    <w:p w14:paraId="46227651" w14:textId="77777777" w:rsidR="00D44CFB" w:rsidRDefault="00D44CFB" w:rsidP="006237A9">
      <w:pPr>
        <w:autoSpaceDE w:val="0"/>
        <w:autoSpaceDN w:val="0"/>
        <w:adjustRightInd w:val="0"/>
        <w:spacing w:after="0" w:line="360" w:lineRule="auto"/>
        <w:rPr>
          <w:sz w:val="22"/>
          <w:szCs w:val="22"/>
        </w:rPr>
      </w:pPr>
      <w:r w:rsidRPr="00096F6D">
        <w:rPr>
          <w:kern w:val="0"/>
          <w:sz w:val="22"/>
          <w:szCs w:val="22"/>
          <w:lang w:val="nl-BE"/>
        </w:rPr>
        <w:t>Th</w:t>
      </w:r>
      <w:r>
        <w:rPr>
          <w:kern w:val="0"/>
          <w:sz w:val="22"/>
          <w:szCs w:val="22"/>
          <w:lang w:val="nl-BE"/>
        </w:rPr>
        <w:t xml:space="preserve">ese reasons have </w:t>
      </w:r>
      <w:r w:rsidRPr="00096F6D">
        <w:rPr>
          <w:kern w:val="0"/>
          <w:sz w:val="22"/>
          <w:szCs w:val="22"/>
          <w:lang w:val="nl-BE"/>
        </w:rPr>
        <w:t>inspired attempts t</w:t>
      </w:r>
      <w:r w:rsidRPr="00096F6D">
        <w:rPr>
          <w:kern w:val="0"/>
          <w:sz w:val="22"/>
          <w:szCs w:val="22"/>
          <w:lang w:val="en-US"/>
        </w:rPr>
        <w:t xml:space="preserve">o develop measures that specifically capture work-related satisfaction from an SDT perspective, such as the </w:t>
      </w:r>
      <w:r w:rsidRPr="00096F6D">
        <w:rPr>
          <w:sz w:val="22"/>
          <w:szCs w:val="22"/>
          <w:lang w:val="en-US"/>
        </w:rPr>
        <w:t>Work-related Basic Need Satisfaction scale (W-BNS)</w:t>
      </w:r>
      <w:r>
        <w:rPr>
          <w:noProof/>
          <w:sz w:val="22"/>
          <w:szCs w:val="22"/>
        </w:rPr>
        <w:t xml:space="preserve"> (Van den Broeck et al., 2010)</w:t>
      </w:r>
      <w:r w:rsidRPr="00A53CEA">
        <w:rPr>
          <w:sz w:val="22"/>
          <w:szCs w:val="22"/>
        </w:rPr>
        <w:t>.</w:t>
      </w:r>
    </w:p>
    <w:p w14:paraId="3321D832" w14:textId="77777777" w:rsidR="00D44CFB" w:rsidRDefault="00D44CFB" w:rsidP="00E20CA4">
      <w:pPr>
        <w:autoSpaceDE w:val="0"/>
        <w:autoSpaceDN w:val="0"/>
        <w:adjustRightInd w:val="0"/>
        <w:spacing w:after="0" w:line="360" w:lineRule="auto"/>
        <w:rPr>
          <w:sz w:val="22"/>
          <w:szCs w:val="22"/>
        </w:rPr>
      </w:pPr>
    </w:p>
    <w:p w14:paraId="346FB6AE" w14:textId="77777777" w:rsidR="00D44CFB" w:rsidRPr="00FE3115" w:rsidRDefault="00D44CFB" w:rsidP="00FE3115">
      <w:pPr>
        <w:spacing w:line="360" w:lineRule="auto"/>
        <w:rPr>
          <w:b/>
          <w:bCs/>
          <w:sz w:val="22"/>
          <w:szCs w:val="22"/>
        </w:rPr>
      </w:pPr>
      <w:r w:rsidRPr="00FE3115">
        <w:rPr>
          <w:b/>
          <w:bCs/>
          <w:sz w:val="22"/>
          <w:szCs w:val="22"/>
        </w:rPr>
        <w:t>Section S</w:t>
      </w:r>
      <w:r>
        <w:rPr>
          <w:b/>
          <w:bCs/>
          <w:sz w:val="22"/>
          <w:szCs w:val="22"/>
        </w:rPr>
        <w:t>2</w:t>
      </w:r>
      <w:r w:rsidRPr="00FE3115">
        <w:rPr>
          <w:b/>
          <w:bCs/>
          <w:sz w:val="22"/>
          <w:szCs w:val="22"/>
        </w:rPr>
        <w:t xml:space="preserve">: Description of </w:t>
      </w:r>
      <w:r>
        <w:rPr>
          <w:b/>
          <w:bCs/>
          <w:sz w:val="22"/>
          <w:szCs w:val="22"/>
        </w:rPr>
        <w:t>the Rasch model and approach to item response modelling</w:t>
      </w:r>
    </w:p>
    <w:p w14:paraId="3CBFF3BF" w14:textId="77777777" w:rsidR="00D44CFB" w:rsidRDefault="00D44CFB" w:rsidP="00FE3115">
      <w:pPr>
        <w:tabs>
          <w:tab w:val="left" w:pos="5085"/>
        </w:tabs>
        <w:spacing w:line="360" w:lineRule="auto"/>
        <w:rPr>
          <w:kern w:val="0"/>
          <w:sz w:val="22"/>
          <w:szCs w:val="22"/>
        </w:rPr>
      </w:pPr>
      <w:r>
        <w:rPr>
          <w:kern w:val="0"/>
          <w:sz w:val="22"/>
          <w:szCs w:val="22"/>
        </w:rPr>
        <w:t xml:space="preserve">Item response theory (IRT) is an approach to psychometrics that conceptualises responses to psychological assessments in a probabilistic manner. That is, the particular response observed for a particular test-taker to a specific item is postulated to be due to chance, the level of the trait or ability in the respondent under evaluation, and the particular qualities of that item. In the latter case different IRT models make different assumptions about item qualities. For example, the three parameter IRT model assumes that each item has a certain propensity to be correctly guessed (in the care of knowledge or ability tests), a certain difficulty (that is candidates who are higher on the trait or ability are more likely to endorse, or correctly answer) and a specific discrimination quality (the ability of an item to discriminate between test-takers with different levels of the trait or ability under examination. These traits or abilities are postulated to be (usually normally distributed) latent traits, that cannot be observed or measured directly, only via the observed responses to psychological test items. For a fairly non-technical introduction to IRT please see Livingston, 2020 </w:t>
      </w:r>
      <w:r>
        <w:rPr>
          <w:noProof/>
          <w:kern w:val="0"/>
          <w:sz w:val="22"/>
          <w:szCs w:val="22"/>
        </w:rPr>
        <w:t>(Livingston, 2020)</w:t>
      </w:r>
      <w:r>
        <w:rPr>
          <w:kern w:val="0"/>
          <w:sz w:val="22"/>
          <w:szCs w:val="22"/>
        </w:rPr>
        <w:t xml:space="preserve">. </w:t>
      </w:r>
    </w:p>
    <w:p w14:paraId="2AF6CB9E" w14:textId="77777777" w:rsidR="00D44CFB" w:rsidRDefault="00D44CFB" w:rsidP="00FE3115">
      <w:pPr>
        <w:tabs>
          <w:tab w:val="left" w:pos="5085"/>
        </w:tabs>
        <w:spacing w:line="360" w:lineRule="auto"/>
        <w:rPr>
          <w:kern w:val="0"/>
          <w:sz w:val="22"/>
          <w:szCs w:val="22"/>
        </w:rPr>
      </w:pPr>
      <w:r>
        <w:rPr>
          <w:sz w:val="22"/>
          <w:szCs w:val="22"/>
        </w:rPr>
        <w:t xml:space="preserve">The Rasch model is a special case of an IRT model in that that items are only postulated to have one parameter- ‘difficulty’ </w:t>
      </w:r>
      <w:r>
        <w:rPr>
          <w:noProof/>
          <w:sz w:val="22"/>
          <w:szCs w:val="22"/>
        </w:rPr>
        <w:t>(Rasch, 1960)</w:t>
      </w:r>
      <w:r w:rsidRPr="004D10D7">
        <w:rPr>
          <w:sz w:val="22"/>
          <w:szCs w:val="22"/>
        </w:rPr>
        <w:t>.</w:t>
      </w:r>
      <w:r>
        <w:rPr>
          <w:sz w:val="22"/>
          <w:szCs w:val="22"/>
        </w:rPr>
        <w:t xml:space="preserve"> Thus, the Rasch approach conceptualises the </w:t>
      </w:r>
      <w:r>
        <w:rPr>
          <w:sz w:val="22"/>
          <w:szCs w:val="22"/>
        </w:rPr>
        <w:lastRenderedPageBreak/>
        <w:t>probability (or odds) of observing a particular response category from a specific test-taker as due only to chance, the difficulty of the item and the ability (or trait level) of the test-taker. Of course, when considering ability or knowledge tests the term ‘item difficulty’ (or ‘facility’) makes sense. However, IRT is also applied to psychological tests evaluating attitudes or other qualities, such as personality traits. In these cases the term item ‘difficulty’ if often replaced with ‘commonality’ or ‘</w:t>
      </w:r>
      <w:proofErr w:type="spellStart"/>
      <w:r>
        <w:rPr>
          <w:sz w:val="22"/>
          <w:szCs w:val="22"/>
        </w:rPr>
        <w:t>endorsibility</w:t>
      </w:r>
      <w:proofErr w:type="spellEnd"/>
      <w:r>
        <w:rPr>
          <w:sz w:val="22"/>
          <w:szCs w:val="22"/>
        </w:rPr>
        <w:t xml:space="preserve">’. For example, a questionnaire may measure political views on a dimension of ‘conservative’ to ‘liberal’. Some items (e.g. “I believe all illegal drugs should be decriminalised’) may only be frequently observed to be endorsed by test-takers high on the trait of ‘liberalism’.   </w:t>
      </w:r>
    </w:p>
    <w:p w14:paraId="58EE2F15" w14:textId="77777777" w:rsidR="00D44CFB" w:rsidRDefault="00D44CFB" w:rsidP="00FE3115">
      <w:pPr>
        <w:tabs>
          <w:tab w:val="left" w:pos="5085"/>
        </w:tabs>
        <w:spacing w:line="360" w:lineRule="auto"/>
        <w:rPr>
          <w:sz w:val="22"/>
          <w:szCs w:val="22"/>
        </w:rPr>
      </w:pPr>
      <w:r>
        <w:rPr>
          <w:kern w:val="0"/>
          <w:sz w:val="22"/>
          <w:szCs w:val="22"/>
        </w:rPr>
        <w:t xml:space="preserve">The Rasch model makes strong assumptions; mainly that a scale or test evaluates only a single underlying dimension (factor). The other key assumption made by the Rasch model, is that all items in a scale have the same discrimination values. However, these strong assumptions, if at least approximately fulfilled, give the Rasch model unique qualities not shared by more complex IRT models. For example, a Rasch analysis can indicate whether the scores from a scale exhibit ‘simple summed sufficiency’; that is that the total score contains all the necessary information to discriminate between test-takers. Moreover, instruments where responses conform to the Rasch model can have their scores converted to a common, additive unit of measurement (the log-odds unit, or ‘logit’). </w:t>
      </w:r>
      <w:r>
        <w:rPr>
          <w:sz w:val="22"/>
          <w:szCs w:val="22"/>
        </w:rPr>
        <w:t>The concepts of ‘infit’ and ‘outfit’ are unique to Rasch. ‘F</w:t>
      </w:r>
      <w:r w:rsidRPr="004D10D7">
        <w:rPr>
          <w:sz w:val="22"/>
          <w:szCs w:val="22"/>
        </w:rPr>
        <w:t>it’ in this sense refers to wh</w:t>
      </w:r>
      <w:r>
        <w:rPr>
          <w:sz w:val="22"/>
          <w:szCs w:val="22"/>
        </w:rPr>
        <w:t xml:space="preserve">ether </w:t>
      </w:r>
      <w:r w:rsidRPr="004D10D7">
        <w:rPr>
          <w:sz w:val="22"/>
          <w:szCs w:val="22"/>
        </w:rPr>
        <w:t>the item responses follow a</w:t>
      </w:r>
      <w:r>
        <w:rPr>
          <w:sz w:val="22"/>
          <w:szCs w:val="22"/>
        </w:rPr>
        <w:t xml:space="preserve"> </w:t>
      </w:r>
      <w:r w:rsidRPr="004D10D7">
        <w:rPr>
          <w:sz w:val="22"/>
          <w:szCs w:val="22"/>
        </w:rPr>
        <w:t>Guttman sequence That is, as the ability or trait</w:t>
      </w:r>
      <w:r>
        <w:rPr>
          <w:sz w:val="22"/>
          <w:szCs w:val="22"/>
        </w:rPr>
        <w:t xml:space="preserve"> </w:t>
      </w:r>
      <w:r w:rsidRPr="004D10D7">
        <w:rPr>
          <w:sz w:val="22"/>
          <w:szCs w:val="22"/>
        </w:rPr>
        <w:t>increases the respondent or test-taker tends to be observed to</w:t>
      </w:r>
      <w:r>
        <w:rPr>
          <w:sz w:val="22"/>
          <w:szCs w:val="22"/>
        </w:rPr>
        <w:t xml:space="preserve"> </w:t>
      </w:r>
      <w:r w:rsidRPr="004D10D7">
        <w:rPr>
          <w:sz w:val="22"/>
          <w:szCs w:val="22"/>
        </w:rPr>
        <w:t>give a higher scoring category of response, allowing for the play</w:t>
      </w:r>
      <w:r>
        <w:rPr>
          <w:sz w:val="22"/>
          <w:szCs w:val="22"/>
        </w:rPr>
        <w:t xml:space="preserve"> </w:t>
      </w:r>
      <w:r w:rsidRPr="004D10D7">
        <w:rPr>
          <w:sz w:val="22"/>
          <w:szCs w:val="22"/>
        </w:rPr>
        <w:t>of chance, e.g.,001010111222122122222332333. Items where</w:t>
      </w:r>
      <w:r>
        <w:rPr>
          <w:sz w:val="22"/>
          <w:szCs w:val="22"/>
        </w:rPr>
        <w:t xml:space="preserve"> </w:t>
      </w:r>
      <w:r w:rsidRPr="004D10D7">
        <w:rPr>
          <w:sz w:val="22"/>
          <w:szCs w:val="22"/>
        </w:rPr>
        <w:t>responses are too predictable ‘overfit’ the model. Those that are</w:t>
      </w:r>
      <w:r>
        <w:rPr>
          <w:sz w:val="22"/>
          <w:szCs w:val="22"/>
        </w:rPr>
        <w:t xml:space="preserve"> </w:t>
      </w:r>
      <w:r w:rsidRPr="004D10D7">
        <w:rPr>
          <w:sz w:val="22"/>
          <w:szCs w:val="22"/>
        </w:rPr>
        <w:t xml:space="preserve">more erratic are </w:t>
      </w:r>
      <w:r>
        <w:rPr>
          <w:sz w:val="22"/>
          <w:szCs w:val="22"/>
        </w:rPr>
        <w:t xml:space="preserve">conceptualised as </w:t>
      </w:r>
      <w:r w:rsidRPr="004D10D7">
        <w:rPr>
          <w:sz w:val="22"/>
          <w:szCs w:val="22"/>
        </w:rPr>
        <w:t>‘underfitting.’ The former tends to</w:t>
      </w:r>
      <w:r>
        <w:rPr>
          <w:sz w:val="22"/>
          <w:szCs w:val="22"/>
        </w:rPr>
        <w:t xml:space="preserve"> </w:t>
      </w:r>
      <w:r w:rsidRPr="004D10D7">
        <w:rPr>
          <w:sz w:val="22"/>
          <w:szCs w:val="22"/>
        </w:rPr>
        <w:t>indicate redundant items</w:t>
      </w:r>
      <w:r>
        <w:rPr>
          <w:sz w:val="22"/>
          <w:szCs w:val="22"/>
        </w:rPr>
        <w:t xml:space="preserve"> that add little information to a scale</w:t>
      </w:r>
      <w:r w:rsidRPr="004D10D7">
        <w:rPr>
          <w:sz w:val="22"/>
          <w:szCs w:val="22"/>
        </w:rPr>
        <w:t>.</w:t>
      </w:r>
      <w:r>
        <w:rPr>
          <w:sz w:val="22"/>
          <w:szCs w:val="22"/>
        </w:rPr>
        <w:t xml:space="preserve"> In contrast u</w:t>
      </w:r>
      <w:r w:rsidRPr="004D10D7">
        <w:rPr>
          <w:sz w:val="22"/>
          <w:szCs w:val="22"/>
        </w:rPr>
        <w:t>nderfitting items can distort or degrade the</w:t>
      </w:r>
      <w:r>
        <w:rPr>
          <w:sz w:val="22"/>
          <w:szCs w:val="22"/>
        </w:rPr>
        <w:t xml:space="preserve"> </w:t>
      </w:r>
      <w:r w:rsidRPr="004D10D7">
        <w:rPr>
          <w:sz w:val="22"/>
          <w:szCs w:val="22"/>
        </w:rPr>
        <w:t>measurement properties of the scale. ‘Infit’ refers to fit where an</w:t>
      </w:r>
      <w:r>
        <w:rPr>
          <w:sz w:val="22"/>
          <w:szCs w:val="22"/>
        </w:rPr>
        <w:t xml:space="preserve"> </w:t>
      </w:r>
      <w:r w:rsidRPr="004D10D7">
        <w:rPr>
          <w:sz w:val="22"/>
          <w:szCs w:val="22"/>
        </w:rPr>
        <w:t>item ‘difficulty’ is well matched to the level of trait or ability in a</w:t>
      </w:r>
      <w:r>
        <w:rPr>
          <w:sz w:val="22"/>
          <w:szCs w:val="22"/>
        </w:rPr>
        <w:t xml:space="preserve"> </w:t>
      </w:r>
      <w:r w:rsidRPr="004D10D7">
        <w:rPr>
          <w:sz w:val="22"/>
          <w:szCs w:val="22"/>
        </w:rPr>
        <w:t>test taker. Conversely, ‘outfit’ refers to fit where item difficulty is not well matched to the</w:t>
      </w:r>
      <w:r>
        <w:rPr>
          <w:sz w:val="22"/>
          <w:szCs w:val="22"/>
        </w:rPr>
        <w:t xml:space="preserve"> </w:t>
      </w:r>
      <w:r w:rsidRPr="004D10D7">
        <w:rPr>
          <w:sz w:val="22"/>
          <w:szCs w:val="22"/>
        </w:rPr>
        <w:t>test taker’s trait or ability level.</w:t>
      </w:r>
      <w:r w:rsidRPr="00A41B28">
        <w:rPr>
          <w:sz w:val="22"/>
          <w:szCs w:val="22"/>
        </w:rPr>
        <w:t xml:space="preserve"> </w:t>
      </w:r>
      <w:r>
        <w:rPr>
          <w:sz w:val="22"/>
          <w:szCs w:val="22"/>
        </w:rPr>
        <w:t>Importantly, scales where the items conform to the assumptions and fit expected from the Rasch model are said to provide scores which conform to the tenets of ‘fundamental measurement’. In this sense</w:t>
      </w:r>
      <w:r w:rsidRPr="00D25FA7">
        <w:rPr>
          <w:sz w:val="22"/>
          <w:szCs w:val="22"/>
        </w:rPr>
        <w:t xml:space="preserve"> </w:t>
      </w:r>
      <w:r>
        <w:rPr>
          <w:sz w:val="22"/>
          <w:szCs w:val="22"/>
        </w:rPr>
        <w:t xml:space="preserve">‘fundamental measurement’ involves </w:t>
      </w:r>
      <w:r w:rsidRPr="00D25FA7">
        <w:rPr>
          <w:sz w:val="22"/>
          <w:szCs w:val="22"/>
        </w:rPr>
        <w:t xml:space="preserve">the construction of an additive numerical representation of </w:t>
      </w:r>
      <w:r>
        <w:rPr>
          <w:sz w:val="22"/>
          <w:szCs w:val="22"/>
        </w:rPr>
        <w:t xml:space="preserve">a unitary (single) dimensional concept that is in a common metric, i.e. three ‘units’ are one more than two ‘units’ </w:t>
      </w:r>
      <w:r>
        <w:rPr>
          <w:noProof/>
          <w:sz w:val="22"/>
          <w:szCs w:val="22"/>
        </w:rPr>
        <w:t>(Resse, 1943)</w:t>
      </w:r>
      <w:r>
        <w:rPr>
          <w:sz w:val="22"/>
          <w:szCs w:val="22"/>
        </w:rPr>
        <w:t xml:space="preserve">. Prior to Rasch’s work this was something present in many branches of science, but notably absent from including psychology </w:t>
      </w:r>
      <w:r>
        <w:rPr>
          <w:noProof/>
          <w:sz w:val="22"/>
          <w:szCs w:val="22"/>
        </w:rPr>
        <w:t>(Wright, 1999)</w:t>
      </w:r>
      <w:r>
        <w:rPr>
          <w:sz w:val="22"/>
          <w:szCs w:val="22"/>
        </w:rPr>
        <w:t xml:space="preserve">.  </w:t>
      </w:r>
    </w:p>
    <w:p w14:paraId="44912BCB" w14:textId="77777777" w:rsidR="00D44CFB" w:rsidRPr="00096F6D" w:rsidRDefault="00D44CFB" w:rsidP="00FE3115">
      <w:pPr>
        <w:tabs>
          <w:tab w:val="left" w:pos="5085"/>
        </w:tabs>
        <w:spacing w:line="360" w:lineRule="auto"/>
        <w:rPr>
          <w:sz w:val="22"/>
          <w:szCs w:val="22"/>
        </w:rPr>
      </w:pPr>
      <w:r w:rsidRPr="00096F6D">
        <w:rPr>
          <w:sz w:val="22"/>
          <w:szCs w:val="22"/>
        </w:rPr>
        <w:t xml:space="preserve">As a special case of Item Response Theory (IRT) Rasch analysis also yields test information curves. These indicate where, in relation to the trait or ability under evaluation, the scale </w:t>
      </w:r>
      <w:r w:rsidRPr="00096F6D">
        <w:rPr>
          <w:sz w:val="22"/>
          <w:szCs w:val="22"/>
        </w:rPr>
        <w:lastRenderedPageBreak/>
        <w:t>yields most information on each test-taker.</w:t>
      </w:r>
      <w:r>
        <w:rPr>
          <w:sz w:val="22"/>
          <w:szCs w:val="22"/>
        </w:rPr>
        <w:t xml:space="preserve"> This is more informative than a single ‘reliability’ index, and recognises that psychological measures resemble thermometers, rather than rulers. That is, a psychological assessment, like a thermometer for temperature measurements, will vary in its accuracy across the range of test-taker traits or abilities.   </w:t>
      </w:r>
    </w:p>
    <w:p w14:paraId="1049EB8F" w14:textId="77777777" w:rsidR="00D44CFB" w:rsidRDefault="00D44CFB" w:rsidP="006237A9">
      <w:pPr>
        <w:autoSpaceDE w:val="0"/>
        <w:autoSpaceDN w:val="0"/>
        <w:adjustRightInd w:val="0"/>
        <w:spacing w:after="0" w:line="360" w:lineRule="auto"/>
        <w:rPr>
          <w:kern w:val="0"/>
          <w:sz w:val="22"/>
          <w:szCs w:val="22"/>
        </w:rPr>
      </w:pPr>
    </w:p>
    <w:p w14:paraId="7EDE7422" w14:textId="77777777" w:rsidR="00D44CFB" w:rsidRDefault="00D44CFB" w:rsidP="00FB5C86">
      <w:pPr>
        <w:autoSpaceDE w:val="0"/>
        <w:autoSpaceDN w:val="0"/>
        <w:adjustRightInd w:val="0"/>
        <w:spacing w:after="0" w:line="240" w:lineRule="auto"/>
        <w:rPr>
          <w:b/>
          <w:kern w:val="0"/>
          <w:sz w:val="22"/>
          <w:szCs w:val="22"/>
        </w:rPr>
      </w:pPr>
      <w:r>
        <w:rPr>
          <w:b/>
          <w:kern w:val="0"/>
          <w:sz w:val="22"/>
          <w:szCs w:val="22"/>
        </w:rPr>
        <w:t>Section S3: Supplementary r</w:t>
      </w:r>
      <w:r w:rsidRPr="00E334EB">
        <w:rPr>
          <w:b/>
          <w:kern w:val="0"/>
          <w:sz w:val="22"/>
          <w:szCs w:val="22"/>
        </w:rPr>
        <w:t>esults</w:t>
      </w:r>
    </w:p>
    <w:p w14:paraId="371A3C7B" w14:textId="77777777" w:rsidR="00D44CFB" w:rsidRPr="00FE3115" w:rsidRDefault="00D44CFB" w:rsidP="00FB5C86">
      <w:pPr>
        <w:autoSpaceDE w:val="0"/>
        <w:autoSpaceDN w:val="0"/>
        <w:adjustRightInd w:val="0"/>
        <w:spacing w:after="0" w:line="240" w:lineRule="auto"/>
        <w:rPr>
          <w:b/>
          <w:i/>
          <w:kern w:val="0"/>
          <w:sz w:val="22"/>
          <w:szCs w:val="22"/>
        </w:rPr>
      </w:pPr>
    </w:p>
    <w:p w14:paraId="048F058A" w14:textId="77777777" w:rsidR="00D44CFB" w:rsidRPr="00FE3115" w:rsidRDefault="00D44CFB" w:rsidP="005464AA">
      <w:pPr>
        <w:spacing w:line="360" w:lineRule="auto"/>
        <w:rPr>
          <w:i/>
          <w:kern w:val="0"/>
          <w:sz w:val="22"/>
          <w:szCs w:val="22"/>
        </w:rPr>
      </w:pPr>
      <w:r w:rsidRPr="00FE3115">
        <w:rPr>
          <w:i/>
          <w:kern w:val="0"/>
          <w:sz w:val="22"/>
          <w:szCs w:val="22"/>
        </w:rPr>
        <w:t>Distribution of the summary scores for the W-BNS Scales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962"/>
        <w:gridCol w:w="1985"/>
      </w:tblGrid>
      <w:tr w:rsidR="00D44CFB" w:rsidRPr="00A16EFD" w14:paraId="2B2D1AA5" w14:textId="77777777" w:rsidTr="00A16EFD">
        <w:tc>
          <w:tcPr>
            <w:tcW w:w="1803" w:type="dxa"/>
            <w:tcBorders>
              <w:top w:val="single" w:sz="4" w:space="0" w:color="auto"/>
              <w:bottom w:val="single" w:sz="4" w:space="0" w:color="auto"/>
            </w:tcBorders>
            <w:shd w:val="clear" w:color="auto" w:fill="F2F2F2" w:themeFill="background1" w:themeFillShade="F2"/>
          </w:tcPr>
          <w:p w14:paraId="7DD44437" w14:textId="77777777" w:rsidR="00D44CFB" w:rsidRPr="00A16EFD" w:rsidRDefault="00D44CFB" w:rsidP="00810274">
            <w:pPr>
              <w:spacing w:line="360" w:lineRule="auto"/>
              <w:rPr>
                <w:b/>
                <w:bCs/>
                <w:iCs/>
              </w:rPr>
            </w:pPr>
            <w:r w:rsidRPr="00A16EFD">
              <w:rPr>
                <w:b/>
                <w:bCs/>
                <w:iCs/>
              </w:rPr>
              <w:t>Scale</w:t>
            </w:r>
          </w:p>
        </w:tc>
        <w:tc>
          <w:tcPr>
            <w:tcW w:w="1803" w:type="dxa"/>
            <w:tcBorders>
              <w:top w:val="single" w:sz="4" w:space="0" w:color="auto"/>
              <w:bottom w:val="single" w:sz="4" w:space="0" w:color="auto"/>
            </w:tcBorders>
            <w:shd w:val="clear" w:color="auto" w:fill="F2F2F2" w:themeFill="background1" w:themeFillShade="F2"/>
          </w:tcPr>
          <w:p w14:paraId="5349DDF4" w14:textId="77777777" w:rsidR="00D44CFB" w:rsidRPr="00A16EFD" w:rsidRDefault="00D44CFB" w:rsidP="00810274">
            <w:pPr>
              <w:spacing w:line="360" w:lineRule="auto"/>
              <w:rPr>
                <w:b/>
                <w:bCs/>
                <w:iCs/>
              </w:rPr>
            </w:pPr>
            <w:r w:rsidRPr="00A16EFD">
              <w:rPr>
                <w:b/>
                <w:bCs/>
                <w:iCs/>
              </w:rPr>
              <w:t>Mean (SD)</w:t>
            </w:r>
          </w:p>
        </w:tc>
        <w:tc>
          <w:tcPr>
            <w:tcW w:w="1803" w:type="dxa"/>
            <w:tcBorders>
              <w:top w:val="single" w:sz="4" w:space="0" w:color="auto"/>
              <w:bottom w:val="single" w:sz="4" w:space="0" w:color="auto"/>
            </w:tcBorders>
            <w:shd w:val="clear" w:color="auto" w:fill="F2F2F2" w:themeFill="background1" w:themeFillShade="F2"/>
          </w:tcPr>
          <w:p w14:paraId="53D4A9BD" w14:textId="77777777" w:rsidR="00D44CFB" w:rsidRPr="00A16EFD" w:rsidRDefault="00D44CFB" w:rsidP="00810274">
            <w:pPr>
              <w:spacing w:line="360" w:lineRule="auto"/>
              <w:rPr>
                <w:b/>
                <w:bCs/>
                <w:iCs/>
              </w:rPr>
            </w:pPr>
            <w:r w:rsidRPr="00A16EFD">
              <w:rPr>
                <w:b/>
                <w:bCs/>
                <w:iCs/>
              </w:rPr>
              <w:t>Median (range)</w:t>
            </w:r>
          </w:p>
        </w:tc>
        <w:tc>
          <w:tcPr>
            <w:tcW w:w="1962" w:type="dxa"/>
            <w:tcBorders>
              <w:top w:val="single" w:sz="4" w:space="0" w:color="auto"/>
              <w:bottom w:val="single" w:sz="4" w:space="0" w:color="auto"/>
            </w:tcBorders>
            <w:shd w:val="clear" w:color="auto" w:fill="F2F2F2" w:themeFill="background1" w:themeFillShade="F2"/>
          </w:tcPr>
          <w:p w14:paraId="2080982C" w14:textId="77777777" w:rsidR="00D44CFB" w:rsidRPr="00A16EFD" w:rsidRDefault="00D44CFB" w:rsidP="00810274">
            <w:pPr>
              <w:spacing w:line="360" w:lineRule="auto"/>
              <w:rPr>
                <w:b/>
                <w:bCs/>
                <w:iCs/>
              </w:rPr>
            </w:pPr>
            <w:r w:rsidRPr="00A16EFD">
              <w:rPr>
                <w:b/>
                <w:bCs/>
                <w:iCs/>
              </w:rPr>
              <w:t>P for skewness</w:t>
            </w:r>
          </w:p>
        </w:tc>
        <w:tc>
          <w:tcPr>
            <w:tcW w:w="1985" w:type="dxa"/>
            <w:tcBorders>
              <w:top w:val="single" w:sz="4" w:space="0" w:color="auto"/>
              <w:bottom w:val="single" w:sz="4" w:space="0" w:color="auto"/>
            </w:tcBorders>
            <w:shd w:val="clear" w:color="auto" w:fill="F2F2F2" w:themeFill="background1" w:themeFillShade="F2"/>
          </w:tcPr>
          <w:p w14:paraId="005A81AB" w14:textId="77777777" w:rsidR="00D44CFB" w:rsidRPr="00A16EFD" w:rsidRDefault="00D44CFB" w:rsidP="00810274">
            <w:pPr>
              <w:spacing w:line="360" w:lineRule="auto"/>
              <w:rPr>
                <w:b/>
                <w:bCs/>
                <w:iCs/>
              </w:rPr>
            </w:pPr>
            <w:r w:rsidRPr="00A16EFD">
              <w:rPr>
                <w:b/>
                <w:bCs/>
                <w:iCs/>
              </w:rPr>
              <w:t xml:space="preserve">P for kurtosis </w:t>
            </w:r>
          </w:p>
        </w:tc>
      </w:tr>
      <w:tr w:rsidR="00D44CFB" w:rsidRPr="00A16EFD" w14:paraId="601D7085" w14:textId="77777777" w:rsidTr="00A16EFD">
        <w:tc>
          <w:tcPr>
            <w:tcW w:w="1803" w:type="dxa"/>
            <w:tcBorders>
              <w:top w:val="single" w:sz="4" w:space="0" w:color="auto"/>
            </w:tcBorders>
          </w:tcPr>
          <w:p w14:paraId="7C63F525" w14:textId="77777777" w:rsidR="00D44CFB" w:rsidRPr="00A16EFD" w:rsidRDefault="00D44CFB" w:rsidP="00810274">
            <w:pPr>
              <w:spacing w:line="360" w:lineRule="auto"/>
              <w:rPr>
                <w:iCs/>
              </w:rPr>
            </w:pPr>
            <w:r w:rsidRPr="00A16EFD">
              <w:rPr>
                <w:iCs/>
              </w:rPr>
              <w:t xml:space="preserve">Autonomy </w:t>
            </w:r>
          </w:p>
        </w:tc>
        <w:tc>
          <w:tcPr>
            <w:tcW w:w="1803" w:type="dxa"/>
            <w:tcBorders>
              <w:top w:val="single" w:sz="4" w:space="0" w:color="auto"/>
            </w:tcBorders>
          </w:tcPr>
          <w:p w14:paraId="21C0866D" w14:textId="77777777" w:rsidR="00D44CFB" w:rsidRPr="00A16EFD" w:rsidRDefault="00D44CFB" w:rsidP="00810274">
            <w:pPr>
              <w:spacing w:line="360" w:lineRule="auto"/>
              <w:rPr>
                <w:iCs/>
              </w:rPr>
            </w:pPr>
            <w:r w:rsidRPr="00A16EFD">
              <w:rPr>
                <w:iCs/>
              </w:rPr>
              <w:t>3.01 (0.83)</w:t>
            </w:r>
          </w:p>
        </w:tc>
        <w:tc>
          <w:tcPr>
            <w:tcW w:w="1803" w:type="dxa"/>
            <w:tcBorders>
              <w:top w:val="single" w:sz="4" w:space="0" w:color="auto"/>
            </w:tcBorders>
          </w:tcPr>
          <w:p w14:paraId="71F1D258" w14:textId="77777777" w:rsidR="00D44CFB" w:rsidRPr="00A16EFD" w:rsidRDefault="00D44CFB" w:rsidP="00810274">
            <w:pPr>
              <w:spacing w:line="360" w:lineRule="auto"/>
              <w:rPr>
                <w:iCs/>
              </w:rPr>
            </w:pPr>
            <w:r w:rsidRPr="00A16EFD">
              <w:rPr>
                <w:iCs/>
              </w:rPr>
              <w:t>3 (1.17 to 4.83)</w:t>
            </w:r>
          </w:p>
        </w:tc>
        <w:tc>
          <w:tcPr>
            <w:tcW w:w="1962" w:type="dxa"/>
            <w:tcBorders>
              <w:top w:val="single" w:sz="4" w:space="0" w:color="auto"/>
            </w:tcBorders>
          </w:tcPr>
          <w:p w14:paraId="651F767F" w14:textId="77777777" w:rsidR="00D44CFB" w:rsidRPr="00A16EFD" w:rsidRDefault="00D44CFB" w:rsidP="00810274">
            <w:pPr>
              <w:spacing w:line="360" w:lineRule="auto"/>
              <w:rPr>
                <w:iCs/>
              </w:rPr>
            </w:pPr>
            <w:r w:rsidRPr="00A16EFD">
              <w:rPr>
                <w:iCs/>
              </w:rPr>
              <w:t>0.7084</w:t>
            </w:r>
          </w:p>
        </w:tc>
        <w:tc>
          <w:tcPr>
            <w:tcW w:w="1985" w:type="dxa"/>
            <w:tcBorders>
              <w:top w:val="single" w:sz="4" w:space="0" w:color="auto"/>
            </w:tcBorders>
          </w:tcPr>
          <w:p w14:paraId="0311E226" w14:textId="77777777" w:rsidR="00D44CFB" w:rsidRPr="00A16EFD" w:rsidRDefault="00D44CFB" w:rsidP="00810274">
            <w:pPr>
              <w:spacing w:line="360" w:lineRule="auto"/>
              <w:rPr>
                <w:iCs/>
              </w:rPr>
            </w:pPr>
            <w:r w:rsidRPr="00A16EFD">
              <w:rPr>
                <w:iCs/>
              </w:rPr>
              <w:t>0.0035</w:t>
            </w:r>
          </w:p>
        </w:tc>
      </w:tr>
      <w:tr w:rsidR="00D44CFB" w:rsidRPr="00A16EFD" w14:paraId="42715E21" w14:textId="77777777" w:rsidTr="00A16EFD">
        <w:tc>
          <w:tcPr>
            <w:tcW w:w="1803" w:type="dxa"/>
          </w:tcPr>
          <w:p w14:paraId="6472784E" w14:textId="77777777" w:rsidR="00D44CFB" w:rsidRPr="00A16EFD" w:rsidRDefault="00D44CFB" w:rsidP="00810274">
            <w:pPr>
              <w:spacing w:line="360" w:lineRule="auto"/>
              <w:rPr>
                <w:iCs/>
              </w:rPr>
            </w:pPr>
            <w:r w:rsidRPr="00A16EFD">
              <w:rPr>
                <w:iCs/>
              </w:rPr>
              <w:t xml:space="preserve">Relatedness </w:t>
            </w:r>
          </w:p>
        </w:tc>
        <w:tc>
          <w:tcPr>
            <w:tcW w:w="1803" w:type="dxa"/>
          </w:tcPr>
          <w:p w14:paraId="167E3EF3" w14:textId="77777777" w:rsidR="00D44CFB" w:rsidRPr="00A16EFD" w:rsidRDefault="00D44CFB" w:rsidP="00810274">
            <w:pPr>
              <w:spacing w:line="360" w:lineRule="auto"/>
              <w:rPr>
                <w:iCs/>
              </w:rPr>
            </w:pPr>
            <w:r w:rsidRPr="00A16EFD">
              <w:rPr>
                <w:iCs/>
              </w:rPr>
              <w:t>3.35(0.85)</w:t>
            </w:r>
          </w:p>
        </w:tc>
        <w:tc>
          <w:tcPr>
            <w:tcW w:w="1803" w:type="dxa"/>
          </w:tcPr>
          <w:p w14:paraId="0441B85D" w14:textId="77777777" w:rsidR="00D44CFB" w:rsidRPr="00A16EFD" w:rsidRDefault="00D44CFB" w:rsidP="00810274">
            <w:pPr>
              <w:spacing w:line="360" w:lineRule="auto"/>
              <w:rPr>
                <w:iCs/>
              </w:rPr>
            </w:pPr>
            <w:r w:rsidRPr="00A16EFD">
              <w:rPr>
                <w:iCs/>
              </w:rPr>
              <w:t>3.5 (1 to 5)</w:t>
            </w:r>
          </w:p>
        </w:tc>
        <w:tc>
          <w:tcPr>
            <w:tcW w:w="1962" w:type="dxa"/>
          </w:tcPr>
          <w:p w14:paraId="684A7138" w14:textId="77777777" w:rsidR="00D44CFB" w:rsidRPr="00A16EFD" w:rsidRDefault="00D44CFB" w:rsidP="00A16EFD">
            <w:pPr>
              <w:spacing w:line="360" w:lineRule="auto"/>
              <w:rPr>
                <w:iCs/>
              </w:rPr>
            </w:pPr>
            <w:r w:rsidRPr="00A16EFD">
              <w:rPr>
                <w:iCs/>
              </w:rPr>
              <w:t>0.0532</w:t>
            </w:r>
          </w:p>
        </w:tc>
        <w:tc>
          <w:tcPr>
            <w:tcW w:w="1985" w:type="dxa"/>
          </w:tcPr>
          <w:p w14:paraId="0AE65C58" w14:textId="77777777" w:rsidR="00D44CFB" w:rsidRPr="00A16EFD" w:rsidRDefault="00D44CFB" w:rsidP="00810274">
            <w:pPr>
              <w:spacing w:line="360" w:lineRule="auto"/>
              <w:rPr>
                <w:iCs/>
              </w:rPr>
            </w:pPr>
            <w:r w:rsidRPr="00A16EFD">
              <w:rPr>
                <w:iCs/>
              </w:rPr>
              <w:t>0.6865</w:t>
            </w:r>
          </w:p>
        </w:tc>
      </w:tr>
      <w:tr w:rsidR="00D44CFB" w:rsidRPr="00A16EFD" w14:paraId="138D9FA8" w14:textId="77777777" w:rsidTr="00A16EFD">
        <w:tc>
          <w:tcPr>
            <w:tcW w:w="1803" w:type="dxa"/>
            <w:tcBorders>
              <w:bottom w:val="single" w:sz="4" w:space="0" w:color="auto"/>
            </w:tcBorders>
          </w:tcPr>
          <w:p w14:paraId="123500BE" w14:textId="77777777" w:rsidR="00D44CFB" w:rsidRPr="00A16EFD" w:rsidRDefault="00D44CFB" w:rsidP="00810274">
            <w:pPr>
              <w:spacing w:line="360" w:lineRule="auto"/>
              <w:rPr>
                <w:iCs/>
              </w:rPr>
            </w:pPr>
            <w:r w:rsidRPr="00A16EFD">
              <w:rPr>
                <w:iCs/>
              </w:rPr>
              <w:t xml:space="preserve">Competence </w:t>
            </w:r>
          </w:p>
        </w:tc>
        <w:tc>
          <w:tcPr>
            <w:tcW w:w="1803" w:type="dxa"/>
            <w:tcBorders>
              <w:bottom w:val="single" w:sz="4" w:space="0" w:color="auto"/>
            </w:tcBorders>
          </w:tcPr>
          <w:p w14:paraId="166A29F4" w14:textId="77777777" w:rsidR="00D44CFB" w:rsidRPr="00A16EFD" w:rsidRDefault="00D44CFB" w:rsidP="00810274">
            <w:pPr>
              <w:spacing w:line="360" w:lineRule="auto"/>
              <w:rPr>
                <w:iCs/>
              </w:rPr>
            </w:pPr>
            <w:r w:rsidRPr="00A16EFD">
              <w:rPr>
                <w:iCs/>
              </w:rPr>
              <w:t>3.74 (0.81)</w:t>
            </w:r>
          </w:p>
        </w:tc>
        <w:tc>
          <w:tcPr>
            <w:tcW w:w="1803" w:type="dxa"/>
            <w:tcBorders>
              <w:bottom w:val="single" w:sz="4" w:space="0" w:color="auto"/>
            </w:tcBorders>
          </w:tcPr>
          <w:p w14:paraId="01D84093" w14:textId="77777777" w:rsidR="00D44CFB" w:rsidRPr="00A16EFD" w:rsidRDefault="00D44CFB" w:rsidP="00810274">
            <w:pPr>
              <w:spacing w:line="360" w:lineRule="auto"/>
              <w:rPr>
                <w:iCs/>
              </w:rPr>
            </w:pPr>
            <w:r w:rsidRPr="00A16EFD">
              <w:rPr>
                <w:iCs/>
              </w:rPr>
              <w:t>4 (1 to 5)</w:t>
            </w:r>
          </w:p>
        </w:tc>
        <w:tc>
          <w:tcPr>
            <w:tcW w:w="1962" w:type="dxa"/>
            <w:tcBorders>
              <w:bottom w:val="single" w:sz="4" w:space="0" w:color="auto"/>
            </w:tcBorders>
          </w:tcPr>
          <w:p w14:paraId="6031ED17" w14:textId="77777777" w:rsidR="00D44CFB" w:rsidRPr="00A16EFD" w:rsidRDefault="00D44CFB" w:rsidP="00810274">
            <w:pPr>
              <w:spacing w:line="360" w:lineRule="auto"/>
              <w:rPr>
                <w:iCs/>
              </w:rPr>
            </w:pPr>
            <w:r w:rsidRPr="00A16EFD">
              <w:rPr>
                <w:iCs/>
              </w:rPr>
              <w:t>0.0001</w:t>
            </w:r>
          </w:p>
        </w:tc>
        <w:tc>
          <w:tcPr>
            <w:tcW w:w="1985" w:type="dxa"/>
            <w:tcBorders>
              <w:bottom w:val="single" w:sz="4" w:space="0" w:color="auto"/>
            </w:tcBorders>
          </w:tcPr>
          <w:p w14:paraId="76617335" w14:textId="77777777" w:rsidR="00D44CFB" w:rsidRPr="00A16EFD" w:rsidRDefault="00D44CFB" w:rsidP="00810274">
            <w:pPr>
              <w:spacing w:line="360" w:lineRule="auto"/>
              <w:rPr>
                <w:iCs/>
              </w:rPr>
            </w:pPr>
            <w:r w:rsidRPr="00A16EFD">
              <w:rPr>
                <w:iCs/>
              </w:rPr>
              <w:t>0.1613</w:t>
            </w:r>
          </w:p>
        </w:tc>
      </w:tr>
    </w:tbl>
    <w:p w14:paraId="3B32BCFC" w14:textId="77777777" w:rsidR="00D44CFB" w:rsidRDefault="00D44CFB" w:rsidP="005464AA">
      <w:pPr>
        <w:spacing w:line="360" w:lineRule="auto"/>
        <w:rPr>
          <w:iCs/>
          <w:kern w:val="0"/>
          <w:sz w:val="22"/>
          <w:szCs w:val="22"/>
        </w:rPr>
      </w:pPr>
      <w:r>
        <w:rPr>
          <w:iCs/>
          <w:kern w:val="0"/>
          <w:sz w:val="22"/>
          <w:szCs w:val="22"/>
        </w:rPr>
        <w:t>Table S1. Summary statistics for the mean scores derived for the responses to the items for the three scales of the Work (W-BNS)(</w:t>
      </w:r>
      <w:r w:rsidRPr="00FE3115">
        <w:rPr>
          <w:i/>
          <w:kern w:val="0"/>
          <w:sz w:val="22"/>
          <w:szCs w:val="22"/>
        </w:rPr>
        <w:t>autonomy</w:t>
      </w:r>
      <w:r>
        <w:rPr>
          <w:iCs/>
          <w:kern w:val="0"/>
          <w:sz w:val="22"/>
          <w:szCs w:val="22"/>
        </w:rPr>
        <w:t xml:space="preserve">, </w:t>
      </w:r>
      <w:r w:rsidRPr="00FE3115">
        <w:rPr>
          <w:i/>
          <w:kern w:val="0"/>
          <w:sz w:val="22"/>
          <w:szCs w:val="22"/>
        </w:rPr>
        <w:t>relatedness</w:t>
      </w:r>
      <w:r>
        <w:rPr>
          <w:iCs/>
          <w:kern w:val="0"/>
          <w:sz w:val="22"/>
          <w:szCs w:val="22"/>
        </w:rPr>
        <w:t xml:space="preserve"> and </w:t>
      </w:r>
      <w:r w:rsidRPr="00FE3115">
        <w:rPr>
          <w:i/>
          <w:kern w:val="0"/>
          <w:sz w:val="22"/>
          <w:szCs w:val="22"/>
        </w:rPr>
        <w:t>competence</w:t>
      </w:r>
      <w:r>
        <w:rPr>
          <w:iCs/>
          <w:kern w:val="0"/>
          <w:sz w:val="22"/>
          <w:szCs w:val="22"/>
        </w:rPr>
        <w:t xml:space="preserve">). Note “P for skewness/kurtosis” denotes the p value for a test for normality, with a p&lt;0.05 indicating statistically significant skewness or kurtosis respectively. </w:t>
      </w:r>
    </w:p>
    <w:p w14:paraId="2488D7EE" w14:textId="77777777" w:rsidR="00D44CFB" w:rsidRDefault="00D44CFB" w:rsidP="00712F63">
      <w:pPr>
        <w:spacing w:line="360" w:lineRule="auto"/>
        <w:rPr>
          <w:i/>
          <w:kern w:val="0"/>
          <w:sz w:val="22"/>
          <w:szCs w:val="22"/>
        </w:rPr>
      </w:pPr>
    </w:p>
    <w:p w14:paraId="30D08AC5" w14:textId="77777777" w:rsidR="00D44CFB" w:rsidRPr="00146C8F" w:rsidRDefault="00D44CFB" w:rsidP="00712F63">
      <w:pPr>
        <w:spacing w:line="360" w:lineRule="auto"/>
        <w:rPr>
          <w:i/>
          <w:kern w:val="0"/>
          <w:sz w:val="22"/>
          <w:szCs w:val="22"/>
        </w:rPr>
      </w:pPr>
      <w:r w:rsidRPr="00146C8F">
        <w:rPr>
          <w:i/>
          <w:kern w:val="0"/>
          <w:sz w:val="22"/>
          <w:szCs w:val="22"/>
        </w:rPr>
        <w:t xml:space="preserve">Convergent </w:t>
      </w:r>
      <w:r>
        <w:rPr>
          <w:i/>
          <w:kern w:val="0"/>
          <w:sz w:val="22"/>
          <w:szCs w:val="22"/>
        </w:rPr>
        <w:t xml:space="preserve">and divergent (discriminant) </w:t>
      </w:r>
      <w:r w:rsidRPr="00146C8F">
        <w:rPr>
          <w:i/>
          <w:kern w:val="0"/>
          <w:sz w:val="22"/>
          <w:szCs w:val="22"/>
        </w:rPr>
        <w:t>validity</w:t>
      </w:r>
    </w:p>
    <w:p w14:paraId="4B688214" w14:textId="77777777" w:rsidR="00D44CFB" w:rsidRPr="00BC10FE" w:rsidRDefault="00D44CFB" w:rsidP="0075261D">
      <w:pPr>
        <w:spacing w:line="360" w:lineRule="auto"/>
        <w:rPr>
          <w:rFonts w:ascii="Courier New" w:hAnsi="Courier New" w:cs="Courier New"/>
          <w:kern w:val="0"/>
          <w:sz w:val="22"/>
          <w:szCs w:val="22"/>
        </w:rPr>
      </w:pPr>
      <w:r>
        <w:rPr>
          <w:kern w:val="0"/>
          <w:sz w:val="22"/>
          <w:szCs w:val="22"/>
        </w:rPr>
        <w:t xml:space="preserve">The scores from the W-BNS correlated with those from the equivalent domains of the </w:t>
      </w:r>
      <w:r w:rsidRPr="0075261D">
        <w:rPr>
          <w:kern w:val="0"/>
          <w:sz w:val="22"/>
          <w:szCs w:val="22"/>
        </w:rPr>
        <w:t>Basic Psychological Need Satisfaction and</w:t>
      </w:r>
      <w:r>
        <w:rPr>
          <w:kern w:val="0"/>
          <w:sz w:val="22"/>
          <w:szCs w:val="22"/>
        </w:rPr>
        <w:t xml:space="preserve"> </w:t>
      </w:r>
      <w:r w:rsidRPr="0075261D">
        <w:rPr>
          <w:kern w:val="0"/>
          <w:sz w:val="22"/>
          <w:szCs w:val="22"/>
        </w:rPr>
        <w:t xml:space="preserve">Frustration Scale </w:t>
      </w:r>
      <w:r>
        <w:rPr>
          <w:kern w:val="0"/>
          <w:sz w:val="22"/>
          <w:szCs w:val="22"/>
        </w:rPr>
        <w:t xml:space="preserve">(BPNFS). The BPNFS measures similar constructs to the W-BNS but the wording of the items is not specific to a work context. From the correlation matrix (Table S2) the highest correlations occurred between scores from the two instruments that report to relate to the same needs. For example, the correlation (r) between the W-BNS and the BPNFS </w:t>
      </w:r>
      <w:r w:rsidRPr="00096F6D">
        <w:rPr>
          <w:i/>
          <w:iCs/>
          <w:kern w:val="0"/>
          <w:sz w:val="22"/>
          <w:szCs w:val="22"/>
        </w:rPr>
        <w:t>competence</w:t>
      </w:r>
      <w:r>
        <w:rPr>
          <w:kern w:val="0"/>
          <w:sz w:val="22"/>
          <w:szCs w:val="22"/>
        </w:rPr>
        <w:t xml:space="preserve"> scores was 0.91. In contrast the magnitude of the observed correlations between different domains on the two instruments were lower. For example, the correlation between the W-BNS </w:t>
      </w:r>
      <w:r w:rsidRPr="00712F63">
        <w:rPr>
          <w:i/>
          <w:iCs/>
          <w:kern w:val="0"/>
          <w:sz w:val="22"/>
          <w:szCs w:val="22"/>
        </w:rPr>
        <w:t xml:space="preserve">relatedness </w:t>
      </w:r>
      <w:r>
        <w:rPr>
          <w:kern w:val="0"/>
          <w:sz w:val="22"/>
          <w:szCs w:val="22"/>
        </w:rPr>
        <w:t xml:space="preserve">and the BPNFS </w:t>
      </w:r>
      <w:r w:rsidRPr="00AB20F4">
        <w:rPr>
          <w:i/>
          <w:iCs/>
          <w:kern w:val="0"/>
          <w:sz w:val="22"/>
          <w:szCs w:val="22"/>
        </w:rPr>
        <w:t>competence</w:t>
      </w:r>
      <w:r>
        <w:rPr>
          <w:kern w:val="0"/>
          <w:sz w:val="22"/>
          <w:szCs w:val="22"/>
        </w:rPr>
        <w:t xml:space="preserve"> scores was 0.37.   </w:t>
      </w:r>
      <w:r>
        <w:rPr>
          <w:rFonts w:ascii="Courier New" w:hAnsi="Courier New" w:cs="Courier New"/>
          <w:kern w:val="0"/>
          <w:sz w:val="22"/>
          <w:szCs w:val="22"/>
        </w:rPr>
        <w:t xml:space="preserve">  </w:t>
      </w:r>
    </w:p>
    <w:p w14:paraId="0353234B" w14:textId="77777777" w:rsidR="00D44CFB" w:rsidRDefault="00D44CFB" w:rsidP="005464AA">
      <w:pPr>
        <w:spacing w:line="360" w:lineRule="auto"/>
        <w:rPr>
          <w:iCs/>
          <w:kern w:val="0"/>
          <w:sz w:val="22"/>
          <w:szCs w:val="22"/>
        </w:rPr>
      </w:pPr>
    </w:p>
    <w:p w14:paraId="277DA88C" w14:textId="77777777" w:rsidR="00D44CFB" w:rsidRDefault="00D44CFB" w:rsidP="005464AA">
      <w:pPr>
        <w:spacing w:line="360" w:lineRule="auto"/>
        <w:rPr>
          <w:iCs/>
          <w:kern w:val="0"/>
          <w:sz w:val="22"/>
          <w:szCs w:val="22"/>
        </w:rPr>
      </w:pPr>
    </w:p>
    <w:p w14:paraId="1AB7D476" w14:textId="77777777" w:rsidR="00D44CFB" w:rsidRDefault="00D44CFB" w:rsidP="005464AA">
      <w:pPr>
        <w:spacing w:line="360" w:lineRule="auto"/>
        <w:rPr>
          <w:iCs/>
          <w:kern w:val="0"/>
          <w:sz w:val="22"/>
          <w:szCs w:val="22"/>
        </w:rPr>
      </w:pPr>
    </w:p>
    <w:p w14:paraId="195E75EE" w14:textId="77777777" w:rsidR="00D44CFB" w:rsidRDefault="00D44CFB" w:rsidP="005464AA">
      <w:pPr>
        <w:spacing w:line="360" w:lineRule="auto"/>
        <w:rPr>
          <w:iCs/>
          <w:kern w:val="0"/>
          <w:sz w:val="22"/>
          <w:szCs w:val="22"/>
        </w:rPr>
      </w:pPr>
    </w:p>
    <w:p w14:paraId="57DEF4BD" w14:textId="77777777" w:rsidR="00D44CFB" w:rsidRPr="00FE3115" w:rsidRDefault="00D44CFB" w:rsidP="005464AA">
      <w:pPr>
        <w:spacing w:line="360" w:lineRule="auto"/>
        <w:rPr>
          <w:iCs/>
          <w:kern w:val="0"/>
          <w:sz w:val="22"/>
          <w:szCs w:val="2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276"/>
        <w:gridCol w:w="1427"/>
        <w:gridCol w:w="1417"/>
        <w:gridCol w:w="1294"/>
        <w:gridCol w:w="1395"/>
      </w:tblGrid>
      <w:tr w:rsidR="00D44CFB" w:rsidRPr="00270891" w14:paraId="6D62EB7F" w14:textId="77777777" w:rsidTr="00EC26EC">
        <w:tc>
          <w:tcPr>
            <w:tcW w:w="2547" w:type="dxa"/>
            <w:tcBorders>
              <w:top w:val="single" w:sz="4" w:space="0" w:color="auto"/>
              <w:bottom w:val="single" w:sz="4" w:space="0" w:color="auto"/>
            </w:tcBorders>
          </w:tcPr>
          <w:p w14:paraId="1F5FE93A" w14:textId="77777777" w:rsidR="00D44CFB" w:rsidRPr="00A16EFD" w:rsidRDefault="00D44CFB" w:rsidP="006050CF">
            <w:pPr>
              <w:spacing w:line="360" w:lineRule="auto"/>
              <w:rPr>
                <w:b/>
                <w:bCs/>
                <w:sz w:val="20"/>
                <w:szCs w:val="20"/>
              </w:rPr>
            </w:pPr>
            <w:r w:rsidRPr="00A16EFD">
              <w:rPr>
                <w:b/>
                <w:bCs/>
                <w:sz w:val="20"/>
                <w:szCs w:val="20"/>
              </w:rPr>
              <w:t xml:space="preserve">        </w:t>
            </w:r>
          </w:p>
        </w:tc>
        <w:tc>
          <w:tcPr>
            <w:tcW w:w="1276" w:type="dxa"/>
            <w:tcBorders>
              <w:top w:val="single" w:sz="4" w:space="0" w:color="auto"/>
              <w:bottom w:val="single" w:sz="4" w:space="0" w:color="auto"/>
            </w:tcBorders>
            <w:shd w:val="clear" w:color="auto" w:fill="F2F2F2" w:themeFill="background1" w:themeFillShade="F2"/>
          </w:tcPr>
          <w:p w14:paraId="3D83257F" w14:textId="77777777" w:rsidR="00D44CFB" w:rsidRPr="00A16EFD" w:rsidRDefault="00D44CFB" w:rsidP="006050CF">
            <w:pPr>
              <w:spacing w:line="360" w:lineRule="auto"/>
              <w:jc w:val="center"/>
              <w:rPr>
                <w:b/>
                <w:bCs/>
                <w:sz w:val="20"/>
                <w:szCs w:val="20"/>
              </w:rPr>
            </w:pPr>
            <w:r w:rsidRPr="00A16EFD">
              <w:rPr>
                <w:b/>
                <w:bCs/>
                <w:sz w:val="20"/>
                <w:szCs w:val="20"/>
              </w:rPr>
              <w:t>W-BNS Autonomy</w:t>
            </w:r>
          </w:p>
        </w:tc>
        <w:tc>
          <w:tcPr>
            <w:tcW w:w="1427" w:type="dxa"/>
            <w:tcBorders>
              <w:top w:val="single" w:sz="4" w:space="0" w:color="auto"/>
              <w:bottom w:val="single" w:sz="4" w:space="0" w:color="auto"/>
            </w:tcBorders>
            <w:shd w:val="clear" w:color="auto" w:fill="F2F2F2" w:themeFill="background1" w:themeFillShade="F2"/>
          </w:tcPr>
          <w:p w14:paraId="6B42414A" w14:textId="77777777" w:rsidR="00D44CFB" w:rsidRPr="00A16EFD" w:rsidRDefault="00D44CFB" w:rsidP="006050CF">
            <w:pPr>
              <w:spacing w:line="360" w:lineRule="auto"/>
              <w:jc w:val="center"/>
              <w:rPr>
                <w:b/>
                <w:bCs/>
                <w:sz w:val="20"/>
                <w:szCs w:val="20"/>
              </w:rPr>
            </w:pPr>
            <w:r w:rsidRPr="00A16EFD">
              <w:rPr>
                <w:b/>
                <w:bCs/>
                <w:sz w:val="20"/>
                <w:szCs w:val="20"/>
              </w:rPr>
              <w:t>W-BNS Relatedness</w:t>
            </w:r>
          </w:p>
        </w:tc>
        <w:tc>
          <w:tcPr>
            <w:tcW w:w="1417" w:type="dxa"/>
            <w:tcBorders>
              <w:top w:val="single" w:sz="4" w:space="0" w:color="auto"/>
              <w:bottom w:val="single" w:sz="4" w:space="0" w:color="auto"/>
            </w:tcBorders>
            <w:shd w:val="clear" w:color="auto" w:fill="F2F2F2" w:themeFill="background1" w:themeFillShade="F2"/>
          </w:tcPr>
          <w:p w14:paraId="67CFB103" w14:textId="77777777" w:rsidR="00D44CFB" w:rsidRPr="00A16EFD" w:rsidRDefault="00D44CFB" w:rsidP="006050CF">
            <w:pPr>
              <w:spacing w:line="360" w:lineRule="auto"/>
              <w:jc w:val="center"/>
              <w:rPr>
                <w:b/>
                <w:bCs/>
                <w:sz w:val="20"/>
                <w:szCs w:val="20"/>
              </w:rPr>
            </w:pPr>
            <w:r w:rsidRPr="00A16EFD">
              <w:rPr>
                <w:b/>
                <w:bCs/>
                <w:sz w:val="20"/>
                <w:szCs w:val="20"/>
              </w:rPr>
              <w:t>W-BNS Competence</w:t>
            </w:r>
          </w:p>
        </w:tc>
        <w:tc>
          <w:tcPr>
            <w:tcW w:w="1294" w:type="dxa"/>
            <w:tcBorders>
              <w:top w:val="single" w:sz="4" w:space="0" w:color="auto"/>
              <w:bottom w:val="single" w:sz="4" w:space="0" w:color="auto"/>
            </w:tcBorders>
            <w:shd w:val="clear" w:color="auto" w:fill="F2F2F2" w:themeFill="background1" w:themeFillShade="F2"/>
          </w:tcPr>
          <w:p w14:paraId="25C6A71E" w14:textId="77777777" w:rsidR="00D44CFB" w:rsidRPr="00A16EFD" w:rsidRDefault="00D44CFB" w:rsidP="006050CF">
            <w:pPr>
              <w:spacing w:line="360" w:lineRule="auto"/>
              <w:jc w:val="center"/>
              <w:rPr>
                <w:b/>
                <w:bCs/>
                <w:sz w:val="20"/>
                <w:szCs w:val="20"/>
              </w:rPr>
            </w:pPr>
            <w:r w:rsidRPr="00A16EFD">
              <w:rPr>
                <w:b/>
                <w:bCs/>
                <w:sz w:val="20"/>
                <w:szCs w:val="20"/>
              </w:rPr>
              <w:t>BPNFS Autonomy</w:t>
            </w:r>
          </w:p>
        </w:tc>
        <w:tc>
          <w:tcPr>
            <w:tcW w:w="1395" w:type="dxa"/>
            <w:tcBorders>
              <w:top w:val="single" w:sz="4" w:space="0" w:color="auto"/>
              <w:bottom w:val="single" w:sz="4" w:space="0" w:color="auto"/>
            </w:tcBorders>
            <w:shd w:val="clear" w:color="auto" w:fill="F2F2F2" w:themeFill="background1" w:themeFillShade="F2"/>
          </w:tcPr>
          <w:p w14:paraId="5105FA5F" w14:textId="77777777" w:rsidR="00D44CFB" w:rsidRPr="00A16EFD" w:rsidRDefault="00D44CFB" w:rsidP="006050CF">
            <w:pPr>
              <w:spacing w:line="360" w:lineRule="auto"/>
              <w:jc w:val="center"/>
              <w:rPr>
                <w:b/>
                <w:bCs/>
                <w:sz w:val="20"/>
                <w:szCs w:val="20"/>
              </w:rPr>
            </w:pPr>
            <w:r w:rsidRPr="00A16EFD">
              <w:rPr>
                <w:b/>
                <w:bCs/>
                <w:sz w:val="20"/>
                <w:szCs w:val="20"/>
              </w:rPr>
              <w:t>BPNFS Relatedness</w:t>
            </w:r>
          </w:p>
        </w:tc>
      </w:tr>
      <w:tr w:rsidR="00D44CFB" w:rsidRPr="00270891" w14:paraId="4A615A35" w14:textId="77777777" w:rsidTr="00EC26EC">
        <w:tc>
          <w:tcPr>
            <w:tcW w:w="2547" w:type="dxa"/>
            <w:tcBorders>
              <w:top w:val="single" w:sz="4" w:space="0" w:color="auto"/>
            </w:tcBorders>
            <w:shd w:val="clear" w:color="auto" w:fill="F2F2F2" w:themeFill="background1" w:themeFillShade="F2"/>
          </w:tcPr>
          <w:p w14:paraId="06F150F0" w14:textId="77777777" w:rsidR="00D44CFB" w:rsidRPr="00A16EFD" w:rsidRDefault="00D44CFB" w:rsidP="006050CF">
            <w:pPr>
              <w:spacing w:line="360" w:lineRule="auto"/>
              <w:rPr>
                <w:b/>
                <w:bCs/>
                <w:sz w:val="20"/>
                <w:szCs w:val="20"/>
              </w:rPr>
            </w:pPr>
            <w:r w:rsidRPr="00A16EFD">
              <w:rPr>
                <w:b/>
                <w:bCs/>
                <w:sz w:val="20"/>
                <w:szCs w:val="20"/>
              </w:rPr>
              <w:t xml:space="preserve">W-BNS Relatedness   </w:t>
            </w:r>
          </w:p>
        </w:tc>
        <w:tc>
          <w:tcPr>
            <w:tcW w:w="1276" w:type="dxa"/>
            <w:tcBorders>
              <w:top w:val="single" w:sz="4" w:space="0" w:color="auto"/>
            </w:tcBorders>
          </w:tcPr>
          <w:p w14:paraId="72BACCF1" w14:textId="77777777" w:rsidR="00D44CFB" w:rsidRPr="00270891" w:rsidRDefault="00D44CFB" w:rsidP="006050CF">
            <w:pPr>
              <w:spacing w:line="360" w:lineRule="auto"/>
              <w:jc w:val="center"/>
              <w:rPr>
                <w:sz w:val="20"/>
                <w:szCs w:val="20"/>
              </w:rPr>
            </w:pPr>
            <w:r w:rsidRPr="00270891">
              <w:rPr>
                <w:sz w:val="20"/>
                <w:szCs w:val="20"/>
              </w:rPr>
              <w:t>0.60</w:t>
            </w:r>
          </w:p>
        </w:tc>
        <w:tc>
          <w:tcPr>
            <w:tcW w:w="1427" w:type="dxa"/>
            <w:tcBorders>
              <w:top w:val="single" w:sz="4" w:space="0" w:color="auto"/>
            </w:tcBorders>
          </w:tcPr>
          <w:p w14:paraId="03553DE1" w14:textId="77777777" w:rsidR="00D44CFB" w:rsidRPr="00270891" w:rsidRDefault="00D44CFB" w:rsidP="006050CF">
            <w:pPr>
              <w:spacing w:line="360" w:lineRule="auto"/>
              <w:jc w:val="center"/>
              <w:rPr>
                <w:sz w:val="20"/>
                <w:szCs w:val="20"/>
              </w:rPr>
            </w:pPr>
          </w:p>
        </w:tc>
        <w:tc>
          <w:tcPr>
            <w:tcW w:w="1417" w:type="dxa"/>
            <w:tcBorders>
              <w:top w:val="single" w:sz="4" w:space="0" w:color="auto"/>
            </w:tcBorders>
          </w:tcPr>
          <w:p w14:paraId="78338BD2" w14:textId="77777777" w:rsidR="00D44CFB" w:rsidRPr="00270891" w:rsidRDefault="00D44CFB" w:rsidP="006050CF">
            <w:pPr>
              <w:spacing w:line="360" w:lineRule="auto"/>
              <w:jc w:val="center"/>
              <w:rPr>
                <w:sz w:val="20"/>
                <w:szCs w:val="20"/>
              </w:rPr>
            </w:pPr>
          </w:p>
        </w:tc>
        <w:tc>
          <w:tcPr>
            <w:tcW w:w="1294" w:type="dxa"/>
            <w:tcBorders>
              <w:top w:val="single" w:sz="4" w:space="0" w:color="auto"/>
            </w:tcBorders>
          </w:tcPr>
          <w:p w14:paraId="6C87E223" w14:textId="77777777" w:rsidR="00D44CFB" w:rsidRPr="00270891" w:rsidRDefault="00D44CFB" w:rsidP="006050CF">
            <w:pPr>
              <w:spacing w:line="360" w:lineRule="auto"/>
              <w:jc w:val="center"/>
              <w:rPr>
                <w:sz w:val="20"/>
                <w:szCs w:val="20"/>
              </w:rPr>
            </w:pPr>
          </w:p>
        </w:tc>
        <w:tc>
          <w:tcPr>
            <w:tcW w:w="1395" w:type="dxa"/>
            <w:tcBorders>
              <w:top w:val="single" w:sz="4" w:space="0" w:color="auto"/>
            </w:tcBorders>
          </w:tcPr>
          <w:p w14:paraId="33FB4A62" w14:textId="77777777" w:rsidR="00D44CFB" w:rsidRPr="00270891" w:rsidRDefault="00D44CFB" w:rsidP="006050CF">
            <w:pPr>
              <w:spacing w:line="360" w:lineRule="auto"/>
              <w:jc w:val="center"/>
              <w:rPr>
                <w:sz w:val="20"/>
                <w:szCs w:val="20"/>
              </w:rPr>
            </w:pPr>
          </w:p>
        </w:tc>
      </w:tr>
      <w:tr w:rsidR="00D44CFB" w:rsidRPr="00270891" w14:paraId="6C1920D7" w14:textId="77777777" w:rsidTr="00EC26EC">
        <w:tc>
          <w:tcPr>
            <w:tcW w:w="2547" w:type="dxa"/>
            <w:shd w:val="clear" w:color="auto" w:fill="F2F2F2" w:themeFill="background1" w:themeFillShade="F2"/>
          </w:tcPr>
          <w:p w14:paraId="13CE7D78" w14:textId="77777777" w:rsidR="00D44CFB" w:rsidRPr="00A16EFD" w:rsidRDefault="00D44CFB" w:rsidP="006050CF">
            <w:pPr>
              <w:spacing w:line="360" w:lineRule="auto"/>
              <w:rPr>
                <w:b/>
                <w:bCs/>
                <w:sz w:val="20"/>
                <w:szCs w:val="20"/>
              </w:rPr>
            </w:pPr>
            <w:r w:rsidRPr="00A16EFD">
              <w:rPr>
                <w:b/>
                <w:bCs/>
                <w:sz w:val="20"/>
                <w:szCs w:val="20"/>
              </w:rPr>
              <w:t xml:space="preserve">W-BNS Competence   </w:t>
            </w:r>
          </w:p>
        </w:tc>
        <w:tc>
          <w:tcPr>
            <w:tcW w:w="1276" w:type="dxa"/>
          </w:tcPr>
          <w:p w14:paraId="73B032BE" w14:textId="77777777" w:rsidR="00D44CFB" w:rsidRPr="00270891" w:rsidRDefault="00D44CFB" w:rsidP="006050CF">
            <w:pPr>
              <w:spacing w:line="360" w:lineRule="auto"/>
              <w:jc w:val="center"/>
              <w:rPr>
                <w:sz w:val="20"/>
                <w:szCs w:val="20"/>
              </w:rPr>
            </w:pPr>
            <w:r w:rsidRPr="00270891">
              <w:rPr>
                <w:sz w:val="20"/>
                <w:szCs w:val="20"/>
              </w:rPr>
              <w:t>0.47</w:t>
            </w:r>
          </w:p>
        </w:tc>
        <w:tc>
          <w:tcPr>
            <w:tcW w:w="1427" w:type="dxa"/>
          </w:tcPr>
          <w:p w14:paraId="49978E2C" w14:textId="77777777" w:rsidR="00D44CFB" w:rsidRPr="00270891" w:rsidRDefault="00D44CFB" w:rsidP="006050CF">
            <w:pPr>
              <w:spacing w:line="360" w:lineRule="auto"/>
              <w:jc w:val="center"/>
              <w:rPr>
                <w:sz w:val="20"/>
                <w:szCs w:val="20"/>
              </w:rPr>
            </w:pPr>
            <w:r w:rsidRPr="00270891">
              <w:rPr>
                <w:sz w:val="20"/>
                <w:szCs w:val="20"/>
              </w:rPr>
              <w:t>0.42</w:t>
            </w:r>
          </w:p>
        </w:tc>
        <w:tc>
          <w:tcPr>
            <w:tcW w:w="1417" w:type="dxa"/>
          </w:tcPr>
          <w:p w14:paraId="5635FE3B" w14:textId="77777777" w:rsidR="00D44CFB" w:rsidRPr="00270891" w:rsidRDefault="00D44CFB" w:rsidP="006050CF">
            <w:pPr>
              <w:spacing w:line="360" w:lineRule="auto"/>
              <w:jc w:val="center"/>
              <w:rPr>
                <w:sz w:val="20"/>
                <w:szCs w:val="20"/>
              </w:rPr>
            </w:pPr>
          </w:p>
        </w:tc>
        <w:tc>
          <w:tcPr>
            <w:tcW w:w="1294" w:type="dxa"/>
          </w:tcPr>
          <w:p w14:paraId="70670BE0" w14:textId="77777777" w:rsidR="00D44CFB" w:rsidRPr="00270891" w:rsidRDefault="00D44CFB" w:rsidP="006050CF">
            <w:pPr>
              <w:spacing w:line="360" w:lineRule="auto"/>
              <w:jc w:val="center"/>
              <w:rPr>
                <w:sz w:val="20"/>
                <w:szCs w:val="20"/>
              </w:rPr>
            </w:pPr>
          </w:p>
        </w:tc>
        <w:tc>
          <w:tcPr>
            <w:tcW w:w="1395" w:type="dxa"/>
          </w:tcPr>
          <w:p w14:paraId="3C3F868A" w14:textId="77777777" w:rsidR="00D44CFB" w:rsidRPr="00270891" w:rsidRDefault="00D44CFB" w:rsidP="006050CF">
            <w:pPr>
              <w:spacing w:line="360" w:lineRule="auto"/>
              <w:jc w:val="center"/>
              <w:rPr>
                <w:sz w:val="20"/>
                <w:szCs w:val="20"/>
              </w:rPr>
            </w:pPr>
          </w:p>
        </w:tc>
      </w:tr>
      <w:tr w:rsidR="00D44CFB" w:rsidRPr="00270891" w14:paraId="347D95EC" w14:textId="77777777" w:rsidTr="00EC26EC">
        <w:tc>
          <w:tcPr>
            <w:tcW w:w="2547" w:type="dxa"/>
            <w:shd w:val="clear" w:color="auto" w:fill="F2F2F2" w:themeFill="background1" w:themeFillShade="F2"/>
          </w:tcPr>
          <w:p w14:paraId="1B0DC79A" w14:textId="77777777" w:rsidR="00D44CFB" w:rsidRPr="00A16EFD" w:rsidRDefault="00D44CFB" w:rsidP="006050CF">
            <w:pPr>
              <w:spacing w:line="360" w:lineRule="auto"/>
              <w:rPr>
                <w:b/>
                <w:bCs/>
                <w:sz w:val="20"/>
                <w:szCs w:val="20"/>
              </w:rPr>
            </w:pPr>
            <w:r w:rsidRPr="00A16EFD">
              <w:rPr>
                <w:b/>
                <w:bCs/>
                <w:sz w:val="20"/>
                <w:szCs w:val="20"/>
              </w:rPr>
              <w:t xml:space="preserve">BPNFS Autonomy  </w:t>
            </w:r>
          </w:p>
        </w:tc>
        <w:tc>
          <w:tcPr>
            <w:tcW w:w="1276" w:type="dxa"/>
          </w:tcPr>
          <w:p w14:paraId="7AAF1D35" w14:textId="77777777" w:rsidR="00D44CFB" w:rsidRPr="00270891" w:rsidRDefault="00D44CFB" w:rsidP="006050CF">
            <w:pPr>
              <w:spacing w:line="360" w:lineRule="auto"/>
              <w:jc w:val="center"/>
              <w:rPr>
                <w:b/>
                <w:sz w:val="20"/>
                <w:szCs w:val="20"/>
              </w:rPr>
            </w:pPr>
            <w:r w:rsidRPr="00270891">
              <w:rPr>
                <w:b/>
                <w:sz w:val="20"/>
                <w:szCs w:val="20"/>
              </w:rPr>
              <w:t>0.89</w:t>
            </w:r>
          </w:p>
        </w:tc>
        <w:tc>
          <w:tcPr>
            <w:tcW w:w="1427" w:type="dxa"/>
          </w:tcPr>
          <w:p w14:paraId="2B007849" w14:textId="77777777" w:rsidR="00D44CFB" w:rsidRPr="00270891" w:rsidRDefault="00D44CFB" w:rsidP="006050CF">
            <w:pPr>
              <w:spacing w:line="360" w:lineRule="auto"/>
              <w:jc w:val="center"/>
              <w:rPr>
                <w:sz w:val="20"/>
                <w:szCs w:val="20"/>
              </w:rPr>
            </w:pPr>
            <w:r w:rsidRPr="00270891">
              <w:rPr>
                <w:sz w:val="20"/>
                <w:szCs w:val="20"/>
              </w:rPr>
              <w:t>0.58</w:t>
            </w:r>
          </w:p>
        </w:tc>
        <w:tc>
          <w:tcPr>
            <w:tcW w:w="1417" w:type="dxa"/>
          </w:tcPr>
          <w:p w14:paraId="4C135013" w14:textId="77777777" w:rsidR="00D44CFB" w:rsidRPr="00270891" w:rsidRDefault="00D44CFB" w:rsidP="006050CF">
            <w:pPr>
              <w:spacing w:line="360" w:lineRule="auto"/>
              <w:jc w:val="center"/>
              <w:rPr>
                <w:sz w:val="20"/>
                <w:szCs w:val="20"/>
              </w:rPr>
            </w:pPr>
            <w:r w:rsidRPr="00270891">
              <w:rPr>
                <w:sz w:val="20"/>
                <w:szCs w:val="20"/>
              </w:rPr>
              <w:t>0.45</w:t>
            </w:r>
          </w:p>
        </w:tc>
        <w:tc>
          <w:tcPr>
            <w:tcW w:w="1294" w:type="dxa"/>
          </w:tcPr>
          <w:p w14:paraId="1BF3D4A7" w14:textId="77777777" w:rsidR="00D44CFB" w:rsidRPr="00270891" w:rsidRDefault="00D44CFB" w:rsidP="006050CF">
            <w:pPr>
              <w:spacing w:line="360" w:lineRule="auto"/>
              <w:jc w:val="center"/>
              <w:rPr>
                <w:sz w:val="20"/>
                <w:szCs w:val="20"/>
              </w:rPr>
            </w:pPr>
          </w:p>
        </w:tc>
        <w:tc>
          <w:tcPr>
            <w:tcW w:w="1395" w:type="dxa"/>
          </w:tcPr>
          <w:p w14:paraId="7431C5C9" w14:textId="77777777" w:rsidR="00D44CFB" w:rsidRPr="00270891" w:rsidRDefault="00D44CFB" w:rsidP="006050CF">
            <w:pPr>
              <w:spacing w:line="360" w:lineRule="auto"/>
              <w:jc w:val="center"/>
              <w:rPr>
                <w:sz w:val="20"/>
                <w:szCs w:val="20"/>
              </w:rPr>
            </w:pPr>
          </w:p>
        </w:tc>
      </w:tr>
      <w:tr w:rsidR="00D44CFB" w:rsidRPr="00270891" w14:paraId="44A600F1" w14:textId="77777777" w:rsidTr="00EC26EC">
        <w:tc>
          <w:tcPr>
            <w:tcW w:w="2547" w:type="dxa"/>
            <w:shd w:val="clear" w:color="auto" w:fill="F2F2F2" w:themeFill="background1" w:themeFillShade="F2"/>
          </w:tcPr>
          <w:p w14:paraId="50ED59C6" w14:textId="77777777" w:rsidR="00D44CFB" w:rsidRPr="00A16EFD" w:rsidRDefault="00D44CFB" w:rsidP="006050CF">
            <w:pPr>
              <w:spacing w:line="360" w:lineRule="auto"/>
              <w:rPr>
                <w:b/>
                <w:bCs/>
                <w:sz w:val="20"/>
                <w:szCs w:val="20"/>
              </w:rPr>
            </w:pPr>
            <w:r w:rsidRPr="00A16EFD">
              <w:rPr>
                <w:b/>
                <w:bCs/>
                <w:sz w:val="20"/>
                <w:szCs w:val="20"/>
              </w:rPr>
              <w:t xml:space="preserve">BPNFS Relatedness   </w:t>
            </w:r>
          </w:p>
        </w:tc>
        <w:tc>
          <w:tcPr>
            <w:tcW w:w="1276" w:type="dxa"/>
          </w:tcPr>
          <w:p w14:paraId="3C99CF01" w14:textId="77777777" w:rsidR="00D44CFB" w:rsidRPr="00270891" w:rsidRDefault="00D44CFB" w:rsidP="006050CF">
            <w:pPr>
              <w:spacing w:line="360" w:lineRule="auto"/>
              <w:jc w:val="center"/>
              <w:rPr>
                <w:sz w:val="20"/>
                <w:szCs w:val="20"/>
              </w:rPr>
            </w:pPr>
            <w:r w:rsidRPr="00270891">
              <w:rPr>
                <w:sz w:val="20"/>
                <w:szCs w:val="20"/>
              </w:rPr>
              <w:t>0.63</w:t>
            </w:r>
          </w:p>
        </w:tc>
        <w:tc>
          <w:tcPr>
            <w:tcW w:w="1427" w:type="dxa"/>
          </w:tcPr>
          <w:p w14:paraId="73A73D8A" w14:textId="77777777" w:rsidR="00D44CFB" w:rsidRPr="00270891" w:rsidRDefault="00D44CFB" w:rsidP="006050CF">
            <w:pPr>
              <w:spacing w:line="360" w:lineRule="auto"/>
              <w:jc w:val="center"/>
              <w:rPr>
                <w:b/>
                <w:sz w:val="20"/>
                <w:szCs w:val="20"/>
              </w:rPr>
            </w:pPr>
            <w:r w:rsidRPr="00270891">
              <w:rPr>
                <w:b/>
                <w:sz w:val="20"/>
                <w:szCs w:val="20"/>
              </w:rPr>
              <w:t>0.74</w:t>
            </w:r>
          </w:p>
        </w:tc>
        <w:tc>
          <w:tcPr>
            <w:tcW w:w="1417" w:type="dxa"/>
          </w:tcPr>
          <w:p w14:paraId="71F0D1B6" w14:textId="77777777" w:rsidR="00D44CFB" w:rsidRPr="00270891" w:rsidRDefault="00D44CFB" w:rsidP="006050CF">
            <w:pPr>
              <w:spacing w:line="360" w:lineRule="auto"/>
              <w:jc w:val="center"/>
              <w:rPr>
                <w:sz w:val="20"/>
                <w:szCs w:val="20"/>
              </w:rPr>
            </w:pPr>
            <w:r w:rsidRPr="00270891">
              <w:rPr>
                <w:sz w:val="20"/>
                <w:szCs w:val="20"/>
              </w:rPr>
              <w:t>0.50</w:t>
            </w:r>
          </w:p>
        </w:tc>
        <w:tc>
          <w:tcPr>
            <w:tcW w:w="1294" w:type="dxa"/>
          </w:tcPr>
          <w:p w14:paraId="3EAA399D" w14:textId="77777777" w:rsidR="00D44CFB" w:rsidRPr="00270891" w:rsidRDefault="00D44CFB" w:rsidP="006050CF">
            <w:pPr>
              <w:spacing w:line="360" w:lineRule="auto"/>
              <w:jc w:val="center"/>
              <w:rPr>
                <w:sz w:val="20"/>
                <w:szCs w:val="20"/>
              </w:rPr>
            </w:pPr>
            <w:r w:rsidRPr="00270891">
              <w:rPr>
                <w:sz w:val="20"/>
                <w:szCs w:val="20"/>
              </w:rPr>
              <w:t>0.63</w:t>
            </w:r>
          </w:p>
        </w:tc>
        <w:tc>
          <w:tcPr>
            <w:tcW w:w="1395" w:type="dxa"/>
          </w:tcPr>
          <w:p w14:paraId="237117AD" w14:textId="77777777" w:rsidR="00D44CFB" w:rsidRPr="00270891" w:rsidRDefault="00D44CFB" w:rsidP="006050CF">
            <w:pPr>
              <w:spacing w:line="360" w:lineRule="auto"/>
              <w:jc w:val="center"/>
              <w:rPr>
                <w:sz w:val="20"/>
                <w:szCs w:val="20"/>
              </w:rPr>
            </w:pPr>
          </w:p>
        </w:tc>
      </w:tr>
      <w:tr w:rsidR="00D44CFB" w:rsidRPr="00270891" w14:paraId="26341173" w14:textId="77777777" w:rsidTr="00EC26EC">
        <w:tc>
          <w:tcPr>
            <w:tcW w:w="2547" w:type="dxa"/>
            <w:tcBorders>
              <w:bottom w:val="single" w:sz="4" w:space="0" w:color="auto"/>
            </w:tcBorders>
            <w:shd w:val="clear" w:color="auto" w:fill="F2F2F2" w:themeFill="background1" w:themeFillShade="F2"/>
          </w:tcPr>
          <w:p w14:paraId="2F7F0720" w14:textId="77777777" w:rsidR="00D44CFB" w:rsidRPr="00A16EFD" w:rsidRDefault="00D44CFB" w:rsidP="006050CF">
            <w:pPr>
              <w:spacing w:line="360" w:lineRule="auto"/>
              <w:rPr>
                <w:b/>
                <w:bCs/>
                <w:sz w:val="20"/>
                <w:szCs w:val="20"/>
              </w:rPr>
            </w:pPr>
            <w:r w:rsidRPr="00A16EFD">
              <w:rPr>
                <w:b/>
                <w:bCs/>
                <w:sz w:val="20"/>
                <w:szCs w:val="20"/>
              </w:rPr>
              <w:t xml:space="preserve">BPNFS Competence    </w:t>
            </w:r>
          </w:p>
        </w:tc>
        <w:tc>
          <w:tcPr>
            <w:tcW w:w="1276" w:type="dxa"/>
            <w:tcBorders>
              <w:bottom w:val="single" w:sz="4" w:space="0" w:color="auto"/>
            </w:tcBorders>
          </w:tcPr>
          <w:p w14:paraId="37412DD8" w14:textId="77777777" w:rsidR="00D44CFB" w:rsidRPr="00270891" w:rsidRDefault="00D44CFB" w:rsidP="006050CF">
            <w:pPr>
              <w:spacing w:line="360" w:lineRule="auto"/>
              <w:jc w:val="center"/>
              <w:rPr>
                <w:sz w:val="20"/>
                <w:szCs w:val="20"/>
              </w:rPr>
            </w:pPr>
            <w:r w:rsidRPr="00270891">
              <w:rPr>
                <w:sz w:val="20"/>
                <w:szCs w:val="20"/>
              </w:rPr>
              <w:t>0.45</w:t>
            </w:r>
          </w:p>
        </w:tc>
        <w:tc>
          <w:tcPr>
            <w:tcW w:w="1427" w:type="dxa"/>
            <w:tcBorders>
              <w:bottom w:val="single" w:sz="4" w:space="0" w:color="auto"/>
            </w:tcBorders>
          </w:tcPr>
          <w:p w14:paraId="5A887B6D" w14:textId="77777777" w:rsidR="00D44CFB" w:rsidRPr="00270891" w:rsidRDefault="00D44CFB" w:rsidP="006050CF">
            <w:pPr>
              <w:spacing w:line="360" w:lineRule="auto"/>
              <w:jc w:val="center"/>
              <w:rPr>
                <w:sz w:val="20"/>
                <w:szCs w:val="20"/>
              </w:rPr>
            </w:pPr>
            <w:r w:rsidRPr="00270891">
              <w:rPr>
                <w:sz w:val="20"/>
                <w:szCs w:val="20"/>
              </w:rPr>
              <w:t>0.37</w:t>
            </w:r>
          </w:p>
        </w:tc>
        <w:tc>
          <w:tcPr>
            <w:tcW w:w="1417" w:type="dxa"/>
            <w:tcBorders>
              <w:bottom w:val="single" w:sz="4" w:space="0" w:color="auto"/>
            </w:tcBorders>
          </w:tcPr>
          <w:p w14:paraId="40F3FB22" w14:textId="77777777" w:rsidR="00D44CFB" w:rsidRPr="00270891" w:rsidRDefault="00D44CFB" w:rsidP="006050CF">
            <w:pPr>
              <w:spacing w:line="360" w:lineRule="auto"/>
              <w:jc w:val="center"/>
              <w:rPr>
                <w:b/>
                <w:sz w:val="20"/>
                <w:szCs w:val="20"/>
              </w:rPr>
            </w:pPr>
            <w:r w:rsidRPr="00270891">
              <w:rPr>
                <w:b/>
                <w:sz w:val="20"/>
                <w:szCs w:val="20"/>
              </w:rPr>
              <w:t>0.91</w:t>
            </w:r>
          </w:p>
        </w:tc>
        <w:tc>
          <w:tcPr>
            <w:tcW w:w="1294" w:type="dxa"/>
            <w:tcBorders>
              <w:bottom w:val="single" w:sz="4" w:space="0" w:color="auto"/>
            </w:tcBorders>
          </w:tcPr>
          <w:p w14:paraId="6AF62ED3" w14:textId="77777777" w:rsidR="00D44CFB" w:rsidRPr="00270891" w:rsidRDefault="00D44CFB" w:rsidP="006050CF">
            <w:pPr>
              <w:spacing w:line="360" w:lineRule="auto"/>
              <w:jc w:val="center"/>
              <w:rPr>
                <w:sz w:val="20"/>
                <w:szCs w:val="20"/>
              </w:rPr>
            </w:pPr>
            <w:r w:rsidRPr="00270891">
              <w:rPr>
                <w:sz w:val="20"/>
                <w:szCs w:val="20"/>
              </w:rPr>
              <w:t>0.45</w:t>
            </w:r>
          </w:p>
        </w:tc>
        <w:tc>
          <w:tcPr>
            <w:tcW w:w="1395" w:type="dxa"/>
            <w:tcBorders>
              <w:bottom w:val="single" w:sz="4" w:space="0" w:color="auto"/>
            </w:tcBorders>
          </w:tcPr>
          <w:p w14:paraId="016F4EF1" w14:textId="77777777" w:rsidR="00D44CFB" w:rsidRPr="00270891" w:rsidRDefault="00D44CFB" w:rsidP="006050CF">
            <w:pPr>
              <w:spacing w:line="360" w:lineRule="auto"/>
              <w:jc w:val="center"/>
              <w:rPr>
                <w:sz w:val="20"/>
                <w:szCs w:val="20"/>
              </w:rPr>
            </w:pPr>
            <w:r w:rsidRPr="00270891">
              <w:rPr>
                <w:sz w:val="20"/>
                <w:szCs w:val="20"/>
              </w:rPr>
              <w:t>0.50</w:t>
            </w:r>
          </w:p>
        </w:tc>
      </w:tr>
    </w:tbl>
    <w:p w14:paraId="368E2E76" w14:textId="77777777" w:rsidR="00D44CFB" w:rsidRDefault="00D44CFB" w:rsidP="00EC26EC">
      <w:pPr>
        <w:spacing w:line="360" w:lineRule="auto"/>
        <w:rPr>
          <w:kern w:val="0"/>
          <w:sz w:val="22"/>
          <w:szCs w:val="22"/>
        </w:rPr>
      </w:pPr>
      <w:r>
        <w:rPr>
          <w:kern w:val="0"/>
          <w:sz w:val="22"/>
          <w:szCs w:val="22"/>
        </w:rPr>
        <w:t xml:space="preserve">Table S2. Correlation between the average scale scores of the W-BNS and the </w:t>
      </w:r>
      <w:r w:rsidRPr="00EC26EC">
        <w:rPr>
          <w:kern w:val="0"/>
          <w:sz w:val="22"/>
          <w:szCs w:val="22"/>
        </w:rPr>
        <w:t>Basic Psychological Need Satisfaction and</w:t>
      </w:r>
      <w:r>
        <w:rPr>
          <w:kern w:val="0"/>
          <w:sz w:val="22"/>
          <w:szCs w:val="22"/>
        </w:rPr>
        <w:t xml:space="preserve"> </w:t>
      </w:r>
      <w:r w:rsidRPr="00EC26EC">
        <w:rPr>
          <w:kern w:val="0"/>
          <w:sz w:val="22"/>
          <w:szCs w:val="22"/>
        </w:rPr>
        <w:t xml:space="preserve">Frustration Scale </w:t>
      </w:r>
      <w:r>
        <w:rPr>
          <w:kern w:val="0"/>
          <w:sz w:val="22"/>
          <w:szCs w:val="22"/>
        </w:rPr>
        <w:t xml:space="preserve">(BPNFS) scales (correlations with the equivalent domain scores shown in </w:t>
      </w:r>
      <w:r w:rsidRPr="002115BF">
        <w:rPr>
          <w:b/>
          <w:kern w:val="0"/>
          <w:sz w:val="22"/>
          <w:szCs w:val="22"/>
        </w:rPr>
        <w:t>bold</w:t>
      </w:r>
      <w:r>
        <w:rPr>
          <w:kern w:val="0"/>
          <w:sz w:val="22"/>
          <w:szCs w:val="22"/>
        </w:rPr>
        <w:t>).</w:t>
      </w:r>
    </w:p>
    <w:p w14:paraId="0799475D" w14:textId="77777777" w:rsidR="00D44CFB" w:rsidRDefault="00D44CFB" w:rsidP="00282169">
      <w:pPr>
        <w:spacing w:line="360" w:lineRule="auto"/>
        <w:rPr>
          <w:i/>
          <w:kern w:val="0"/>
          <w:sz w:val="22"/>
          <w:szCs w:val="22"/>
        </w:rPr>
      </w:pPr>
    </w:p>
    <w:p w14:paraId="1E537887" w14:textId="77777777" w:rsidR="00D44CFB" w:rsidRPr="009B400E" w:rsidRDefault="00D44CFB" w:rsidP="00C44B90">
      <w:pPr>
        <w:tabs>
          <w:tab w:val="left" w:pos="5085"/>
        </w:tabs>
        <w:spacing w:line="360" w:lineRule="auto"/>
        <w:rPr>
          <w:i/>
        </w:rPr>
      </w:pPr>
      <w:r w:rsidRPr="009B400E">
        <w:rPr>
          <w:i/>
        </w:rPr>
        <w:t xml:space="preserve">The W-BNS autonomy scores as a </w:t>
      </w:r>
      <w:r>
        <w:rPr>
          <w:i/>
        </w:rPr>
        <w:t xml:space="preserve">potential </w:t>
      </w:r>
      <w:r w:rsidRPr="009B400E">
        <w:rPr>
          <w:i/>
        </w:rPr>
        <w:t>screening test</w:t>
      </w:r>
    </w:p>
    <w:p w14:paraId="0343A04C" w14:textId="77777777" w:rsidR="00D44CFB" w:rsidRPr="009B400E" w:rsidRDefault="00D44CFB" w:rsidP="00C44B90">
      <w:pPr>
        <w:tabs>
          <w:tab w:val="left" w:pos="5085"/>
        </w:tabs>
        <w:spacing w:line="360" w:lineRule="auto"/>
      </w:pPr>
      <w:r w:rsidRPr="009B400E">
        <w:t xml:space="preserve">According to the present findings and the original validation study </w:t>
      </w:r>
      <w:r>
        <w:rPr>
          <w:noProof/>
        </w:rPr>
        <w:t>(Van den Broeck et al., 2010)</w:t>
      </w:r>
      <w:r w:rsidRPr="009B400E">
        <w:t xml:space="preserve"> the </w:t>
      </w:r>
      <w:r w:rsidRPr="009B400E">
        <w:rPr>
          <w:i/>
        </w:rPr>
        <w:t>autonomy</w:t>
      </w:r>
      <w:r w:rsidRPr="009B400E">
        <w:t xml:space="preserve"> scale score is most closely associated with the risk of adverse work outcomes such as staff turnover (if too high) and perceived risk of imminent sick leave due to work related stress. With this in mind</w:t>
      </w:r>
      <w:r>
        <w:t>,</w:t>
      </w:r>
      <w:r w:rsidRPr="009B400E">
        <w:t xml:space="preserve"> a receiver operator characteristic (ROC) curve was generated for the ability of the mean autonomy score to predict those respondents who estimated a high (&gt;70%) risk of imminent sick leave. This, in effect plots the ability of the autonomy mean score to identify ‘true positives’ (those reporting a high risk of sick leave) while minimising ‘false positives’ (those with a low autonomy score but who do not report a high risk of sick leave). The ROC curve performs this for different hypothetical “screening” score cut-offs. The area under the curve (AUC) can then be calculated, with 0.5 indicating a test no better than chance and 1.0 reflective of a perfect test. Note, in this case AUCs usually range from 0.5 to 1.0 so the outcome coding was reversed (with a positive case coded as ‘low perceived risk of sick leave’ to prevent a value less than 0.5. The ROC curve is shown in Figure </w:t>
      </w:r>
      <w:r>
        <w:t>S1</w:t>
      </w:r>
      <w:r w:rsidRPr="009B400E">
        <w:t xml:space="preserve">, and the associated AUC was estimated to be 0.81. </w:t>
      </w:r>
    </w:p>
    <w:p w14:paraId="54694180" w14:textId="77777777" w:rsidR="00D44CFB" w:rsidRPr="009B400E" w:rsidRDefault="00D44CFB" w:rsidP="00C44B90">
      <w:pPr>
        <w:tabs>
          <w:tab w:val="left" w:pos="5085"/>
        </w:tabs>
      </w:pPr>
    </w:p>
    <w:p w14:paraId="6502A6B0" w14:textId="77777777" w:rsidR="00D44CFB" w:rsidRPr="009B400E" w:rsidRDefault="00D44CFB" w:rsidP="00C44B90">
      <w:pPr>
        <w:tabs>
          <w:tab w:val="left" w:pos="5085"/>
        </w:tabs>
      </w:pPr>
      <w:r w:rsidRPr="009B400E">
        <w:rPr>
          <w:noProof/>
        </w:rPr>
        <w:lastRenderedPageBreak/>
        <w:drawing>
          <wp:inline distT="0" distB="0" distL="0" distR="0" wp14:anchorId="0C9B1EF1" wp14:editId="35FEB0F5">
            <wp:extent cx="5026660" cy="36576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6660" cy="3657600"/>
                    </a:xfrm>
                    <a:prstGeom prst="rect">
                      <a:avLst/>
                    </a:prstGeom>
                    <a:noFill/>
                    <a:ln>
                      <a:noFill/>
                    </a:ln>
                  </pic:spPr>
                </pic:pic>
              </a:graphicData>
            </a:graphic>
          </wp:inline>
        </w:drawing>
      </w:r>
    </w:p>
    <w:p w14:paraId="31C1A0F4" w14:textId="77777777" w:rsidR="00D44CFB" w:rsidRPr="009B400E" w:rsidRDefault="00D44CFB" w:rsidP="00C44B90">
      <w:pPr>
        <w:tabs>
          <w:tab w:val="left" w:pos="5085"/>
        </w:tabs>
        <w:rPr>
          <w:noProof/>
        </w:rPr>
      </w:pPr>
      <w:r>
        <w:t>Figure S1</w:t>
      </w:r>
      <w:r w:rsidRPr="009B400E">
        <w:t xml:space="preserve">. The receiver operator characteristic (ROC) curve for the average autonomy score of the W-BNS as a screening test for high perceived risk of imminent work-related sick leave. </w:t>
      </w:r>
    </w:p>
    <w:p w14:paraId="6C488382" w14:textId="77777777" w:rsidR="00D44CFB" w:rsidRPr="009B400E" w:rsidRDefault="00D44CFB" w:rsidP="00C44B90">
      <w:pPr>
        <w:spacing w:line="360" w:lineRule="auto"/>
      </w:pPr>
      <w:r w:rsidRPr="009B400E">
        <w:t xml:space="preserve"> </w:t>
      </w:r>
    </w:p>
    <w:p w14:paraId="34EA0E62" w14:textId="77777777" w:rsidR="00D44CFB" w:rsidRPr="00DD0F3F" w:rsidRDefault="00D44CFB" w:rsidP="005B014C">
      <w:pPr>
        <w:spacing w:line="360" w:lineRule="auto"/>
        <w:rPr>
          <w:b/>
        </w:rPr>
      </w:pPr>
      <w:r w:rsidRPr="00DD0F3F">
        <w:rPr>
          <w:b/>
        </w:rPr>
        <w:t>References</w:t>
      </w:r>
    </w:p>
    <w:p w14:paraId="12369EB2" w14:textId="77777777" w:rsidR="00D44CFB" w:rsidRPr="00D25FA7" w:rsidRDefault="00D44CFB" w:rsidP="00D25FA7">
      <w:pPr>
        <w:pStyle w:val="EndNoteBibliography"/>
        <w:spacing w:after="0"/>
        <w:ind w:left="720" w:hanging="720"/>
      </w:pPr>
      <w:r w:rsidRPr="00D25FA7">
        <w:t xml:space="preserve">Coxen, L., van der Vaart, L., Van den Broeck, A., &amp; Rothmann, S. (2021). Basic Psychological Needs in the Work Context: A Systematic Literature Review of Diary Studies. </w:t>
      </w:r>
      <w:r w:rsidRPr="00D25FA7">
        <w:rPr>
          <w:i/>
        </w:rPr>
        <w:t>Front</w:t>
      </w:r>
      <w:r w:rsidR="00190906">
        <w:rPr>
          <w:i/>
        </w:rPr>
        <w:t xml:space="preserve">iers in </w:t>
      </w:r>
      <w:r w:rsidRPr="00D25FA7">
        <w:rPr>
          <w:i/>
        </w:rPr>
        <w:t>Psychol</w:t>
      </w:r>
      <w:r w:rsidR="00190906">
        <w:rPr>
          <w:i/>
        </w:rPr>
        <w:t>ogy</w:t>
      </w:r>
      <w:r w:rsidRPr="00D25FA7">
        <w:t>,</w:t>
      </w:r>
      <w:r w:rsidRPr="00D25FA7">
        <w:rPr>
          <w:i/>
        </w:rPr>
        <w:t xml:space="preserve"> 12</w:t>
      </w:r>
      <w:r w:rsidRPr="00D25FA7">
        <w:t xml:space="preserve">, 698526. </w:t>
      </w:r>
      <w:r w:rsidRPr="00D44CFB">
        <w:t>https://doi.org/10.3389/fpsyg.2021.698526</w:t>
      </w:r>
      <w:r w:rsidRPr="00D25FA7">
        <w:t xml:space="preserve"> </w:t>
      </w:r>
    </w:p>
    <w:p w14:paraId="5472C504" w14:textId="77777777" w:rsidR="00D44CFB" w:rsidRPr="00D25FA7" w:rsidRDefault="00D44CFB" w:rsidP="00D25FA7">
      <w:pPr>
        <w:pStyle w:val="EndNoteBibliography"/>
        <w:spacing w:after="0"/>
        <w:ind w:left="720" w:hanging="720"/>
      </w:pPr>
      <w:r w:rsidRPr="00D25FA7">
        <w:t xml:space="preserve">Deci, E. L., &amp; Ryan, R. M. (2000). The "What" and "Why" of Goal Pursuits: Human Needs and the Self-Determination of Behavior. </w:t>
      </w:r>
      <w:r w:rsidRPr="00D25FA7">
        <w:rPr>
          <w:i/>
        </w:rPr>
        <w:t>Psychological Inquiry</w:t>
      </w:r>
      <w:r w:rsidRPr="00D25FA7">
        <w:t>,</w:t>
      </w:r>
      <w:r w:rsidRPr="00D25FA7">
        <w:rPr>
          <w:i/>
        </w:rPr>
        <w:t xml:space="preserve"> 11</w:t>
      </w:r>
      <w:r w:rsidRPr="00D25FA7">
        <w:t xml:space="preserve">(4), 227-268. </w:t>
      </w:r>
      <w:r w:rsidRPr="00D44CFB">
        <w:t>https://doi.org/10.1207/S15327965PLI1104_01</w:t>
      </w:r>
      <w:r w:rsidRPr="00D25FA7">
        <w:t xml:space="preserve"> </w:t>
      </w:r>
    </w:p>
    <w:p w14:paraId="51FD06B0" w14:textId="77777777" w:rsidR="00D44CFB" w:rsidRPr="00D25FA7" w:rsidRDefault="00D44CFB" w:rsidP="00D25FA7">
      <w:pPr>
        <w:pStyle w:val="EndNoteBibliography"/>
        <w:spacing w:after="0"/>
        <w:ind w:left="720" w:hanging="720"/>
      </w:pPr>
      <w:r w:rsidRPr="00D25FA7">
        <w:t xml:space="preserve">Deci, E. L., Ryan, R. M., &amp; Vansteenkiste, M. (2008). Self-determination theory and the explanatory role of psychological needs in human well-being. In. Oxford University Press. </w:t>
      </w:r>
    </w:p>
    <w:p w14:paraId="72F67EC7" w14:textId="77777777" w:rsidR="00D44CFB" w:rsidRPr="00D25FA7" w:rsidRDefault="00D44CFB" w:rsidP="00D25FA7">
      <w:pPr>
        <w:pStyle w:val="EndNoteBibliography"/>
        <w:spacing w:after="0"/>
        <w:ind w:left="720" w:hanging="720"/>
      </w:pPr>
      <w:r w:rsidRPr="00D25FA7">
        <w:t xml:space="preserve">Livingston, S. A. (2020). </w:t>
      </w:r>
      <w:r w:rsidRPr="00D25FA7">
        <w:rPr>
          <w:i/>
        </w:rPr>
        <w:t>Research Memorandum ETS RM–20-06: Basic Concepts of Item Response Theory: A Nonmathematical Introduction</w:t>
      </w:r>
      <w:r w:rsidRPr="00D25FA7">
        <w:t xml:space="preserve">. T. E. T. Service. </w:t>
      </w:r>
      <w:r w:rsidRPr="00D44CFB">
        <w:t>https://files.eric.ed.gov/fulltext/ED614352.pdf</w:t>
      </w:r>
    </w:p>
    <w:p w14:paraId="756A8742" w14:textId="77777777" w:rsidR="00D44CFB" w:rsidRPr="00D25FA7" w:rsidRDefault="00D44CFB" w:rsidP="00D25FA7">
      <w:pPr>
        <w:pStyle w:val="EndNoteBibliography"/>
        <w:spacing w:after="0"/>
        <w:ind w:left="720" w:hanging="720"/>
      </w:pPr>
      <w:r w:rsidRPr="00D25FA7">
        <w:t xml:space="preserve">Olafsen, A. H. (2017). The implications of need-satisfying work climates on state mindfulness in a longitudinal analysis of work outcomes. </w:t>
      </w:r>
      <w:r w:rsidRPr="00D25FA7">
        <w:rPr>
          <w:i/>
        </w:rPr>
        <w:t>Motivation and Emotion</w:t>
      </w:r>
      <w:r w:rsidRPr="00D25FA7">
        <w:t>,</w:t>
      </w:r>
      <w:r w:rsidRPr="00D25FA7">
        <w:rPr>
          <w:i/>
        </w:rPr>
        <w:t xml:space="preserve"> 41</w:t>
      </w:r>
      <w:r w:rsidRPr="00D25FA7">
        <w:t xml:space="preserve">(1), 22-37. </w:t>
      </w:r>
    </w:p>
    <w:p w14:paraId="12D3EFA2" w14:textId="77777777" w:rsidR="00D44CFB" w:rsidRPr="00D25FA7" w:rsidRDefault="00D44CFB" w:rsidP="00D25FA7">
      <w:pPr>
        <w:pStyle w:val="EndNoteBibliography"/>
        <w:spacing w:after="0"/>
        <w:ind w:left="720" w:hanging="720"/>
      </w:pPr>
      <w:r w:rsidRPr="00D25FA7">
        <w:lastRenderedPageBreak/>
        <w:t xml:space="preserve">Rasch, G. (1960). </w:t>
      </w:r>
      <w:r w:rsidRPr="00D25FA7">
        <w:rPr>
          <w:i/>
        </w:rPr>
        <w:t>Probabilistic models for some intelligence and attainment tests</w:t>
      </w:r>
      <w:r w:rsidRPr="00D25FA7">
        <w:t xml:space="preserve">. The University of Chicago Press. </w:t>
      </w:r>
    </w:p>
    <w:p w14:paraId="679CC8AE" w14:textId="77777777" w:rsidR="00D44CFB" w:rsidRPr="00D25FA7" w:rsidRDefault="00D44CFB" w:rsidP="00D25FA7">
      <w:pPr>
        <w:pStyle w:val="EndNoteBibliography"/>
        <w:spacing w:after="0"/>
        <w:ind w:left="720" w:hanging="720"/>
      </w:pPr>
      <w:r w:rsidRPr="00D25FA7">
        <w:t xml:space="preserve">Resse, T. W. (1943). The application of the theory of physical measurement to the measurement of psychological magnitudes, with three experimental examples. </w:t>
      </w:r>
      <w:r w:rsidRPr="00D25FA7">
        <w:rPr>
          <w:i/>
        </w:rPr>
        <w:t>Psychological Monographs</w:t>
      </w:r>
      <w:r w:rsidRPr="00D25FA7">
        <w:t>,</w:t>
      </w:r>
      <w:r w:rsidRPr="00D25FA7">
        <w:rPr>
          <w:i/>
        </w:rPr>
        <w:t xml:space="preserve"> 55</w:t>
      </w:r>
      <w:r w:rsidRPr="00D25FA7">
        <w:t xml:space="preserve">(3), i-89. </w:t>
      </w:r>
      <w:r w:rsidRPr="00D44CFB">
        <w:t>https://doi.org/10.1037/h0093539</w:t>
      </w:r>
      <w:r w:rsidRPr="00D25FA7">
        <w:t xml:space="preserve"> </w:t>
      </w:r>
    </w:p>
    <w:p w14:paraId="04CBA936" w14:textId="77777777" w:rsidR="00D44CFB" w:rsidRPr="00D25FA7" w:rsidRDefault="00D44CFB" w:rsidP="00D25FA7">
      <w:pPr>
        <w:pStyle w:val="EndNoteBibliography"/>
        <w:spacing w:after="0"/>
        <w:ind w:left="720" w:hanging="720"/>
      </w:pPr>
      <w:r w:rsidRPr="00D25FA7">
        <w:t xml:space="preserve">Van den Broeck, A., Carpini, J., Leroy, H., &amp; Diefendorff, J. M. (2017). How Much Effort Will I Put into My Work? It Depends on Your Type of Motivation. In </w:t>
      </w:r>
      <w:r w:rsidRPr="00D25FA7">
        <w:rPr>
          <w:i/>
        </w:rPr>
        <w:t>An Introduction to Work and Organizational Psychology</w:t>
      </w:r>
      <w:r w:rsidRPr="00D25FA7">
        <w:t xml:space="preserve"> (pp. 354-372). </w:t>
      </w:r>
      <w:r w:rsidRPr="00D44CFB">
        <w:t>https://doi.org/https://doi.org/10.1002/9781119168058.ch19</w:t>
      </w:r>
      <w:r w:rsidRPr="00D25FA7">
        <w:t xml:space="preserve"> </w:t>
      </w:r>
    </w:p>
    <w:p w14:paraId="1427229C" w14:textId="77777777" w:rsidR="00D44CFB" w:rsidRPr="00D25FA7" w:rsidRDefault="00D44CFB" w:rsidP="00D25FA7">
      <w:pPr>
        <w:pStyle w:val="EndNoteBibliography"/>
        <w:spacing w:after="0"/>
        <w:ind w:left="720" w:hanging="720"/>
      </w:pPr>
      <w:r w:rsidRPr="00D25FA7">
        <w:t xml:space="preserve">Van den Broeck, A., Ferris, D. L., Chang, C.-H., &amp; Rosen, C. C. (2016). A review of self-determination theory’s basic psychological needs at work. </w:t>
      </w:r>
      <w:r w:rsidRPr="00D25FA7">
        <w:rPr>
          <w:i/>
        </w:rPr>
        <w:t>Journal of</w:t>
      </w:r>
      <w:r w:rsidR="00190906">
        <w:rPr>
          <w:i/>
        </w:rPr>
        <w:t xml:space="preserve"> M</w:t>
      </w:r>
      <w:r w:rsidRPr="00D25FA7">
        <w:rPr>
          <w:i/>
        </w:rPr>
        <w:t>anagement</w:t>
      </w:r>
      <w:r w:rsidRPr="00D25FA7">
        <w:t>,</w:t>
      </w:r>
      <w:r w:rsidRPr="00D25FA7">
        <w:rPr>
          <w:i/>
        </w:rPr>
        <w:t xml:space="preserve"> 42</w:t>
      </w:r>
      <w:r w:rsidRPr="00D25FA7">
        <w:t xml:space="preserve">(5), 1195-1229. </w:t>
      </w:r>
    </w:p>
    <w:p w14:paraId="3C6771AB" w14:textId="77777777" w:rsidR="00D44CFB" w:rsidRPr="00D25FA7" w:rsidRDefault="00D44CFB" w:rsidP="00D25FA7">
      <w:pPr>
        <w:pStyle w:val="EndNoteBibliography"/>
        <w:spacing w:after="0"/>
        <w:ind w:left="720" w:hanging="720"/>
      </w:pPr>
      <w:r w:rsidRPr="00D25FA7">
        <w:t xml:space="preserve">Van den Broeck, A., Vansteenkiste, M., De Witte, H., Soenens, B., &amp; Lens, W. (2010). Capturing autonomy, competence, and relatedness at work: Construction and initial validation of the Work-related Basic Need Satisfaction scale. </w:t>
      </w:r>
      <w:r w:rsidRPr="00D25FA7">
        <w:rPr>
          <w:i/>
        </w:rPr>
        <w:t>Journal of Occupational and Organizational Psychology</w:t>
      </w:r>
      <w:r w:rsidRPr="00D25FA7">
        <w:t>,</w:t>
      </w:r>
      <w:r w:rsidRPr="00D25FA7">
        <w:rPr>
          <w:i/>
        </w:rPr>
        <w:t xml:space="preserve"> 83</w:t>
      </w:r>
      <w:r w:rsidRPr="00D25FA7">
        <w:t xml:space="preserve">(4), 981-1002. </w:t>
      </w:r>
      <w:r w:rsidRPr="00D44CFB">
        <w:t>https://doi.org/https://doi.org/10.1348/096317909X481382</w:t>
      </w:r>
      <w:r w:rsidRPr="00D25FA7">
        <w:t xml:space="preserve"> </w:t>
      </w:r>
    </w:p>
    <w:p w14:paraId="67809365" w14:textId="77777777" w:rsidR="00D44CFB" w:rsidRPr="00D25FA7" w:rsidRDefault="00D44CFB" w:rsidP="00D25FA7">
      <w:pPr>
        <w:pStyle w:val="EndNoteBibliography"/>
        <w:spacing w:after="0"/>
        <w:ind w:left="720" w:hanging="720"/>
      </w:pPr>
      <w:r w:rsidRPr="00D25FA7">
        <w:t xml:space="preserve">Vansteenkiste, M., Soenens, B., &amp; Ryan, R. M. (2023). 84Basic Psychological Needs Theory: A Conceptual and Empirical Review of Key Criteria. In R. M. Ryan (Ed.), </w:t>
      </w:r>
      <w:r w:rsidRPr="00D25FA7">
        <w:rPr>
          <w:i/>
        </w:rPr>
        <w:t>The Oxford Handbook of Self-Determination Theory</w:t>
      </w:r>
      <w:r w:rsidRPr="00D25FA7">
        <w:t xml:space="preserve"> (pp. 0). Oxford University Press. </w:t>
      </w:r>
      <w:r w:rsidRPr="00D44CFB">
        <w:t>https://doi.org/10.1093/oxfordhb/9780197600047.013.5</w:t>
      </w:r>
      <w:r w:rsidRPr="00D25FA7">
        <w:t xml:space="preserve"> </w:t>
      </w:r>
    </w:p>
    <w:p w14:paraId="4AA38792" w14:textId="77777777" w:rsidR="00D44CFB" w:rsidRPr="00D25FA7" w:rsidRDefault="00D44CFB" w:rsidP="00D25FA7">
      <w:pPr>
        <w:pStyle w:val="EndNoteBibliography"/>
        <w:ind w:left="720" w:hanging="720"/>
      </w:pPr>
      <w:r w:rsidRPr="00D25FA7">
        <w:t xml:space="preserve">Wright, B. D. (1999). Fundamental measurement for psychology. In </w:t>
      </w:r>
      <w:r w:rsidRPr="00D25FA7">
        <w:rPr>
          <w:i/>
        </w:rPr>
        <w:t>The new rules of measurement: What every psychologist and educator should know.</w:t>
      </w:r>
      <w:r w:rsidRPr="00D25FA7">
        <w:t xml:space="preserve"> (pp. 65-104). Lawrence Erlbaum Associates Publishers. </w:t>
      </w:r>
      <w:r w:rsidRPr="00D44CFB">
        <w:t>https://doi.org/10.4324/9781410603593</w:t>
      </w:r>
      <w:r w:rsidRPr="00D25FA7">
        <w:t xml:space="preserve"> </w:t>
      </w:r>
    </w:p>
    <w:p w14:paraId="7E94CBDE" w14:textId="77777777" w:rsidR="00D44CFB" w:rsidRDefault="00D44CFB" w:rsidP="005B014C">
      <w:pPr>
        <w:pStyle w:val="EndNoteBibliography"/>
      </w:pPr>
    </w:p>
    <w:p w14:paraId="2D5E1011" w14:textId="77777777" w:rsidR="00E677B3" w:rsidRDefault="00E677B3"/>
    <w:sectPr w:rsidR="00E677B3" w:rsidSect="00D44C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 w15:restartNumberingAfterBreak="0">
    <w:nsid w:val="27DB2949"/>
    <w:multiLevelType w:val="hybridMultilevel"/>
    <w:tmpl w:val="D3C84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8624BC"/>
    <w:multiLevelType w:val="hybridMultilevel"/>
    <w:tmpl w:val="F7F4F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B267AB"/>
    <w:multiLevelType w:val="hybridMultilevel"/>
    <w:tmpl w:val="CB74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A4432D"/>
    <w:multiLevelType w:val="hybridMultilevel"/>
    <w:tmpl w:val="95AA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5C23F8"/>
    <w:multiLevelType w:val="multilevel"/>
    <w:tmpl w:val="1B52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5F50FF"/>
    <w:multiLevelType w:val="hybridMultilevel"/>
    <w:tmpl w:val="08D8A0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BD419F"/>
    <w:multiLevelType w:val="multilevel"/>
    <w:tmpl w:val="54141CB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1180278">
    <w:abstractNumId w:val="3"/>
  </w:num>
  <w:num w:numId="2" w16cid:durableId="1841390357">
    <w:abstractNumId w:val="6"/>
  </w:num>
  <w:num w:numId="3" w16cid:durableId="233777517">
    <w:abstractNumId w:val="8"/>
  </w:num>
  <w:num w:numId="4" w16cid:durableId="1864398404">
    <w:abstractNumId w:val="1"/>
  </w:num>
  <w:num w:numId="5" w16cid:durableId="692540222">
    <w:abstractNumId w:val="4"/>
  </w:num>
  <w:num w:numId="6" w16cid:durableId="1614242417">
    <w:abstractNumId w:val="5"/>
  </w:num>
  <w:num w:numId="7" w16cid:durableId="1367215268">
    <w:abstractNumId w:val="7"/>
  </w:num>
  <w:num w:numId="8" w16cid:durableId="2002923295">
    <w:abstractNumId w:val="0"/>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9" w16cid:durableId="838733254">
    <w:abstractNumId w:val="0"/>
  </w:num>
  <w:num w:numId="10" w16cid:durableId="100885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D44CFB"/>
    <w:rsid w:val="00032E58"/>
    <w:rsid w:val="00190906"/>
    <w:rsid w:val="002C0C45"/>
    <w:rsid w:val="00455E15"/>
    <w:rsid w:val="00697F37"/>
    <w:rsid w:val="00774A56"/>
    <w:rsid w:val="00BC215D"/>
    <w:rsid w:val="00D44CFB"/>
    <w:rsid w:val="00E677B3"/>
    <w:rsid w:val="00F40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E651"/>
  <w15:chartTrackingRefBased/>
  <w15:docId w15:val="{51307CD4-4029-4E88-BB68-7C886DB2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CFB"/>
    <w:rPr>
      <w:rFonts w:ascii="Arial" w:hAnsi="Arial" w:cs="Arial"/>
      <w:kern w:val="3"/>
      <w:sz w:val="24"/>
      <w:szCs w:val="24"/>
      <w14:ligatures w14:val="none"/>
    </w:rPr>
  </w:style>
  <w:style w:type="paragraph" w:styleId="Heading1">
    <w:name w:val="heading 1"/>
    <w:basedOn w:val="ListParagraph"/>
    <w:next w:val="Normal"/>
    <w:link w:val="Heading1Char"/>
    <w:uiPriority w:val="2"/>
    <w:qFormat/>
    <w:rsid w:val="00D44CFB"/>
    <w:pPr>
      <w:numPr>
        <w:numId w:val="8"/>
      </w:numPr>
      <w:spacing w:before="240" w:after="240" w:line="240" w:lineRule="auto"/>
      <w:contextualSpacing w:val="0"/>
      <w:outlineLvl w:val="0"/>
    </w:pPr>
    <w:rPr>
      <w:rFonts w:ascii="Times New Roman" w:eastAsia="Cambria" w:hAnsi="Times New Roman" w:cs="Times New Roman"/>
      <w:b/>
      <w:kern w:val="0"/>
      <w:lang w:val="en-US"/>
    </w:rPr>
  </w:style>
  <w:style w:type="paragraph" w:styleId="Heading2">
    <w:name w:val="heading 2"/>
    <w:basedOn w:val="Heading1"/>
    <w:next w:val="Normal"/>
    <w:link w:val="Heading2Char"/>
    <w:uiPriority w:val="2"/>
    <w:qFormat/>
    <w:rsid w:val="00D44CFB"/>
    <w:pPr>
      <w:numPr>
        <w:ilvl w:val="1"/>
      </w:numPr>
      <w:spacing w:after="200"/>
      <w:outlineLvl w:val="1"/>
    </w:pPr>
  </w:style>
  <w:style w:type="paragraph" w:styleId="Heading3">
    <w:name w:val="heading 3"/>
    <w:basedOn w:val="Normal"/>
    <w:next w:val="Normal"/>
    <w:link w:val="Heading3Char"/>
    <w:uiPriority w:val="2"/>
    <w:qFormat/>
    <w:rsid w:val="00D44CFB"/>
    <w:pPr>
      <w:keepNext/>
      <w:keepLines/>
      <w:numPr>
        <w:ilvl w:val="2"/>
        <w:numId w:val="8"/>
      </w:numPr>
      <w:spacing w:before="40" w:after="120" w:line="240" w:lineRule="auto"/>
      <w:outlineLvl w:val="2"/>
    </w:pPr>
    <w:rPr>
      <w:rFonts w:ascii="Times New Roman" w:eastAsiaTheme="majorEastAsia" w:hAnsi="Times New Roman" w:cstheme="majorBidi"/>
      <w:b/>
      <w:kern w:val="0"/>
      <w:lang w:val="en-US"/>
    </w:rPr>
  </w:style>
  <w:style w:type="paragraph" w:styleId="Heading4">
    <w:name w:val="heading 4"/>
    <w:basedOn w:val="Heading3"/>
    <w:next w:val="Normal"/>
    <w:link w:val="Heading4Char"/>
    <w:uiPriority w:val="2"/>
    <w:qFormat/>
    <w:rsid w:val="00D44CFB"/>
    <w:pPr>
      <w:numPr>
        <w:ilvl w:val="3"/>
      </w:numPr>
      <w:outlineLvl w:val="3"/>
    </w:pPr>
    <w:rPr>
      <w:iCs/>
    </w:rPr>
  </w:style>
  <w:style w:type="paragraph" w:styleId="Heading5">
    <w:name w:val="heading 5"/>
    <w:basedOn w:val="Heading4"/>
    <w:next w:val="Normal"/>
    <w:link w:val="Heading5Char"/>
    <w:uiPriority w:val="2"/>
    <w:qFormat/>
    <w:rsid w:val="00D44CFB"/>
    <w:pPr>
      <w:numPr>
        <w:ilvl w:val="4"/>
      </w:numPr>
      <w:outlineLvl w:val="4"/>
    </w:pPr>
  </w:style>
  <w:style w:type="paragraph" w:styleId="Heading6">
    <w:name w:val="heading 6"/>
    <w:basedOn w:val="Normal"/>
    <w:next w:val="Normal"/>
    <w:link w:val="Heading6Char"/>
    <w:uiPriority w:val="9"/>
    <w:semiHidden/>
    <w:unhideWhenUsed/>
    <w:qFormat/>
    <w:rsid w:val="00D44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D44CFB"/>
    <w:rPr>
      <w:rFonts w:ascii="Times New Roman" w:eastAsia="Cambria" w:hAnsi="Times New Roman" w:cs="Times New Roman"/>
      <w:b/>
      <w:kern w:val="0"/>
      <w:sz w:val="24"/>
      <w:szCs w:val="24"/>
      <w:lang w:val="en-US"/>
      <w14:ligatures w14:val="none"/>
    </w:rPr>
  </w:style>
  <w:style w:type="character" w:customStyle="1" w:styleId="Heading2Char">
    <w:name w:val="Heading 2 Char"/>
    <w:basedOn w:val="DefaultParagraphFont"/>
    <w:link w:val="Heading2"/>
    <w:uiPriority w:val="2"/>
    <w:rsid w:val="00D44CFB"/>
    <w:rPr>
      <w:rFonts w:ascii="Times New Roman" w:eastAsia="Cambria" w:hAnsi="Times New Roman" w:cs="Times New Roman"/>
      <w:b/>
      <w:kern w:val="0"/>
      <w:sz w:val="24"/>
      <w:szCs w:val="24"/>
      <w:lang w:val="en-US"/>
      <w14:ligatures w14:val="none"/>
    </w:rPr>
  </w:style>
  <w:style w:type="character" w:customStyle="1" w:styleId="Heading3Char">
    <w:name w:val="Heading 3 Char"/>
    <w:basedOn w:val="DefaultParagraphFont"/>
    <w:link w:val="Heading3"/>
    <w:uiPriority w:val="2"/>
    <w:rsid w:val="00D44CFB"/>
    <w:rPr>
      <w:rFonts w:ascii="Times New Roman" w:eastAsiaTheme="majorEastAsia" w:hAnsi="Times New Roman" w:cstheme="majorBidi"/>
      <w:b/>
      <w:kern w:val="0"/>
      <w:sz w:val="24"/>
      <w:szCs w:val="24"/>
      <w:lang w:val="en-US"/>
      <w14:ligatures w14:val="none"/>
    </w:rPr>
  </w:style>
  <w:style w:type="character" w:customStyle="1" w:styleId="Heading4Char">
    <w:name w:val="Heading 4 Char"/>
    <w:basedOn w:val="DefaultParagraphFont"/>
    <w:link w:val="Heading4"/>
    <w:uiPriority w:val="2"/>
    <w:rsid w:val="00D44CFB"/>
    <w:rPr>
      <w:rFonts w:ascii="Times New Roman" w:eastAsiaTheme="majorEastAsia" w:hAnsi="Times New Roman" w:cstheme="majorBidi"/>
      <w:b/>
      <w:iCs/>
      <w:kern w:val="0"/>
      <w:sz w:val="24"/>
      <w:szCs w:val="24"/>
      <w:lang w:val="en-US"/>
      <w14:ligatures w14:val="none"/>
    </w:rPr>
  </w:style>
  <w:style w:type="character" w:customStyle="1" w:styleId="Heading5Char">
    <w:name w:val="Heading 5 Char"/>
    <w:basedOn w:val="DefaultParagraphFont"/>
    <w:link w:val="Heading5"/>
    <w:uiPriority w:val="2"/>
    <w:rsid w:val="00D44CFB"/>
    <w:rPr>
      <w:rFonts w:ascii="Times New Roman" w:eastAsiaTheme="majorEastAsia" w:hAnsi="Times New Roman" w:cstheme="majorBidi"/>
      <w:b/>
      <w:iCs/>
      <w:kern w:val="0"/>
      <w:sz w:val="24"/>
      <w:szCs w:val="24"/>
      <w:lang w:val="en-US"/>
      <w14:ligatures w14:val="none"/>
    </w:rPr>
  </w:style>
  <w:style w:type="character" w:customStyle="1" w:styleId="Heading6Char">
    <w:name w:val="Heading 6 Char"/>
    <w:basedOn w:val="DefaultParagraphFont"/>
    <w:link w:val="Heading6"/>
    <w:uiPriority w:val="9"/>
    <w:semiHidden/>
    <w:rsid w:val="00D44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CFB"/>
    <w:rPr>
      <w:rFonts w:eastAsiaTheme="majorEastAsia" w:cstheme="majorBidi"/>
      <w:color w:val="272727" w:themeColor="text1" w:themeTint="D8"/>
    </w:rPr>
  </w:style>
  <w:style w:type="paragraph" w:styleId="Title">
    <w:name w:val="Title"/>
    <w:basedOn w:val="Normal"/>
    <w:next w:val="Normal"/>
    <w:link w:val="TitleChar"/>
    <w:uiPriority w:val="10"/>
    <w:qFormat/>
    <w:rsid w:val="00D44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CFB"/>
    <w:pPr>
      <w:spacing w:before="160"/>
      <w:jc w:val="center"/>
    </w:pPr>
    <w:rPr>
      <w:i/>
      <w:iCs/>
      <w:color w:val="404040" w:themeColor="text1" w:themeTint="BF"/>
    </w:rPr>
  </w:style>
  <w:style w:type="character" w:customStyle="1" w:styleId="QuoteChar">
    <w:name w:val="Quote Char"/>
    <w:basedOn w:val="DefaultParagraphFont"/>
    <w:link w:val="Quote"/>
    <w:uiPriority w:val="29"/>
    <w:rsid w:val="00D44CFB"/>
    <w:rPr>
      <w:i/>
      <w:iCs/>
      <w:color w:val="404040" w:themeColor="text1" w:themeTint="BF"/>
    </w:rPr>
  </w:style>
  <w:style w:type="paragraph" w:styleId="ListParagraph">
    <w:name w:val="List Paragraph"/>
    <w:basedOn w:val="Normal"/>
    <w:uiPriority w:val="34"/>
    <w:qFormat/>
    <w:rsid w:val="00D44CFB"/>
    <w:pPr>
      <w:ind w:left="720"/>
      <w:contextualSpacing/>
    </w:pPr>
  </w:style>
  <w:style w:type="character" w:styleId="IntenseEmphasis">
    <w:name w:val="Intense Emphasis"/>
    <w:basedOn w:val="DefaultParagraphFont"/>
    <w:uiPriority w:val="21"/>
    <w:qFormat/>
    <w:rsid w:val="00D44CFB"/>
    <w:rPr>
      <w:i/>
      <w:iCs/>
      <w:color w:val="0F4761" w:themeColor="accent1" w:themeShade="BF"/>
    </w:rPr>
  </w:style>
  <w:style w:type="paragraph" w:styleId="IntenseQuote">
    <w:name w:val="Intense Quote"/>
    <w:basedOn w:val="Normal"/>
    <w:next w:val="Normal"/>
    <w:link w:val="IntenseQuoteChar"/>
    <w:uiPriority w:val="30"/>
    <w:qFormat/>
    <w:rsid w:val="00D44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CFB"/>
    <w:rPr>
      <w:i/>
      <w:iCs/>
      <w:color w:val="0F4761" w:themeColor="accent1" w:themeShade="BF"/>
    </w:rPr>
  </w:style>
  <w:style w:type="character" w:styleId="IntenseReference">
    <w:name w:val="Intense Reference"/>
    <w:basedOn w:val="DefaultParagraphFont"/>
    <w:uiPriority w:val="32"/>
    <w:qFormat/>
    <w:rsid w:val="00D44CFB"/>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D44CFB"/>
    <w:pPr>
      <w:spacing w:after="0"/>
      <w:jc w:val="center"/>
    </w:pPr>
    <w:rPr>
      <w:noProof/>
      <w:sz w:val="22"/>
      <w:lang w:val="en-US"/>
    </w:rPr>
  </w:style>
  <w:style w:type="character" w:customStyle="1" w:styleId="EndNoteBibliographyTitleChar">
    <w:name w:val="EndNote Bibliography Title Char"/>
    <w:basedOn w:val="DefaultParagraphFont"/>
    <w:link w:val="EndNoteBibliographyTitle"/>
    <w:rsid w:val="00D44CFB"/>
    <w:rPr>
      <w:rFonts w:ascii="Arial" w:hAnsi="Arial" w:cs="Arial"/>
      <w:noProof/>
      <w:kern w:val="3"/>
      <w:szCs w:val="24"/>
      <w:lang w:val="en-US"/>
      <w14:ligatures w14:val="none"/>
    </w:rPr>
  </w:style>
  <w:style w:type="paragraph" w:customStyle="1" w:styleId="EndNoteBibliography">
    <w:name w:val="EndNote Bibliography"/>
    <w:basedOn w:val="Normal"/>
    <w:link w:val="EndNoteBibliographyChar"/>
    <w:rsid w:val="00D44CFB"/>
    <w:pPr>
      <w:spacing w:line="360" w:lineRule="auto"/>
    </w:pPr>
    <w:rPr>
      <w:noProof/>
      <w:sz w:val="22"/>
      <w:lang w:val="en-US"/>
    </w:rPr>
  </w:style>
  <w:style w:type="character" w:customStyle="1" w:styleId="EndNoteBibliographyChar">
    <w:name w:val="EndNote Bibliography Char"/>
    <w:basedOn w:val="DefaultParagraphFont"/>
    <w:link w:val="EndNoteBibliography"/>
    <w:rsid w:val="00D44CFB"/>
    <w:rPr>
      <w:rFonts w:ascii="Arial" w:hAnsi="Arial" w:cs="Arial"/>
      <w:noProof/>
      <w:kern w:val="3"/>
      <w:szCs w:val="24"/>
      <w:lang w:val="en-US"/>
      <w14:ligatures w14:val="none"/>
    </w:rPr>
  </w:style>
  <w:style w:type="table" w:styleId="TableGrid">
    <w:name w:val="Table Grid"/>
    <w:basedOn w:val="TableNormal"/>
    <w:uiPriority w:val="39"/>
    <w:rsid w:val="00D44CFB"/>
    <w:pPr>
      <w:spacing w:after="0" w:line="240" w:lineRule="auto"/>
    </w:pPr>
    <w:rPr>
      <w:rFonts w:ascii="Calibri" w:eastAsia="Calibri" w:hAnsi="Calibri" w:cs="Calibri"/>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4CFB"/>
    <w:rPr>
      <w:color w:val="0000FF"/>
      <w:u w:val="single"/>
    </w:rPr>
  </w:style>
  <w:style w:type="paragraph" w:styleId="Revision">
    <w:name w:val="Revision"/>
    <w:hidden/>
    <w:uiPriority w:val="99"/>
    <w:semiHidden/>
    <w:rsid w:val="00D44CFB"/>
    <w:pPr>
      <w:spacing w:after="0" w:line="240" w:lineRule="auto"/>
    </w:pPr>
    <w:rPr>
      <w:rFonts w:ascii="Arial" w:hAnsi="Arial" w:cs="Arial"/>
      <w:kern w:val="3"/>
      <w:sz w:val="24"/>
      <w:szCs w:val="24"/>
      <w14:ligatures w14:val="none"/>
    </w:rPr>
  </w:style>
  <w:style w:type="character" w:styleId="CommentReference">
    <w:name w:val="annotation reference"/>
    <w:basedOn w:val="DefaultParagraphFont"/>
    <w:uiPriority w:val="99"/>
    <w:semiHidden/>
    <w:unhideWhenUsed/>
    <w:rsid w:val="00D44CFB"/>
    <w:rPr>
      <w:sz w:val="16"/>
      <w:szCs w:val="16"/>
    </w:rPr>
  </w:style>
  <w:style w:type="paragraph" w:styleId="CommentText">
    <w:name w:val="annotation text"/>
    <w:basedOn w:val="Normal"/>
    <w:link w:val="CommentTextChar"/>
    <w:uiPriority w:val="99"/>
    <w:unhideWhenUsed/>
    <w:rsid w:val="00D44CFB"/>
    <w:pPr>
      <w:spacing w:line="240" w:lineRule="auto"/>
    </w:pPr>
    <w:rPr>
      <w:sz w:val="20"/>
      <w:szCs w:val="20"/>
    </w:rPr>
  </w:style>
  <w:style w:type="character" w:customStyle="1" w:styleId="CommentTextChar">
    <w:name w:val="Comment Text Char"/>
    <w:basedOn w:val="DefaultParagraphFont"/>
    <w:link w:val="CommentText"/>
    <w:uiPriority w:val="99"/>
    <w:rsid w:val="00D44CFB"/>
    <w:rPr>
      <w:rFonts w:ascii="Arial" w:hAnsi="Arial" w:cs="Arial"/>
      <w:kern w:val="3"/>
      <w:sz w:val="20"/>
      <w:szCs w:val="20"/>
      <w14:ligatures w14:val="none"/>
    </w:rPr>
  </w:style>
  <w:style w:type="paragraph" w:styleId="CommentSubject">
    <w:name w:val="annotation subject"/>
    <w:basedOn w:val="CommentText"/>
    <w:next w:val="CommentText"/>
    <w:link w:val="CommentSubjectChar"/>
    <w:uiPriority w:val="99"/>
    <w:semiHidden/>
    <w:unhideWhenUsed/>
    <w:rsid w:val="00D44CFB"/>
    <w:rPr>
      <w:b/>
      <w:bCs/>
    </w:rPr>
  </w:style>
  <w:style w:type="character" w:customStyle="1" w:styleId="CommentSubjectChar">
    <w:name w:val="Comment Subject Char"/>
    <w:basedOn w:val="CommentTextChar"/>
    <w:link w:val="CommentSubject"/>
    <w:uiPriority w:val="99"/>
    <w:semiHidden/>
    <w:rsid w:val="00D44CFB"/>
    <w:rPr>
      <w:rFonts w:ascii="Arial" w:hAnsi="Arial" w:cs="Arial"/>
      <w:b/>
      <w:bCs/>
      <w:kern w:val="3"/>
      <w:sz w:val="20"/>
      <w:szCs w:val="20"/>
      <w14:ligatures w14:val="none"/>
    </w:rPr>
  </w:style>
  <w:style w:type="paragraph" w:styleId="BalloonText">
    <w:name w:val="Balloon Text"/>
    <w:basedOn w:val="Normal"/>
    <w:link w:val="BalloonTextChar"/>
    <w:uiPriority w:val="99"/>
    <w:semiHidden/>
    <w:unhideWhenUsed/>
    <w:rsid w:val="00D44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CFB"/>
    <w:rPr>
      <w:rFonts w:ascii="Segoe UI" w:hAnsi="Segoe UI" w:cs="Segoe UI"/>
      <w:kern w:val="3"/>
      <w:sz w:val="18"/>
      <w:szCs w:val="18"/>
      <w14:ligatures w14:val="none"/>
    </w:rPr>
  </w:style>
  <w:style w:type="character" w:styleId="UnresolvedMention">
    <w:name w:val="Unresolved Mention"/>
    <w:basedOn w:val="DefaultParagraphFont"/>
    <w:uiPriority w:val="99"/>
    <w:semiHidden/>
    <w:unhideWhenUsed/>
    <w:rsid w:val="00D44CFB"/>
    <w:rPr>
      <w:color w:val="605E5C"/>
      <w:shd w:val="clear" w:color="auto" w:fill="E1DFDD"/>
    </w:rPr>
  </w:style>
  <w:style w:type="numbering" w:customStyle="1" w:styleId="Headings">
    <w:name w:val="Headings"/>
    <w:uiPriority w:val="99"/>
    <w:rsid w:val="00D44CFB"/>
    <w:pPr>
      <w:numPr>
        <w:numId w:val="9"/>
      </w:numPr>
    </w:pPr>
  </w:style>
  <w:style w:type="paragraph" w:customStyle="1" w:styleId="pf0">
    <w:name w:val="pf0"/>
    <w:basedOn w:val="Normal"/>
    <w:rsid w:val="00D44CFB"/>
    <w:pPr>
      <w:spacing w:before="100" w:beforeAutospacing="1" w:after="100" w:afterAutospacing="1" w:line="240" w:lineRule="auto"/>
    </w:pPr>
    <w:rPr>
      <w:rFonts w:ascii="Times New Roman" w:eastAsia="Times New Roman" w:hAnsi="Times New Roman" w:cs="Times New Roman"/>
      <w:kern w:val="0"/>
      <w:lang w:eastAsia="en-GB"/>
    </w:rPr>
  </w:style>
  <w:style w:type="character" w:customStyle="1" w:styleId="cf01">
    <w:name w:val="cf01"/>
    <w:basedOn w:val="DefaultParagraphFont"/>
    <w:rsid w:val="00D44CFB"/>
    <w:rPr>
      <w:rFonts w:ascii="Segoe UI" w:hAnsi="Segoe UI" w:cs="Segoe UI" w:hint="default"/>
      <w:color w:val="222222"/>
      <w:sz w:val="18"/>
      <w:szCs w:val="18"/>
      <w:shd w:val="clear" w:color="auto" w:fill="FFFFFF"/>
    </w:rPr>
  </w:style>
  <w:style w:type="character" w:customStyle="1" w:styleId="cf11">
    <w:name w:val="cf11"/>
    <w:basedOn w:val="DefaultParagraphFont"/>
    <w:rsid w:val="00D44CFB"/>
    <w:rPr>
      <w:rFonts w:ascii="Segoe UI" w:hAnsi="Segoe UI" w:cs="Segoe UI" w:hint="default"/>
      <w:i/>
      <w:iCs/>
      <w:color w:val="222222"/>
      <w:sz w:val="18"/>
      <w:szCs w:val="18"/>
      <w:shd w:val="clear" w:color="auto" w:fill="FFFFFF"/>
    </w:rPr>
  </w:style>
  <w:style w:type="character" w:customStyle="1" w:styleId="cf21">
    <w:name w:val="cf21"/>
    <w:basedOn w:val="DefaultParagraphFont"/>
    <w:rsid w:val="00D44CFB"/>
    <w:rPr>
      <w:rFonts w:ascii="Segoe UI" w:hAnsi="Segoe UI" w:cs="Segoe UI" w:hint="default"/>
      <w:sz w:val="18"/>
      <w:szCs w:val="18"/>
    </w:rPr>
  </w:style>
  <w:style w:type="paragraph" w:styleId="NormalWeb">
    <w:name w:val="Normal (Web)"/>
    <w:basedOn w:val="Normal"/>
    <w:uiPriority w:val="99"/>
    <w:semiHidden/>
    <w:unhideWhenUsed/>
    <w:rsid w:val="00D44CFB"/>
    <w:pPr>
      <w:spacing w:before="100" w:beforeAutospacing="1" w:after="100" w:afterAutospacing="1" w:line="240" w:lineRule="auto"/>
    </w:pPr>
    <w:rPr>
      <w:rFonts w:ascii="Times New Roman" w:eastAsia="Times New Roman" w:hAnsi="Times New Roman" w:cs="Times New Roman"/>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2147</Words>
  <Characters>12243</Characters>
  <Application>Microsoft Office Word</Application>
  <DocSecurity>0</DocSecurity>
  <Lines>102</Lines>
  <Paragraphs>28</Paragraphs>
  <ScaleCrop>false</ScaleCrop>
  <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Tiffin</dc:creator>
  <cp:keywords/>
  <dc:description/>
  <cp:lastModifiedBy>Paul Tiffin</cp:lastModifiedBy>
  <cp:revision>3</cp:revision>
  <dcterms:created xsi:type="dcterms:W3CDTF">2024-10-02T09:28:00Z</dcterms:created>
  <dcterms:modified xsi:type="dcterms:W3CDTF">2024-10-02T09:28:00Z</dcterms:modified>
</cp:coreProperties>
</file>