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1 reference coded  [0.32%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1 - 0.32%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usually in a prehistory context, but up to industrial revolutions time for more niche localised habitat changes)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