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2FD38" w14:textId="77777777" w:rsidR="00872E45" w:rsidRPr="00872E45" w:rsidRDefault="00872E45" w:rsidP="00872E45">
      <w:pPr>
        <w:spacing w:line="480" w:lineRule="auto"/>
        <w:jc w:val="both"/>
        <w:rPr>
          <w:rFonts w:asciiTheme="minorHAnsi" w:hAnsiTheme="minorHAnsi" w:cstheme="minorHAnsi"/>
          <w:b/>
          <w:sz w:val="28"/>
          <w:szCs w:val="28"/>
        </w:rPr>
      </w:pPr>
      <w:r w:rsidRPr="00872E45">
        <w:rPr>
          <w:rFonts w:asciiTheme="minorHAnsi" w:hAnsiTheme="minorHAnsi" w:cstheme="minorHAnsi"/>
          <w:b/>
          <w:sz w:val="28"/>
          <w:szCs w:val="28"/>
        </w:rPr>
        <w:t xml:space="preserve">Supplementary material </w:t>
      </w:r>
    </w:p>
    <w:p w14:paraId="1BF3C33F" w14:textId="77777777" w:rsidR="00F613A2" w:rsidRPr="00540E66" w:rsidRDefault="00F613A2" w:rsidP="00F613A2">
      <w:pPr>
        <w:spacing w:line="480" w:lineRule="auto"/>
        <w:jc w:val="both"/>
        <w:rPr>
          <w:rFonts w:asciiTheme="minorHAnsi" w:hAnsiTheme="minorHAnsi" w:cstheme="minorHAnsi"/>
          <w:b/>
          <w:sz w:val="28"/>
          <w:szCs w:val="28"/>
        </w:rPr>
      </w:pPr>
    </w:p>
    <w:p w14:paraId="7196095F" w14:textId="0F6AD24C" w:rsidR="00F613A2" w:rsidRPr="00540E66" w:rsidRDefault="00F613A2" w:rsidP="00F613A2">
      <w:pPr>
        <w:spacing w:line="480" w:lineRule="auto"/>
        <w:jc w:val="both"/>
        <w:rPr>
          <w:rFonts w:asciiTheme="minorHAnsi" w:hAnsiTheme="minorHAnsi" w:cstheme="minorHAnsi"/>
        </w:rPr>
      </w:pPr>
      <w:r w:rsidRPr="00540E66">
        <w:rPr>
          <w:rFonts w:asciiTheme="minorHAnsi" w:hAnsiTheme="minorHAnsi" w:cstheme="minorHAnsi"/>
        </w:rPr>
        <w:t>Supplement</w:t>
      </w:r>
      <w:r w:rsidR="00884339" w:rsidRPr="00540E66">
        <w:rPr>
          <w:rFonts w:asciiTheme="minorHAnsi" w:hAnsiTheme="minorHAnsi" w:cstheme="minorHAnsi"/>
        </w:rPr>
        <w:t>ary</w:t>
      </w:r>
      <w:r w:rsidRPr="00540E66">
        <w:rPr>
          <w:rFonts w:asciiTheme="minorHAnsi" w:hAnsiTheme="minorHAnsi" w:cstheme="minorHAnsi"/>
        </w:rPr>
        <w:t xml:space="preserve"> </w:t>
      </w:r>
      <w:r w:rsidR="00884339" w:rsidRPr="00540E66">
        <w:rPr>
          <w:rFonts w:asciiTheme="minorHAnsi" w:hAnsiTheme="minorHAnsi" w:cstheme="minorHAnsi"/>
        </w:rPr>
        <w:t>material</w:t>
      </w:r>
      <w:r w:rsidRPr="00540E66">
        <w:rPr>
          <w:rFonts w:asciiTheme="minorHAnsi" w:hAnsiTheme="minorHAnsi" w:cstheme="minorHAnsi"/>
        </w:rPr>
        <w:t xml:space="preserve"> include 2 figures</w:t>
      </w:r>
      <w:r w:rsidR="00855F96" w:rsidRPr="00540E66">
        <w:rPr>
          <w:rFonts w:asciiTheme="minorHAnsi" w:hAnsiTheme="minorHAnsi" w:cstheme="minorHAnsi"/>
        </w:rPr>
        <w:t xml:space="preserve"> and </w:t>
      </w:r>
      <w:r w:rsidR="00B0001E" w:rsidRPr="00540E66">
        <w:rPr>
          <w:rFonts w:asciiTheme="minorHAnsi" w:hAnsiTheme="minorHAnsi" w:cstheme="minorHAnsi"/>
        </w:rPr>
        <w:t>4</w:t>
      </w:r>
      <w:r w:rsidR="00855F96" w:rsidRPr="00540E66">
        <w:rPr>
          <w:rFonts w:asciiTheme="minorHAnsi" w:hAnsiTheme="minorHAnsi" w:cstheme="minorHAnsi"/>
        </w:rPr>
        <w:t xml:space="preserve"> tables</w:t>
      </w:r>
    </w:p>
    <w:p w14:paraId="21D1EC10" w14:textId="77777777" w:rsidR="00F613A2" w:rsidRPr="00540E66" w:rsidRDefault="00F613A2" w:rsidP="00F613A2">
      <w:pPr>
        <w:tabs>
          <w:tab w:val="left" w:pos="2430"/>
        </w:tabs>
        <w:spacing w:line="480" w:lineRule="auto"/>
        <w:jc w:val="both"/>
        <w:rPr>
          <w:rFonts w:asciiTheme="minorHAnsi" w:hAnsiTheme="minorHAnsi" w:cstheme="minorHAnsi"/>
          <w:bCs/>
        </w:rPr>
      </w:pPr>
    </w:p>
    <w:p w14:paraId="27FCEB86" w14:textId="46B7088F" w:rsidR="00F613A2" w:rsidRPr="00540E66" w:rsidRDefault="00F613A2" w:rsidP="00782A10">
      <w:pPr>
        <w:tabs>
          <w:tab w:val="left" w:pos="1134"/>
        </w:tabs>
        <w:spacing w:line="480" w:lineRule="auto"/>
        <w:ind w:left="1134" w:hanging="1145"/>
        <w:jc w:val="both"/>
        <w:rPr>
          <w:rFonts w:asciiTheme="minorHAnsi" w:hAnsiTheme="minorHAnsi" w:cstheme="minorHAnsi"/>
          <w:bCs/>
        </w:rPr>
      </w:pPr>
      <w:r w:rsidRPr="00540E66">
        <w:rPr>
          <w:rFonts w:asciiTheme="minorHAnsi" w:hAnsiTheme="minorHAnsi" w:cstheme="minorHAnsi"/>
        </w:rPr>
        <w:t>Figure S1.</w:t>
      </w:r>
      <w:r w:rsidRPr="00540E66">
        <w:rPr>
          <w:rFonts w:asciiTheme="minorHAnsi" w:hAnsiTheme="minorHAnsi" w:cstheme="minorHAnsi"/>
          <w:b/>
        </w:rPr>
        <w:t xml:space="preserve"> </w:t>
      </w:r>
      <w:r w:rsidRPr="00540E66">
        <w:rPr>
          <w:rFonts w:asciiTheme="minorHAnsi" w:hAnsiTheme="minorHAnsi" w:cstheme="minorHAnsi"/>
          <w:bCs/>
        </w:rPr>
        <w:t xml:space="preserve">Schematic representation of turnaround time (TAT) of rES combined with the number of rES performed in a given time period   </w:t>
      </w:r>
    </w:p>
    <w:p w14:paraId="24291290" w14:textId="49216878" w:rsidR="00F613A2" w:rsidRPr="00540E66" w:rsidRDefault="00F613A2" w:rsidP="00782A10">
      <w:pPr>
        <w:tabs>
          <w:tab w:val="left" w:pos="1134"/>
        </w:tabs>
        <w:spacing w:line="480" w:lineRule="auto"/>
        <w:jc w:val="both"/>
        <w:rPr>
          <w:rFonts w:asciiTheme="minorHAnsi" w:hAnsiTheme="minorHAnsi" w:cstheme="minorHAnsi"/>
          <w:bCs/>
        </w:rPr>
      </w:pPr>
      <w:r w:rsidRPr="00540E66">
        <w:rPr>
          <w:rFonts w:asciiTheme="minorHAnsi" w:hAnsiTheme="minorHAnsi" w:cstheme="minorHAnsi"/>
        </w:rPr>
        <w:t>Figure S</w:t>
      </w:r>
      <w:r w:rsidR="00782A10" w:rsidRPr="00540E66">
        <w:rPr>
          <w:rFonts w:asciiTheme="minorHAnsi" w:hAnsiTheme="minorHAnsi" w:cstheme="minorHAnsi"/>
        </w:rPr>
        <w:t>2</w:t>
      </w:r>
      <w:r w:rsidRPr="00540E66">
        <w:rPr>
          <w:rFonts w:asciiTheme="minorHAnsi" w:hAnsiTheme="minorHAnsi" w:cstheme="minorHAnsi"/>
        </w:rPr>
        <w:t>.</w:t>
      </w:r>
      <w:r w:rsidRPr="00540E66">
        <w:rPr>
          <w:rFonts w:asciiTheme="minorHAnsi" w:hAnsiTheme="minorHAnsi" w:cstheme="minorHAnsi"/>
          <w:b/>
        </w:rPr>
        <w:t xml:space="preserve"> </w:t>
      </w:r>
      <w:r w:rsidR="00782A10" w:rsidRPr="00540E66">
        <w:rPr>
          <w:rFonts w:asciiTheme="minorHAnsi" w:hAnsiTheme="minorHAnsi" w:cstheme="minorHAnsi"/>
          <w:b/>
        </w:rPr>
        <w:tab/>
      </w:r>
      <w:r w:rsidR="00782A10" w:rsidRPr="00540E66">
        <w:rPr>
          <w:rFonts w:asciiTheme="minorHAnsi" w:hAnsiTheme="minorHAnsi" w:cstheme="minorHAnsi"/>
          <w:bCs/>
        </w:rPr>
        <w:t xml:space="preserve">Schematic representation of rES procedure  </w:t>
      </w:r>
    </w:p>
    <w:p w14:paraId="33AA89DD" w14:textId="53E503B7" w:rsidR="00B05972" w:rsidRPr="00540E66" w:rsidRDefault="00855F96" w:rsidP="00855F96">
      <w:pPr>
        <w:tabs>
          <w:tab w:val="left" w:pos="1134"/>
        </w:tabs>
        <w:spacing w:line="480" w:lineRule="auto"/>
        <w:jc w:val="both"/>
        <w:rPr>
          <w:rFonts w:asciiTheme="minorHAnsi" w:hAnsiTheme="minorHAnsi" w:cstheme="minorHAnsi"/>
          <w:bCs/>
        </w:rPr>
      </w:pPr>
      <w:r w:rsidRPr="00540E66">
        <w:rPr>
          <w:rFonts w:asciiTheme="minorHAnsi" w:hAnsiTheme="minorHAnsi" w:cstheme="minorHAnsi"/>
          <w:bCs/>
        </w:rPr>
        <w:t xml:space="preserve">Table S1. </w:t>
      </w:r>
      <w:r w:rsidRPr="00540E66">
        <w:rPr>
          <w:rFonts w:asciiTheme="minorHAnsi" w:hAnsiTheme="minorHAnsi" w:cstheme="minorHAnsi"/>
          <w:bCs/>
        </w:rPr>
        <w:tab/>
      </w:r>
      <w:r w:rsidR="00B05972" w:rsidRPr="00540E66">
        <w:rPr>
          <w:rFonts w:asciiTheme="minorHAnsi" w:hAnsiTheme="minorHAnsi" w:cstheme="minorHAnsi"/>
          <w:bCs/>
        </w:rPr>
        <w:t>Clinical descriptions of cohort</w:t>
      </w:r>
    </w:p>
    <w:p w14:paraId="1516E70F" w14:textId="139970F0" w:rsidR="00855F96" w:rsidRPr="00540E66" w:rsidRDefault="00B05972" w:rsidP="00855F96">
      <w:pPr>
        <w:tabs>
          <w:tab w:val="left" w:pos="1134"/>
        </w:tabs>
        <w:spacing w:line="480" w:lineRule="auto"/>
        <w:jc w:val="both"/>
        <w:rPr>
          <w:rFonts w:asciiTheme="minorHAnsi" w:hAnsiTheme="minorHAnsi" w:cstheme="minorHAnsi"/>
          <w:bCs/>
        </w:rPr>
      </w:pPr>
      <w:r w:rsidRPr="00540E66">
        <w:rPr>
          <w:rFonts w:asciiTheme="minorHAnsi" w:hAnsiTheme="minorHAnsi" w:cstheme="minorHAnsi"/>
          <w:bCs/>
        </w:rPr>
        <w:t xml:space="preserve">Table S2. </w:t>
      </w:r>
      <w:r w:rsidRPr="00540E66">
        <w:rPr>
          <w:rFonts w:asciiTheme="minorHAnsi" w:hAnsiTheme="minorHAnsi" w:cstheme="minorHAnsi"/>
          <w:bCs/>
        </w:rPr>
        <w:tab/>
      </w:r>
      <w:r w:rsidR="00855F96" w:rsidRPr="00540E66">
        <w:rPr>
          <w:rFonts w:asciiTheme="minorHAnsi" w:hAnsiTheme="minorHAnsi" w:cstheme="minorHAnsi"/>
          <w:bCs/>
        </w:rPr>
        <w:t xml:space="preserve">Variant details of conclusive diagnoses </w:t>
      </w:r>
    </w:p>
    <w:p w14:paraId="2AAAD53C" w14:textId="008E532D" w:rsidR="00855F96" w:rsidRPr="00540E66" w:rsidRDefault="00855F96" w:rsidP="00855F96">
      <w:pPr>
        <w:tabs>
          <w:tab w:val="left" w:pos="1134"/>
        </w:tabs>
        <w:spacing w:line="480" w:lineRule="auto"/>
        <w:jc w:val="both"/>
        <w:rPr>
          <w:rFonts w:asciiTheme="minorHAnsi" w:hAnsiTheme="minorHAnsi" w:cstheme="minorHAnsi"/>
          <w:bCs/>
        </w:rPr>
      </w:pPr>
      <w:r w:rsidRPr="00540E66">
        <w:rPr>
          <w:rFonts w:asciiTheme="minorHAnsi" w:hAnsiTheme="minorHAnsi" w:cstheme="minorHAnsi"/>
          <w:bCs/>
        </w:rPr>
        <w:t>Table S</w:t>
      </w:r>
      <w:r w:rsidR="00B05972" w:rsidRPr="00540E66">
        <w:rPr>
          <w:rFonts w:asciiTheme="minorHAnsi" w:hAnsiTheme="minorHAnsi" w:cstheme="minorHAnsi"/>
          <w:bCs/>
        </w:rPr>
        <w:t>3</w:t>
      </w:r>
      <w:r w:rsidRPr="00540E66">
        <w:rPr>
          <w:rFonts w:asciiTheme="minorHAnsi" w:hAnsiTheme="minorHAnsi" w:cstheme="minorHAnsi"/>
          <w:bCs/>
        </w:rPr>
        <w:t xml:space="preserve">. </w:t>
      </w:r>
      <w:r w:rsidRPr="00540E66">
        <w:rPr>
          <w:rFonts w:asciiTheme="minorHAnsi" w:hAnsiTheme="minorHAnsi" w:cstheme="minorHAnsi"/>
          <w:bCs/>
        </w:rPr>
        <w:tab/>
        <w:t xml:space="preserve">Variant details of possible diagnoses </w:t>
      </w:r>
    </w:p>
    <w:p w14:paraId="01DE239E" w14:textId="6F198A5C" w:rsidR="00B05972" w:rsidRPr="00540E66" w:rsidRDefault="00B05972" w:rsidP="00855F96">
      <w:pPr>
        <w:tabs>
          <w:tab w:val="left" w:pos="1134"/>
        </w:tabs>
        <w:spacing w:line="480" w:lineRule="auto"/>
        <w:jc w:val="both"/>
        <w:rPr>
          <w:rFonts w:asciiTheme="minorHAnsi" w:hAnsiTheme="minorHAnsi" w:cstheme="minorHAnsi"/>
          <w:bCs/>
        </w:rPr>
      </w:pPr>
      <w:r w:rsidRPr="00540E66">
        <w:rPr>
          <w:rFonts w:asciiTheme="minorHAnsi" w:hAnsiTheme="minorHAnsi" w:cstheme="minorHAnsi"/>
          <w:bCs/>
        </w:rPr>
        <w:t>Table S4.</w:t>
      </w:r>
      <w:r w:rsidRPr="00540E66">
        <w:rPr>
          <w:rFonts w:asciiTheme="minorHAnsi" w:hAnsiTheme="minorHAnsi" w:cstheme="minorHAnsi"/>
          <w:bCs/>
        </w:rPr>
        <w:tab/>
        <w:t xml:space="preserve">Unsolicited findings </w:t>
      </w:r>
    </w:p>
    <w:p w14:paraId="335594C1" w14:textId="77777777" w:rsidR="00855F96" w:rsidRPr="00540E66" w:rsidRDefault="00855F96" w:rsidP="00782A10">
      <w:pPr>
        <w:tabs>
          <w:tab w:val="left" w:pos="1134"/>
        </w:tabs>
        <w:spacing w:line="480" w:lineRule="auto"/>
        <w:jc w:val="both"/>
        <w:rPr>
          <w:rFonts w:asciiTheme="minorHAnsi" w:hAnsiTheme="minorHAnsi" w:cstheme="minorHAnsi"/>
          <w:bCs/>
        </w:rPr>
      </w:pPr>
    </w:p>
    <w:p w14:paraId="678AB175" w14:textId="77777777" w:rsidR="00F613A2" w:rsidRPr="00540E66" w:rsidRDefault="00F613A2">
      <w:pPr>
        <w:rPr>
          <w:rFonts w:asciiTheme="minorHAnsi" w:hAnsiTheme="minorHAnsi" w:cstheme="minorHAnsi"/>
          <w:b/>
          <w:bCs/>
        </w:rPr>
      </w:pPr>
      <w:r w:rsidRPr="00540E66">
        <w:rPr>
          <w:rFonts w:asciiTheme="minorHAnsi" w:hAnsiTheme="minorHAnsi" w:cstheme="minorHAnsi"/>
          <w:b/>
          <w:bCs/>
        </w:rPr>
        <w:br w:type="page"/>
      </w:r>
    </w:p>
    <w:p w14:paraId="6C000C37" w14:textId="2DC196D0" w:rsidR="0062441A" w:rsidRDefault="00763101">
      <w:pPr>
        <w:rPr>
          <w:rFonts w:asciiTheme="minorHAnsi" w:hAnsiTheme="minorHAnsi" w:cstheme="minorHAnsi"/>
        </w:rPr>
      </w:pPr>
      <w:r w:rsidRPr="00540E66">
        <w:rPr>
          <w:rFonts w:asciiTheme="minorHAnsi" w:hAnsiTheme="minorHAnsi" w:cstheme="minorHAnsi"/>
          <w:b/>
          <w:bCs/>
        </w:rPr>
        <w:lastRenderedPageBreak/>
        <w:t xml:space="preserve">Supplementary Figure 1 | </w:t>
      </w:r>
      <w:bookmarkStart w:id="0" w:name="_Hlk140074775"/>
      <w:r w:rsidRPr="00540E66">
        <w:rPr>
          <w:rFonts w:asciiTheme="minorHAnsi" w:hAnsiTheme="minorHAnsi" w:cstheme="minorHAnsi"/>
        </w:rPr>
        <w:t>Schematic representation of turnaround time (TAT) of rES combined with the number of rES performed in a given time period</w:t>
      </w:r>
    </w:p>
    <w:p w14:paraId="20384216" w14:textId="77777777" w:rsidR="00A00349" w:rsidRPr="00540E66" w:rsidRDefault="00A00349">
      <w:pPr>
        <w:rPr>
          <w:rFonts w:asciiTheme="minorHAnsi" w:hAnsiTheme="minorHAnsi" w:cstheme="minorHAnsi"/>
        </w:rPr>
      </w:pPr>
    </w:p>
    <w:bookmarkEnd w:id="0"/>
    <w:p w14:paraId="58E19D41" w14:textId="5B207853" w:rsidR="0062441A" w:rsidRPr="00540E66" w:rsidRDefault="00A00349">
      <w:pPr>
        <w:rPr>
          <w:rFonts w:asciiTheme="minorHAnsi" w:hAnsiTheme="minorHAnsi" w:cstheme="minorHAnsi"/>
        </w:rPr>
      </w:pPr>
      <w:r>
        <w:rPr>
          <w:noProof/>
        </w:rPr>
        <w:drawing>
          <wp:inline distT="0" distB="0" distL="0" distR="0" wp14:anchorId="07B4FF24" wp14:editId="5D1C465C">
            <wp:extent cx="5731510" cy="3734453"/>
            <wp:effectExtent l="0" t="0" r="254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34453"/>
                    </a:xfrm>
                    <a:prstGeom prst="rect">
                      <a:avLst/>
                    </a:prstGeom>
                    <a:noFill/>
                  </pic:spPr>
                </pic:pic>
              </a:graphicData>
            </a:graphic>
          </wp:inline>
        </w:drawing>
      </w:r>
    </w:p>
    <w:p w14:paraId="625AA971" w14:textId="5867364A" w:rsidR="0062441A" w:rsidRPr="00540E66" w:rsidRDefault="0062441A">
      <w:pPr>
        <w:rPr>
          <w:rFonts w:asciiTheme="minorHAnsi" w:hAnsiTheme="minorHAnsi" w:cstheme="minorHAnsi"/>
          <w:b/>
          <w:bCs/>
        </w:rPr>
      </w:pPr>
    </w:p>
    <w:p w14:paraId="184F40AD" w14:textId="3E894D00" w:rsidR="003C2CDE" w:rsidRPr="00540E66" w:rsidRDefault="00763101">
      <w:pPr>
        <w:jc w:val="both"/>
        <w:rPr>
          <w:rFonts w:asciiTheme="minorHAnsi" w:hAnsiTheme="minorHAnsi" w:cstheme="minorHAnsi"/>
        </w:rPr>
      </w:pPr>
      <w:r w:rsidRPr="00540E66">
        <w:rPr>
          <w:rFonts w:asciiTheme="minorHAnsi" w:hAnsiTheme="minorHAnsi" w:cstheme="minorHAnsi"/>
          <w:b/>
          <w:bCs/>
        </w:rPr>
        <w:t xml:space="preserve">Supplementary Figure 1 </w:t>
      </w:r>
      <w:r w:rsidRPr="00540E66">
        <w:rPr>
          <w:rFonts w:asciiTheme="minorHAnsi" w:hAnsiTheme="minorHAnsi" w:cstheme="minorHAnsi"/>
        </w:rPr>
        <w:t xml:space="preserve"> |  </w:t>
      </w:r>
      <w:r w:rsidRPr="00540E66">
        <w:rPr>
          <w:rFonts w:asciiTheme="minorHAnsi" w:hAnsiTheme="minorHAnsi" w:cstheme="minorHAnsi"/>
          <w:b/>
          <w:bCs/>
        </w:rPr>
        <w:t>Schematic representation of turnaround time (TAT) of rES combined with the number of rES performed in a given time period.</w:t>
      </w:r>
      <w:r w:rsidRPr="00540E66">
        <w:rPr>
          <w:rFonts w:asciiTheme="minorHAnsi" w:hAnsiTheme="minorHAnsi" w:cstheme="minorHAnsi"/>
        </w:rPr>
        <w:t xml:space="preserve"> Early 2016, only few rES tests were performed, with a median TAT of 16 days. </w:t>
      </w:r>
      <w:bookmarkStart w:id="1" w:name="_Hlk111643592"/>
      <w:r w:rsidRPr="00540E66">
        <w:rPr>
          <w:rFonts w:asciiTheme="minorHAnsi" w:hAnsiTheme="minorHAnsi" w:cstheme="minorHAnsi"/>
        </w:rPr>
        <w:t xml:space="preserve">Whereas over time the number of rES test performed per time interval increased significantly to up to 110 requests in Q4-2019, the median TAT reduced to 11 days, and has remained stable since Q3-2017 despite the increase in request. </w:t>
      </w:r>
      <w:bookmarkEnd w:id="1"/>
      <w:r w:rsidR="003C2CDE" w:rsidRPr="00540E66">
        <w:rPr>
          <w:rFonts w:asciiTheme="minorHAnsi" w:hAnsiTheme="minorHAnsi" w:cstheme="minorHAnsi"/>
        </w:rPr>
        <w:t>The latter has been a direct consequence of a higher number of requests, a herewith required change of the sequencing platform, and automation of the process</w:t>
      </w:r>
      <w:r w:rsidR="00A95229" w:rsidRPr="00540E66">
        <w:rPr>
          <w:rFonts w:asciiTheme="minorHAnsi" w:hAnsiTheme="minorHAnsi" w:cstheme="minorHAnsi"/>
        </w:rPr>
        <w:t xml:space="preserve"> (see also Figure S2)</w:t>
      </w:r>
      <w:r w:rsidR="003C2CDE" w:rsidRPr="00540E66">
        <w:rPr>
          <w:rFonts w:asciiTheme="minorHAnsi" w:hAnsiTheme="minorHAnsi" w:cstheme="minorHAnsi"/>
        </w:rPr>
        <w:t>. Please note that the number of samples sequenced only displays index patients, and that it does not include accompanying parental samples.</w:t>
      </w:r>
    </w:p>
    <w:p w14:paraId="22FFCED5" w14:textId="77777777" w:rsidR="0062441A" w:rsidRPr="00540E66" w:rsidRDefault="0062441A">
      <w:pPr>
        <w:pageBreakBefore/>
        <w:rPr>
          <w:rFonts w:asciiTheme="minorHAnsi" w:hAnsiTheme="minorHAnsi" w:cstheme="minorHAnsi"/>
        </w:rPr>
      </w:pPr>
    </w:p>
    <w:p w14:paraId="4AAE9633" w14:textId="73F97A19" w:rsidR="0062441A" w:rsidRPr="00540E66" w:rsidRDefault="00763101">
      <w:pPr>
        <w:rPr>
          <w:rFonts w:asciiTheme="minorHAnsi" w:hAnsiTheme="minorHAnsi" w:cstheme="minorHAnsi"/>
        </w:rPr>
      </w:pPr>
      <w:r w:rsidRPr="00540E66">
        <w:rPr>
          <w:rFonts w:asciiTheme="minorHAnsi" w:hAnsiTheme="minorHAnsi" w:cstheme="minorHAnsi"/>
          <w:b/>
          <w:bCs/>
        </w:rPr>
        <w:t>Supplementary Figure 2</w:t>
      </w:r>
      <w:r w:rsidR="00FE38CD" w:rsidRPr="00540E66">
        <w:rPr>
          <w:rFonts w:asciiTheme="minorHAnsi" w:hAnsiTheme="minorHAnsi" w:cstheme="minorHAnsi"/>
          <w:b/>
          <w:bCs/>
        </w:rPr>
        <w:t xml:space="preserve"> | </w:t>
      </w:r>
      <w:r w:rsidRPr="00540E66">
        <w:rPr>
          <w:rFonts w:asciiTheme="minorHAnsi" w:hAnsiTheme="minorHAnsi" w:cstheme="minorHAnsi"/>
        </w:rPr>
        <w:t>Schematic representation of rES procedure</w:t>
      </w:r>
    </w:p>
    <w:p w14:paraId="44CE1688" w14:textId="31432637" w:rsidR="000F6D9E" w:rsidRPr="00540E66" w:rsidRDefault="000F6D9E">
      <w:pPr>
        <w:rPr>
          <w:rFonts w:asciiTheme="minorHAnsi" w:hAnsiTheme="minorHAnsi" w:cstheme="minorHAnsi"/>
        </w:rPr>
      </w:pPr>
    </w:p>
    <w:p w14:paraId="781DD867" w14:textId="679DD85B" w:rsidR="000F6D9E" w:rsidRPr="00540E66" w:rsidRDefault="00BA7381">
      <w:pPr>
        <w:rPr>
          <w:rFonts w:asciiTheme="minorHAnsi" w:hAnsiTheme="minorHAnsi" w:cstheme="minorHAnsi"/>
          <w:b/>
          <w:bCs/>
        </w:rPr>
      </w:pPr>
      <w:r w:rsidRPr="00540E6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C5A9935" wp14:editId="2FC14D7D">
                <wp:simplePos x="0" y="0"/>
                <wp:positionH relativeFrom="margin">
                  <wp:posOffset>2259330</wp:posOffset>
                </wp:positionH>
                <wp:positionV relativeFrom="paragraph">
                  <wp:posOffset>1433525</wp:posOffset>
                </wp:positionV>
                <wp:extent cx="1642822" cy="276999"/>
                <wp:effectExtent l="0" t="0" r="0" b="0"/>
                <wp:wrapNone/>
                <wp:docPr id="2" name="TextBox 1">
                  <a:extLst xmlns:a="http://schemas.openxmlformats.org/drawingml/2006/main">
                    <a:ext uri="{FF2B5EF4-FFF2-40B4-BE49-F238E27FC236}">
                      <a16:creationId xmlns:a16="http://schemas.microsoft.com/office/drawing/2014/main" id="{25CDB628-9A2F-4B73-BD0A-A0BC84883507}"/>
                    </a:ext>
                  </a:extLst>
                </wp:docPr>
                <wp:cNvGraphicFramePr/>
                <a:graphic xmlns:a="http://schemas.openxmlformats.org/drawingml/2006/main">
                  <a:graphicData uri="http://schemas.microsoft.com/office/word/2010/wordprocessingShape">
                    <wps:wsp>
                      <wps:cNvSpPr txBox="1"/>
                      <wps:spPr>
                        <a:xfrm>
                          <a:off x="0" y="0"/>
                          <a:ext cx="1642822" cy="276999"/>
                        </a:xfrm>
                        <a:prstGeom prst="rect">
                          <a:avLst/>
                        </a:prstGeom>
                        <a:noFill/>
                      </wps:spPr>
                      <wps:txbx>
                        <w:txbxContent>
                          <w:p w14:paraId="333A2CA3" w14:textId="77777777" w:rsidR="00BA7381" w:rsidRPr="00BA7381" w:rsidRDefault="00BA7381" w:rsidP="00BA7381">
                            <w:pPr>
                              <w:rPr>
                                <w:color w:val="000000" w:themeColor="text1"/>
                                <w:kern w:val="24"/>
                                <w:sz w:val="16"/>
                                <w:szCs w:val="16"/>
                              </w:rPr>
                            </w:pPr>
                            <w:r w:rsidRPr="00BA7381">
                              <w:rPr>
                                <w:color w:val="000000" w:themeColor="text1"/>
                                <w:kern w:val="24"/>
                                <w:sz w:val="16"/>
                                <w:szCs w:val="16"/>
                              </w:rPr>
                              <w:t>11 days (IQR 8-15 days)</w:t>
                            </w:r>
                          </w:p>
                        </w:txbxContent>
                      </wps:txbx>
                      <wps:bodyPr wrap="none" rtlCol="0">
                        <a:spAutoFit/>
                      </wps:bodyPr>
                    </wps:wsp>
                  </a:graphicData>
                </a:graphic>
              </wp:anchor>
            </w:drawing>
          </mc:Choice>
          <mc:Fallback>
            <w:pict>
              <v:shapetype w14:anchorId="0C5A9935" id="_x0000_t202" coordsize="21600,21600" o:spt="202" path="m,l,21600r21600,l21600,xe">
                <v:stroke joinstyle="miter"/>
                <v:path gradientshapeok="t" o:connecttype="rect"/>
              </v:shapetype>
              <v:shape id="TextBox 1" o:spid="_x0000_s1026" type="#_x0000_t202" style="position:absolute;margin-left:177.9pt;margin-top:112.9pt;width:129.35pt;height:21.8pt;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" filled="f" stroked="f">
                <v:textbox style="mso-fit-shape-to-text:t">
                  <w:txbxContent>
                    <w:p w14:paraId="333A2CA3" w14:textId="77777777" w:rsidR="00BA7381" w:rsidRPr="00BA7381" w:rsidRDefault="00BA7381" w:rsidP="00BA7381">
                      <w:pPr>
                        <w:rPr>
                          <w:color w:val="000000" w:themeColor="text1"/>
                          <w:kern w:val="24"/>
                          <w:sz w:val="16"/>
                          <w:szCs w:val="16"/>
                        </w:rPr>
                      </w:pPr>
                      <w:r w:rsidRPr="00BA7381">
                        <w:rPr>
                          <w:color w:val="000000" w:themeColor="text1"/>
                          <w:kern w:val="24"/>
                          <w:sz w:val="16"/>
                          <w:szCs w:val="16"/>
                        </w:rPr>
                        <w:t>11 days (IQR 8-15 days)</w:t>
                      </w:r>
                    </w:p>
                  </w:txbxContent>
                </v:textbox>
                <w10:wrap anchorx="margin"/>
              </v:shape>
            </w:pict>
          </mc:Fallback>
        </mc:AlternateContent>
      </w:r>
      <w:r w:rsidR="00B22A2F" w:rsidRPr="00540E66">
        <w:rPr>
          <w:rFonts w:asciiTheme="minorHAnsi" w:hAnsiTheme="minorHAnsi" w:cstheme="minorHAnsi"/>
          <w:b/>
          <w:bCs/>
          <w:noProof/>
        </w:rPr>
        <w:drawing>
          <wp:inline distT="0" distB="0" distL="0" distR="0" wp14:anchorId="13B1FFE8" wp14:editId="19FF5216">
            <wp:extent cx="5686425" cy="193620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8044" cy="1943561"/>
                    </a:xfrm>
                    <a:prstGeom prst="rect">
                      <a:avLst/>
                    </a:prstGeom>
                    <a:noFill/>
                  </pic:spPr>
                </pic:pic>
              </a:graphicData>
            </a:graphic>
          </wp:inline>
        </w:drawing>
      </w:r>
    </w:p>
    <w:p w14:paraId="26C4EDAF" w14:textId="0E316675" w:rsidR="0062441A" w:rsidRPr="00540E66" w:rsidRDefault="0062441A">
      <w:pPr>
        <w:rPr>
          <w:rFonts w:asciiTheme="minorHAnsi" w:hAnsiTheme="minorHAnsi" w:cstheme="minorHAnsi"/>
        </w:rPr>
      </w:pPr>
    </w:p>
    <w:p w14:paraId="6CD5F9AA" w14:textId="1810BC1E" w:rsidR="001661EF" w:rsidRPr="00540E66" w:rsidRDefault="001661EF" w:rsidP="001661EF">
      <w:pPr>
        <w:jc w:val="both"/>
        <w:rPr>
          <w:rFonts w:asciiTheme="minorHAnsi" w:hAnsiTheme="minorHAnsi" w:cstheme="minorHAnsi"/>
        </w:rPr>
      </w:pPr>
      <w:r w:rsidRPr="00540E66">
        <w:rPr>
          <w:rFonts w:asciiTheme="minorHAnsi" w:hAnsiTheme="minorHAnsi" w:cstheme="minorHAnsi"/>
          <w:b/>
          <w:bCs/>
        </w:rPr>
        <w:t xml:space="preserve">Supplementary Figure 2. Schematic presentation of the rES workflow using the NextSeq 500, as implemented originally in 2016. </w:t>
      </w:r>
      <w:r w:rsidRPr="00540E66">
        <w:rPr>
          <w:rFonts w:asciiTheme="minorHAnsi" w:hAnsiTheme="minorHAnsi" w:cstheme="minorHAnsi"/>
        </w:rPr>
        <w:t>For rapid WES, usually EDTA blood samples (or occasionally previously isolated DNAs) were analyzed. All samples were registered at the sample reception (˜1 hour) before being transferred to the DNA isolation facility, where DNA was isolated in an automated fashion (0.5-1 day, if necessary).</w:t>
      </w:r>
      <w:r w:rsidR="00D341F0" w:rsidRPr="00540E66">
        <w:rPr>
          <w:rFonts w:asciiTheme="minorHAnsi" w:hAnsiTheme="minorHAnsi" w:cstheme="minorHAnsi"/>
        </w:rPr>
        <w:t xml:space="preserve"> Initially, library preparation was initiated on a weekly basis, primarily commencing on Mondays. This process required approximately 12 working hours, distributed over two days, and involved an overnight hybridization step.</w:t>
      </w:r>
      <w:r w:rsidRPr="00540E66">
        <w:rPr>
          <w:rFonts w:asciiTheme="minorHAnsi" w:hAnsiTheme="minorHAnsi" w:cstheme="minorHAnsi"/>
        </w:rPr>
        <w:t xml:space="preserve"> Accordingly, the sequencer was started the next day, and was running approximately 29 hours. Once the sequencing run was (automatically) detected to be finished, an automated bioinformatic pipeline started demultiplexing, alignment and subsequent variant calling and annotation. Following an automated </w:t>
      </w:r>
      <w:r w:rsidR="00A95229" w:rsidRPr="00540E66">
        <w:rPr>
          <w:rFonts w:asciiTheme="minorHAnsi" w:hAnsiTheme="minorHAnsi" w:cstheme="minorHAnsi"/>
        </w:rPr>
        <w:t>quality control</w:t>
      </w:r>
      <w:r w:rsidRPr="00540E66">
        <w:rPr>
          <w:rFonts w:asciiTheme="minorHAnsi" w:hAnsiTheme="minorHAnsi" w:cstheme="minorHAnsi"/>
        </w:rPr>
        <w:t xml:space="preserve"> </w:t>
      </w:r>
      <w:r w:rsidR="00A95229" w:rsidRPr="00540E66">
        <w:rPr>
          <w:rFonts w:asciiTheme="minorHAnsi" w:hAnsiTheme="minorHAnsi" w:cstheme="minorHAnsi"/>
        </w:rPr>
        <w:t>(QC)</w:t>
      </w:r>
      <w:r w:rsidRPr="00540E66">
        <w:rPr>
          <w:rFonts w:asciiTheme="minorHAnsi" w:hAnsiTheme="minorHAnsi" w:cstheme="minorHAnsi"/>
        </w:rPr>
        <w:t xml:space="preserve">, data was transferred automatically to a team of laboratory specialists </w:t>
      </w:r>
      <w:r w:rsidR="00A95229" w:rsidRPr="00540E66">
        <w:rPr>
          <w:rFonts w:asciiTheme="minorHAnsi" w:hAnsiTheme="minorHAnsi" w:cstheme="minorHAnsi"/>
        </w:rPr>
        <w:t>clinical genetics for</w:t>
      </w:r>
      <w:r w:rsidRPr="00540E66">
        <w:rPr>
          <w:rFonts w:asciiTheme="minorHAnsi" w:hAnsiTheme="minorHAnsi" w:cstheme="minorHAnsi"/>
        </w:rPr>
        <w:t xml:space="preserve"> interpretation (˜</w:t>
      </w:r>
      <w:r w:rsidR="00A95229" w:rsidRPr="00540E66">
        <w:rPr>
          <w:rFonts w:asciiTheme="minorHAnsi" w:hAnsiTheme="minorHAnsi" w:cstheme="minorHAnsi"/>
        </w:rPr>
        <w:t xml:space="preserve">0.5-4 </w:t>
      </w:r>
      <w:r w:rsidRPr="00540E66">
        <w:rPr>
          <w:rFonts w:asciiTheme="minorHAnsi" w:hAnsiTheme="minorHAnsi" w:cstheme="minorHAnsi"/>
        </w:rPr>
        <w:t>hours).</w:t>
      </w:r>
      <w:r w:rsidR="00A95229" w:rsidRPr="00540E66">
        <w:rPr>
          <w:rFonts w:asciiTheme="minorHAnsi" w:hAnsiTheme="minorHAnsi" w:cstheme="minorHAnsi"/>
        </w:rPr>
        <w:t xml:space="preserve"> </w:t>
      </w:r>
      <w:r w:rsidRPr="00540E66">
        <w:rPr>
          <w:rFonts w:asciiTheme="minorHAnsi" w:hAnsiTheme="minorHAnsi" w:cstheme="minorHAnsi"/>
        </w:rPr>
        <w:t>In the most optimal scenario</w:t>
      </w:r>
      <w:r w:rsidR="00A95229" w:rsidRPr="00540E66">
        <w:rPr>
          <w:rFonts w:asciiTheme="minorHAnsi" w:hAnsiTheme="minorHAnsi" w:cstheme="minorHAnsi"/>
        </w:rPr>
        <w:t>,</w:t>
      </w:r>
      <w:r w:rsidRPr="00540E66">
        <w:rPr>
          <w:rFonts w:asciiTheme="minorHAnsi" w:hAnsiTheme="minorHAnsi" w:cstheme="minorHAnsi"/>
        </w:rPr>
        <w:t xml:space="preserve"> the whole process needed around 6-7 working days. </w:t>
      </w:r>
      <w:r w:rsidR="00A95229" w:rsidRPr="00540E66">
        <w:rPr>
          <w:rFonts w:asciiTheme="minorHAnsi" w:hAnsiTheme="minorHAnsi" w:cstheme="minorHAnsi"/>
        </w:rPr>
        <w:t>Modification of the process for optimization of throughput included replacing</w:t>
      </w:r>
      <w:r w:rsidRPr="00540E66">
        <w:rPr>
          <w:rFonts w:asciiTheme="minorHAnsi" w:hAnsiTheme="minorHAnsi" w:cstheme="minorHAnsi"/>
        </w:rPr>
        <w:t xml:space="preserve"> the NextSeq 500 </w:t>
      </w:r>
      <w:r w:rsidR="00A95229" w:rsidRPr="00540E66">
        <w:rPr>
          <w:rFonts w:asciiTheme="minorHAnsi" w:hAnsiTheme="minorHAnsi" w:cstheme="minorHAnsi"/>
        </w:rPr>
        <w:t>for a</w:t>
      </w:r>
      <w:r w:rsidRPr="00540E66">
        <w:rPr>
          <w:rFonts w:asciiTheme="minorHAnsi" w:hAnsiTheme="minorHAnsi" w:cstheme="minorHAnsi"/>
        </w:rPr>
        <w:t xml:space="preserve"> NovaSeq6000, </w:t>
      </w:r>
      <w:r w:rsidR="00A95229" w:rsidRPr="00540E66">
        <w:rPr>
          <w:rFonts w:asciiTheme="minorHAnsi" w:hAnsiTheme="minorHAnsi" w:cstheme="minorHAnsi"/>
        </w:rPr>
        <w:t xml:space="preserve">automation of </w:t>
      </w:r>
      <w:r w:rsidRPr="00540E66">
        <w:rPr>
          <w:rFonts w:asciiTheme="minorHAnsi" w:hAnsiTheme="minorHAnsi" w:cstheme="minorHAnsi"/>
        </w:rPr>
        <w:t xml:space="preserve">the library preparation, and </w:t>
      </w:r>
      <w:r w:rsidR="00A95229" w:rsidRPr="00540E66">
        <w:rPr>
          <w:rFonts w:asciiTheme="minorHAnsi" w:hAnsiTheme="minorHAnsi" w:cstheme="minorHAnsi"/>
        </w:rPr>
        <w:t>starting of the workflow</w:t>
      </w:r>
      <w:r w:rsidRPr="00540E66">
        <w:rPr>
          <w:rFonts w:asciiTheme="minorHAnsi" w:hAnsiTheme="minorHAnsi" w:cstheme="minorHAnsi"/>
        </w:rPr>
        <w:t xml:space="preserve"> </w:t>
      </w:r>
      <w:r w:rsidR="00A95229" w:rsidRPr="00540E66">
        <w:rPr>
          <w:rFonts w:asciiTheme="minorHAnsi" w:hAnsiTheme="minorHAnsi" w:cstheme="minorHAnsi"/>
        </w:rPr>
        <w:t>multiple times a week</w:t>
      </w:r>
      <w:r w:rsidRPr="00540E66">
        <w:rPr>
          <w:rFonts w:asciiTheme="minorHAnsi" w:hAnsiTheme="minorHAnsi" w:cstheme="minorHAnsi"/>
        </w:rPr>
        <w:t>. Accordingly, turnaround times could be reduced from a median of 17 to a median of 11 days, despite of growing numbers of analyzed samples</w:t>
      </w:r>
      <w:r w:rsidR="00855F96" w:rsidRPr="00540E66">
        <w:rPr>
          <w:rFonts w:asciiTheme="minorHAnsi" w:hAnsiTheme="minorHAnsi" w:cstheme="minorHAnsi"/>
        </w:rPr>
        <w:t xml:space="preserve"> (see also Figure S1).</w:t>
      </w:r>
    </w:p>
    <w:p w14:paraId="330A89B7" w14:textId="32E1909D" w:rsidR="00855F96" w:rsidRPr="00540E66" w:rsidRDefault="00855F96">
      <w:pPr>
        <w:rPr>
          <w:rFonts w:asciiTheme="minorHAnsi" w:hAnsiTheme="minorHAnsi" w:cstheme="minorHAnsi"/>
        </w:rPr>
      </w:pPr>
      <w:r w:rsidRPr="00540E66">
        <w:rPr>
          <w:rFonts w:asciiTheme="minorHAnsi" w:hAnsiTheme="minorHAnsi" w:cstheme="minorHAnsi"/>
        </w:rPr>
        <w:br w:type="page"/>
      </w:r>
    </w:p>
    <w:p w14:paraId="06993E80" w14:textId="1E19DFC1" w:rsidR="00B05972" w:rsidRPr="00540E66" w:rsidRDefault="00B05972" w:rsidP="00855F96">
      <w:pPr>
        <w:rPr>
          <w:rFonts w:asciiTheme="minorHAnsi" w:hAnsiTheme="minorHAnsi" w:cstheme="minorHAnsi"/>
        </w:rPr>
      </w:pPr>
      <w:r w:rsidRPr="00540E66">
        <w:rPr>
          <w:rFonts w:asciiTheme="minorHAnsi" w:hAnsiTheme="minorHAnsi" w:cstheme="minorHAnsi"/>
          <w:b/>
          <w:bCs/>
        </w:rPr>
        <w:lastRenderedPageBreak/>
        <w:t>Supplementary Table 1</w:t>
      </w:r>
      <w:r w:rsidR="00E811EE">
        <w:rPr>
          <w:rFonts w:asciiTheme="minorHAnsi" w:hAnsiTheme="minorHAnsi" w:cstheme="minorHAnsi"/>
          <w:b/>
          <w:bCs/>
        </w:rPr>
        <w:t xml:space="preserve"> </w:t>
      </w:r>
      <w:r w:rsidRPr="00540E66">
        <w:rPr>
          <w:rFonts w:asciiTheme="minorHAnsi" w:hAnsiTheme="minorHAnsi" w:cstheme="minorHAnsi"/>
          <w:b/>
          <w:bCs/>
        </w:rPr>
        <w:t xml:space="preserve"> |  </w:t>
      </w:r>
      <w:r w:rsidRPr="00540E66">
        <w:rPr>
          <w:rFonts w:asciiTheme="minorHAnsi" w:hAnsiTheme="minorHAnsi" w:cstheme="minorHAnsi"/>
        </w:rPr>
        <w:t xml:space="preserve">Clinical description of the cohort </w:t>
      </w:r>
    </w:p>
    <w:p w14:paraId="25A72704" w14:textId="77777777" w:rsidR="00B05972" w:rsidRPr="00540E66" w:rsidRDefault="00B05972" w:rsidP="00B05972">
      <w:pPr>
        <w:rPr>
          <w:rFonts w:asciiTheme="minorHAnsi" w:hAnsiTheme="minorHAnsi" w:cstheme="minorHAnsi"/>
          <w:i/>
          <w:iCs/>
        </w:rPr>
      </w:pPr>
      <w:r w:rsidRPr="00540E66">
        <w:rPr>
          <w:rFonts w:asciiTheme="minorHAnsi" w:hAnsiTheme="minorHAnsi" w:cstheme="minorHAnsi"/>
          <w:i/>
          <w:iCs/>
        </w:rPr>
        <w:t>[Online Excel table]</w:t>
      </w:r>
    </w:p>
    <w:p w14:paraId="45CE81C6" w14:textId="77777777" w:rsidR="00B05972" w:rsidRPr="00540E66" w:rsidRDefault="00B05972" w:rsidP="00855F96">
      <w:pPr>
        <w:rPr>
          <w:rFonts w:asciiTheme="minorHAnsi" w:hAnsiTheme="minorHAnsi" w:cstheme="minorHAnsi"/>
          <w:b/>
          <w:bCs/>
        </w:rPr>
      </w:pPr>
    </w:p>
    <w:p w14:paraId="7D40E9FF" w14:textId="77777777" w:rsidR="00B05972" w:rsidRPr="00540E66" w:rsidRDefault="00B05972" w:rsidP="00855F96">
      <w:pPr>
        <w:rPr>
          <w:rFonts w:asciiTheme="minorHAnsi" w:hAnsiTheme="minorHAnsi" w:cstheme="minorHAnsi"/>
          <w:b/>
          <w:bCs/>
        </w:rPr>
      </w:pPr>
    </w:p>
    <w:p w14:paraId="441E6071" w14:textId="684B2CFD" w:rsidR="00855F96" w:rsidRPr="00540E66" w:rsidRDefault="00855F96" w:rsidP="00855F96">
      <w:pPr>
        <w:rPr>
          <w:rFonts w:asciiTheme="minorHAnsi" w:hAnsiTheme="minorHAnsi" w:cstheme="minorHAnsi"/>
        </w:rPr>
      </w:pPr>
      <w:r w:rsidRPr="00540E66">
        <w:rPr>
          <w:rFonts w:asciiTheme="minorHAnsi" w:hAnsiTheme="minorHAnsi" w:cstheme="minorHAnsi"/>
          <w:b/>
          <w:bCs/>
        </w:rPr>
        <w:t xml:space="preserve">Supplementary Table </w:t>
      </w:r>
      <w:r w:rsidR="00B05972" w:rsidRPr="00540E66">
        <w:rPr>
          <w:rFonts w:asciiTheme="minorHAnsi" w:hAnsiTheme="minorHAnsi" w:cstheme="minorHAnsi"/>
          <w:b/>
          <w:bCs/>
        </w:rPr>
        <w:t>2</w:t>
      </w:r>
      <w:r w:rsidRPr="00540E66">
        <w:rPr>
          <w:rFonts w:asciiTheme="minorHAnsi" w:hAnsiTheme="minorHAnsi" w:cstheme="minorHAnsi"/>
          <w:b/>
          <w:bCs/>
        </w:rPr>
        <w:t xml:space="preserve">  |  </w:t>
      </w:r>
      <w:r w:rsidRPr="00540E66">
        <w:rPr>
          <w:rFonts w:asciiTheme="minorHAnsi" w:hAnsiTheme="minorHAnsi" w:cstheme="minorHAnsi"/>
        </w:rPr>
        <w:t xml:space="preserve">Variant details of conclusive diagnoses </w:t>
      </w:r>
    </w:p>
    <w:p w14:paraId="5C669D20" w14:textId="77777777" w:rsidR="00855F96" w:rsidRPr="00540E66" w:rsidRDefault="00855F96" w:rsidP="00855F96">
      <w:pPr>
        <w:rPr>
          <w:rFonts w:asciiTheme="minorHAnsi" w:hAnsiTheme="minorHAnsi" w:cstheme="minorHAnsi"/>
          <w:i/>
          <w:iCs/>
        </w:rPr>
      </w:pPr>
      <w:r w:rsidRPr="00540E66">
        <w:rPr>
          <w:rFonts w:asciiTheme="minorHAnsi" w:hAnsiTheme="minorHAnsi" w:cstheme="minorHAnsi"/>
          <w:i/>
          <w:iCs/>
        </w:rPr>
        <w:t>[Online Excel table]</w:t>
      </w:r>
    </w:p>
    <w:p w14:paraId="67A6B8CD" w14:textId="77777777" w:rsidR="00855F96" w:rsidRPr="00540E66" w:rsidRDefault="00855F96" w:rsidP="00855F96">
      <w:pPr>
        <w:rPr>
          <w:rFonts w:asciiTheme="minorHAnsi" w:hAnsiTheme="minorHAnsi" w:cstheme="minorHAnsi"/>
        </w:rPr>
      </w:pPr>
    </w:p>
    <w:p w14:paraId="4D6903F4" w14:textId="733CB180" w:rsidR="003A5506" w:rsidRPr="00540E66" w:rsidRDefault="003A5506" w:rsidP="00855F96">
      <w:pPr>
        <w:rPr>
          <w:rFonts w:asciiTheme="minorHAnsi" w:hAnsiTheme="minorHAnsi" w:cstheme="minorHAnsi"/>
        </w:rPr>
      </w:pPr>
      <w:r w:rsidRPr="00540E66">
        <w:rPr>
          <w:rFonts w:asciiTheme="minorHAnsi" w:hAnsiTheme="minorHAnsi" w:cstheme="minorHAnsi"/>
        </w:rPr>
        <w:t>Tab 1: D</w:t>
      </w:r>
      <w:r w:rsidR="000A2804" w:rsidRPr="00540E66">
        <w:rPr>
          <w:rFonts w:asciiTheme="minorHAnsi" w:hAnsiTheme="minorHAnsi" w:cstheme="minorHAnsi"/>
        </w:rPr>
        <w:t xml:space="preserve">etails of all </w:t>
      </w:r>
      <w:r w:rsidRPr="00540E66">
        <w:rPr>
          <w:rFonts w:asciiTheme="minorHAnsi" w:hAnsiTheme="minorHAnsi" w:cstheme="minorHAnsi"/>
        </w:rPr>
        <w:t xml:space="preserve">SNV and indels leading to </w:t>
      </w:r>
      <w:r w:rsidR="000A2804" w:rsidRPr="00540E66">
        <w:rPr>
          <w:rFonts w:asciiTheme="minorHAnsi" w:hAnsiTheme="minorHAnsi" w:cstheme="minorHAnsi"/>
        </w:rPr>
        <w:t>conclusive genetic diagnosis</w:t>
      </w:r>
    </w:p>
    <w:p w14:paraId="11BCD337" w14:textId="42175398" w:rsidR="000A2804" w:rsidRPr="00540E66" w:rsidRDefault="000A2804" w:rsidP="00855F96">
      <w:pPr>
        <w:rPr>
          <w:rFonts w:asciiTheme="minorHAnsi" w:hAnsiTheme="minorHAnsi" w:cstheme="minorHAnsi"/>
        </w:rPr>
      </w:pPr>
      <w:r w:rsidRPr="00540E66">
        <w:rPr>
          <w:rFonts w:asciiTheme="minorHAnsi" w:hAnsiTheme="minorHAnsi" w:cstheme="minorHAnsi"/>
        </w:rPr>
        <w:t>Tab 2: Details of all CNVs leading to conclusive genetic diagnosis</w:t>
      </w:r>
    </w:p>
    <w:p w14:paraId="118F9C65" w14:textId="77777777" w:rsidR="00540E66" w:rsidRPr="00540E66" w:rsidRDefault="00540E66" w:rsidP="00855F96">
      <w:pPr>
        <w:rPr>
          <w:rFonts w:asciiTheme="minorHAnsi" w:hAnsiTheme="minorHAnsi" w:cstheme="minorHAnsi"/>
        </w:rPr>
      </w:pPr>
    </w:p>
    <w:p w14:paraId="03B8AE6C" w14:textId="77777777" w:rsidR="00540E66" w:rsidRPr="00540E66" w:rsidRDefault="00540E66" w:rsidP="00855F96">
      <w:pPr>
        <w:rPr>
          <w:rFonts w:asciiTheme="minorHAnsi" w:hAnsiTheme="minorHAnsi" w:cstheme="minorHAnsi"/>
        </w:rPr>
      </w:pPr>
    </w:p>
    <w:p w14:paraId="020C8B0F" w14:textId="77777777" w:rsidR="00855F96" w:rsidRPr="00540E66" w:rsidRDefault="00855F96" w:rsidP="00855F96">
      <w:pPr>
        <w:rPr>
          <w:rFonts w:asciiTheme="minorHAnsi" w:hAnsiTheme="minorHAnsi" w:cstheme="minorHAnsi"/>
        </w:rPr>
      </w:pPr>
    </w:p>
    <w:p w14:paraId="363F7838" w14:textId="2709E1FE" w:rsidR="00855F96" w:rsidRPr="00540E66" w:rsidRDefault="00855F96" w:rsidP="00855F96">
      <w:pPr>
        <w:rPr>
          <w:rFonts w:asciiTheme="minorHAnsi" w:hAnsiTheme="minorHAnsi" w:cstheme="minorHAnsi"/>
        </w:rPr>
      </w:pPr>
      <w:r w:rsidRPr="00540E66">
        <w:rPr>
          <w:rFonts w:asciiTheme="minorHAnsi" w:hAnsiTheme="minorHAnsi" w:cstheme="minorHAnsi"/>
          <w:b/>
          <w:bCs/>
        </w:rPr>
        <w:t xml:space="preserve">Supplementary Table </w:t>
      </w:r>
      <w:r w:rsidR="00B05972" w:rsidRPr="00540E66">
        <w:rPr>
          <w:rFonts w:asciiTheme="minorHAnsi" w:hAnsiTheme="minorHAnsi" w:cstheme="minorHAnsi"/>
          <w:b/>
          <w:bCs/>
        </w:rPr>
        <w:t>3</w:t>
      </w:r>
      <w:r w:rsidRPr="00540E66">
        <w:rPr>
          <w:rFonts w:asciiTheme="minorHAnsi" w:hAnsiTheme="minorHAnsi" w:cstheme="minorHAnsi"/>
          <w:b/>
          <w:bCs/>
        </w:rPr>
        <w:t xml:space="preserve">  |  </w:t>
      </w:r>
      <w:bookmarkStart w:id="2" w:name="_Hlk140074755"/>
      <w:r w:rsidRPr="00540E66">
        <w:rPr>
          <w:rFonts w:asciiTheme="minorHAnsi" w:hAnsiTheme="minorHAnsi" w:cstheme="minorHAnsi"/>
        </w:rPr>
        <w:t xml:space="preserve">Variant details of possible diagnoses </w:t>
      </w:r>
      <w:bookmarkEnd w:id="2"/>
    </w:p>
    <w:p w14:paraId="3BF3D7E9" w14:textId="77777777" w:rsidR="00855F96" w:rsidRPr="00540E66" w:rsidRDefault="00855F96" w:rsidP="00855F96">
      <w:pPr>
        <w:rPr>
          <w:rFonts w:asciiTheme="minorHAnsi" w:hAnsiTheme="minorHAnsi" w:cstheme="minorHAnsi"/>
          <w:i/>
          <w:iCs/>
        </w:rPr>
      </w:pPr>
      <w:r w:rsidRPr="00540E66">
        <w:rPr>
          <w:rFonts w:asciiTheme="minorHAnsi" w:hAnsiTheme="minorHAnsi" w:cstheme="minorHAnsi"/>
          <w:i/>
          <w:iCs/>
        </w:rPr>
        <w:t>[Online Excel table]</w:t>
      </w:r>
    </w:p>
    <w:p w14:paraId="1AC9E402" w14:textId="77777777" w:rsidR="00B05972" w:rsidRPr="00540E66" w:rsidRDefault="00B05972" w:rsidP="001661EF">
      <w:pPr>
        <w:rPr>
          <w:rFonts w:asciiTheme="minorHAnsi" w:hAnsiTheme="minorHAnsi" w:cstheme="minorHAnsi"/>
        </w:rPr>
      </w:pPr>
    </w:p>
    <w:p w14:paraId="5035B764" w14:textId="2F7F3E46" w:rsidR="000A2804" w:rsidRPr="00540E66" w:rsidRDefault="000A2804" w:rsidP="000A2804">
      <w:pPr>
        <w:rPr>
          <w:rFonts w:asciiTheme="minorHAnsi" w:hAnsiTheme="minorHAnsi" w:cstheme="minorHAnsi"/>
        </w:rPr>
      </w:pPr>
      <w:r w:rsidRPr="00540E66">
        <w:rPr>
          <w:rFonts w:asciiTheme="minorHAnsi" w:hAnsiTheme="minorHAnsi" w:cstheme="minorHAnsi"/>
        </w:rPr>
        <w:t>Tab 1: Details of all SNV and indels leading to possible genetic diagnosis</w:t>
      </w:r>
    </w:p>
    <w:p w14:paraId="37C95331" w14:textId="35FE4FBA" w:rsidR="000A2804" w:rsidRPr="00540E66" w:rsidRDefault="000A2804" w:rsidP="000A2804">
      <w:pPr>
        <w:rPr>
          <w:rFonts w:asciiTheme="minorHAnsi" w:hAnsiTheme="minorHAnsi" w:cstheme="minorHAnsi"/>
        </w:rPr>
      </w:pPr>
      <w:r w:rsidRPr="00540E66">
        <w:rPr>
          <w:rFonts w:asciiTheme="minorHAnsi" w:hAnsiTheme="minorHAnsi" w:cstheme="minorHAnsi"/>
        </w:rPr>
        <w:t>Tab 2: Details of all CNVs leading to possible genetic diagnosis</w:t>
      </w:r>
    </w:p>
    <w:p w14:paraId="75238C2C" w14:textId="77777777" w:rsidR="000A2804" w:rsidRPr="00540E66" w:rsidRDefault="000A2804" w:rsidP="001661EF">
      <w:pPr>
        <w:rPr>
          <w:rFonts w:asciiTheme="minorHAnsi" w:hAnsiTheme="minorHAnsi" w:cstheme="minorHAnsi"/>
        </w:rPr>
      </w:pPr>
    </w:p>
    <w:p w14:paraId="7283AE4E" w14:textId="77777777" w:rsidR="000A2804" w:rsidRPr="00540E66" w:rsidRDefault="000A2804" w:rsidP="001661EF">
      <w:pPr>
        <w:rPr>
          <w:rFonts w:asciiTheme="minorHAnsi" w:hAnsiTheme="minorHAnsi" w:cstheme="minorHAnsi"/>
        </w:rPr>
        <w:sectPr w:rsidR="000A2804" w:rsidRPr="00540E66">
          <w:footerReference w:type="even" r:id="rId10"/>
          <w:footerReference w:type="default" r:id="rId11"/>
          <w:pgSz w:w="11906" w:h="16838"/>
          <w:pgMar w:top="1440" w:right="1440" w:bottom="1440" w:left="1440" w:header="720" w:footer="720" w:gutter="0"/>
          <w:cols w:space="720"/>
        </w:sectPr>
      </w:pPr>
    </w:p>
    <w:p w14:paraId="0EF33D13" w14:textId="77777777" w:rsidR="00B05972" w:rsidRPr="00540E66" w:rsidRDefault="00B05972" w:rsidP="001661EF">
      <w:pPr>
        <w:rPr>
          <w:rFonts w:asciiTheme="minorHAnsi" w:hAnsiTheme="minorHAnsi" w:cstheme="minorHAnsi"/>
        </w:rPr>
      </w:pPr>
    </w:p>
    <w:p w14:paraId="63760540" w14:textId="77777777" w:rsidR="00A13F9B" w:rsidRPr="00540E66" w:rsidRDefault="00B05972" w:rsidP="003A61C8">
      <w:pPr>
        <w:rPr>
          <w:rFonts w:asciiTheme="minorHAnsi" w:hAnsiTheme="minorHAnsi" w:cstheme="minorHAnsi"/>
          <w:i/>
          <w:iCs/>
        </w:rPr>
      </w:pPr>
      <w:r w:rsidRPr="00540E66">
        <w:rPr>
          <w:rFonts w:asciiTheme="minorHAnsi" w:hAnsiTheme="minorHAnsi" w:cstheme="minorHAnsi"/>
          <w:b/>
          <w:bCs/>
        </w:rPr>
        <w:t xml:space="preserve">Supplementary Table 4  | </w:t>
      </w:r>
      <w:r w:rsidRPr="00540E66">
        <w:rPr>
          <w:rFonts w:asciiTheme="minorHAnsi" w:hAnsiTheme="minorHAnsi" w:cstheme="minorHAnsi"/>
        </w:rPr>
        <w:t xml:space="preserve">Unsolicited findings </w:t>
      </w:r>
      <w:r w:rsidR="003A61C8" w:rsidRPr="00540E66">
        <w:rPr>
          <w:rFonts w:asciiTheme="minorHAnsi" w:hAnsiTheme="minorHAnsi" w:cstheme="minorHAnsi"/>
        </w:rPr>
        <w:br/>
      </w:r>
    </w:p>
    <w:p w14:paraId="193855AC" w14:textId="25CB8940" w:rsidR="00B05972" w:rsidRPr="00540E66" w:rsidRDefault="00B05972" w:rsidP="000A2804">
      <w:pPr>
        <w:rPr>
          <w:rFonts w:asciiTheme="minorHAnsi" w:hAnsiTheme="minorHAnsi" w:cstheme="minorHAnsi"/>
        </w:rPr>
      </w:pPr>
    </w:p>
    <w:tbl>
      <w:tblPr>
        <w:tblStyle w:val="Tabelraster"/>
        <w:tblW w:w="0" w:type="auto"/>
        <w:tblLook w:val="04A0" w:firstRow="1" w:lastRow="0" w:firstColumn="1" w:lastColumn="0" w:noHBand="0" w:noVBand="1"/>
      </w:tblPr>
      <w:tblGrid>
        <w:gridCol w:w="903"/>
        <w:gridCol w:w="2977"/>
        <w:gridCol w:w="2551"/>
        <w:gridCol w:w="1418"/>
        <w:gridCol w:w="2268"/>
        <w:gridCol w:w="3345"/>
      </w:tblGrid>
      <w:tr w:rsidR="0083457B" w:rsidRPr="00540E66" w14:paraId="402B0DA0" w14:textId="77777777" w:rsidTr="0083457B">
        <w:tc>
          <w:tcPr>
            <w:tcW w:w="903" w:type="dxa"/>
            <w:shd w:val="clear" w:color="auto" w:fill="808080" w:themeFill="background1" w:themeFillShade="80"/>
          </w:tcPr>
          <w:p w14:paraId="70AC0F42" w14:textId="318305FF" w:rsidR="005B1F8D" w:rsidRPr="00540E66" w:rsidRDefault="005B1F8D" w:rsidP="000A2804">
            <w:pPr>
              <w:rPr>
                <w:rFonts w:asciiTheme="minorHAnsi" w:hAnsiTheme="minorHAnsi" w:cstheme="minorHAnsi"/>
                <w:color w:val="FFFFFF" w:themeColor="background1"/>
                <w:sz w:val="20"/>
                <w:szCs w:val="20"/>
              </w:rPr>
            </w:pPr>
            <w:r w:rsidRPr="00540E66">
              <w:rPr>
                <w:rFonts w:asciiTheme="minorHAnsi" w:hAnsiTheme="minorHAnsi" w:cstheme="minorHAnsi"/>
                <w:color w:val="FFFFFF" w:themeColor="background1"/>
                <w:sz w:val="20"/>
                <w:szCs w:val="20"/>
              </w:rPr>
              <w:t>Gene</w:t>
            </w:r>
          </w:p>
        </w:tc>
        <w:tc>
          <w:tcPr>
            <w:tcW w:w="2977" w:type="dxa"/>
            <w:shd w:val="clear" w:color="auto" w:fill="808080" w:themeFill="background1" w:themeFillShade="80"/>
          </w:tcPr>
          <w:p w14:paraId="13D24486" w14:textId="78BB1060" w:rsidR="005B1F8D" w:rsidRPr="00540E66" w:rsidRDefault="005B1F8D" w:rsidP="000A2804">
            <w:pPr>
              <w:rPr>
                <w:rFonts w:asciiTheme="minorHAnsi" w:hAnsiTheme="minorHAnsi" w:cstheme="minorHAnsi"/>
                <w:color w:val="FFFFFF" w:themeColor="background1"/>
                <w:sz w:val="20"/>
                <w:szCs w:val="20"/>
              </w:rPr>
            </w:pPr>
            <w:r w:rsidRPr="00540E66">
              <w:rPr>
                <w:rFonts w:asciiTheme="minorHAnsi" w:hAnsiTheme="minorHAnsi" w:cstheme="minorHAnsi"/>
                <w:color w:val="FFFFFF" w:themeColor="background1"/>
                <w:sz w:val="20"/>
                <w:szCs w:val="20"/>
              </w:rPr>
              <w:t>Variant (</w:t>
            </w:r>
            <w:r w:rsidR="0083457B" w:rsidRPr="00540E66">
              <w:rPr>
                <w:rFonts w:asciiTheme="minorHAnsi" w:hAnsiTheme="minorHAnsi" w:cstheme="minorHAnsi"/>
                <w:color w:val="FFFFFF" w:themeColor="background1"/>
                <w:sz w:val="20"/>
                <w:szCs w:val="20"/>
              </w:rPr>
              <w:t>genomic position)</w:t>
            </w:r>
          </w:p>
        </w:tc>
        <w:tc>
          <w:tcPr>
            <w:tcW w:w="2551" w:type="dxa"/>
            <w:shd w:val="clear" w:color="auto" w:fill="808080" w:themeFill="background1" w:themeFillShade="80"/>
          </w:tcPr>
          <w:p w14:paraId="049B91BD" w14:textId="548E2D46" w:rsidR="005B1F8D" w:rsidRPr="00540E66" w:rsidRDefault="0083457B" w:rsidP="000A2804">
            <w:pPr>
              <w:rPr>
                <w:rFonts w:asciiTheme="minorHAnsi" w:hAnsiTheme="minorHAnsi" w:cstheme="minorHAnsi"/>
                <w:color w:val="FFFFFF" w:themeColor="background1"/>
                <w:sz w:val="20"/>
                <w:szCs w:val="20"/>
              </w:rPr>
            </w:pPr>
            <w:r w:rsidRPr="00540E66">
              <w:rPr>
                <w:rFonts w:asciiTheme="minorHAnsi" w:hAnsiTheme="minorHAnsi" w:cstheme="minorHAnsi"/>
                <w:color w:val="FFFFFF" w:themeColor="background1"/>
                <w:sz w:val="20"/>
                <w:szCs w:val="20"/>
              </w:rPr>
              <w:t>cDNA</w:t>
            </w:r>
          </w:p>
        </w:tc>
        <w:tc>
          <w:tcPr>
            <w:tcW w:w="1418" w:type="dxa"/>
            <w:shd w:val="clear" w:color="auto" w:fill="808080" w:themeFill="background1" w:themeFillShade="80"/>
          </w:tcPr>
          <w:p w14:paraId="5F32B6F5" w14:textId="0A467DAE" w:rsidR="005B1F8D" w:rsidRPr="00540E66" w:rsidRDefault="0083457B" w:rsidP="000A2804">
            <w:pPr>
              <w:rPr>
                <w:rFonts w:asciiTheme="minorHAnsi" w:hAnsiTheme="minorHAnsi" w:cstheme="minorHAnsi"/>
                <w:color w:val="FFFFFF" w:themeColor="background1"/>
                <w:sz w:val="20"/>
                <w:szCs w:val="20"/>
              </w:rPr>
            </w:pPr>
            <w:r w:rsidRPr="00540E66">
              <w:rPr>
                <w:rFonts w:asciiTheme="minorHAnsi" w:hAnsiTheme="minorHAnsi" w:cstheme="minorHAnsi"/>
                <w:color w:val="FFFFFF" w:themeColor="background1"/>
                <w:sz w:val="20"/>
                <w:szCs w:val="20"/>
              </w:rPr>
              <w:t>Protein</w:t>
            </w:r>
          </w:p>
        </w:tc>
        <w:tc>
          <w:tcPr>
            <w:tcW w:w="2268" w:type="dxa"/>
            <w:shd w:val="clear" w:color="auto" w:fill="808080" w:themeFill="background1" w:themeFillShade="80"/>
          </w:tcPr>
          <w:p w14:paraId="37A1B0CB" w14:textId="72140D2B" w:rsidR="005B1F8D" w:rsidRPr="00540E66" w:rsidRDefault="0083457B" w:rsidP="000A2804">
            <w:pPr>
              <w:rPr>
                <w:rFonts w:asciiTheme="minorHAnsi" w:hAnsiTheme="minorHAnsi" w:cstheme="minorHAnsi"/>
                <w:color w:val="FFFFFF" w:themeColor="background1"/>
                <w:sz w:val="20"/>
                <w:szCs w:val="20"/>
              </w:rPr>
            </w:pPr>
            <w:r w:rsidRPr="00540E66">
              <w:rPr>
                <w:rFonts w:asciiTheme="minorHAnsi" w:hAnsiTheme="minorHAnsi" w:cstheme="minorHAnsi"/>
                <w:color w:val="FFFFFF" w:themeColor="background1"/>
                <w:sz w:val="20"/>
                <w:szCs w:val="20"/>
              </w:rPr>
              <w:t>Zygosity and Inheritance</w:t>
            </w:r>
          </w:p>
        </w:tc>
        <w:tc>
          <w:tcPr>
            <w:tcW w:w="3345" w:type="dxa"/>
            <w:shd w:val="clear" w:color="auto" w:fill="808080" w:themeFill="background1" w:themeFillShade="80"/>
          </w:tcPr>
          <w:p w14:paraId="510822C7" w14:textId="6D279575" w:rsidR="005B1F8D" w:rsidRPr="00540E66" w:rsidRDefault="0083457B" w:rsidP="000A2804">
            <w:pPr>
              <w:rPr>
                <w:rFonts w:asciiTheme="minorHAnsi" w:hAnsiTheme="minorHAnsi" w:cstheme="minorHAnsi"/>
                <w:color w:val="FFFFFF" w:themeColor="background1"/>
                <w:sz w:val="20"/>
                <w:szCs w:val="20"/>
              </w:rPr>
            </w:pPr>
            <w:r w:rsidRPr="00540E66">
              <w:rPr>
                <w:rFonts w:asciiTheme="minorHAnsi" w:hAnsiTheme="minorHAnsi" w:cstheme="minorHAnsi"/>
                <w:color w:val="FFFFFF" w:themeColor="background1"/>
                <w:sz w:val="20"/>
                <w:szCs w:val="20"/>
              </w:rPr>
              <w:t>Associated phenotype</w:t>
            </w:r>
          </w:p>
        </w:tc>
      </w:tr>
      <w:tr w:rsidR="005B1F8D" w:rsidRPr="00540E66" w14:paraId="39817852" w14:textId="77777777" w:rsidTr="0083457B">
        <w:trPr>
          <w:trHeight w:val="507"/>
        </w:trPr>
        <w:tc>
          <w:tcPr>
            <w:tcW w:w="903" w:type="dxa"/>
            <w:vAlign w:val="center"/>
          </w:tcPr>
          <w:p w14:paraId="4EB68B17" w14:textId="79862AAF" w:rsidR="005B1F8D" w:rsidRPr="00540E66" w:rsidRDefault="0083457B" w:rsidP="0083457B">
            <w:pPr>
              <w:rPr>
                <w:rFonts w:asciiTheme="minorHAnsi" w:hAnsiTheme="minorHAnsi" w:cstheme="minorHAnsi"/>
                <w:sz w:val="20"/>
                <w:szCs w:val="20"/>
              </w:rPr>
            </w:pPr>
            <w:r w:rsidRPr="00540E66">
              <w:rPr>
                <w:rFonts w:asciiTheme="minorHAnsi" w:hAnsiTheme="minorHAnsi" w:cstheme="minorHAnsi"/>
                <w:i/>
                <w:iCs/>
                <w:color w:val="000000"/>
                <w:sz w:val="20"/>
                <w:szCs w:val="20"/>
              </w:rPr>
              <w:t>PKD2</w:t>
            </w:r>
          </w:p>
        </w:tc>
        <w:tc>
          <w:tcPr>
            <w:tcW w:w="2977" w:type="dxa"/>
            <w:vAlign w:val="center"/>
          </w:tcPr>
          <w:p w14:paraId="4C02D4A3" w14:textId="3D3DE674" w:rsidR="005B1F8D"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Chr4(GRCh37):g.88996055C&gt;T</w:t>
            </w:r>
          </w:p>
        </w:tc>
        <w:tc>
          <w:tcPr>
            <w:tcW w:w="2551" w:type="dxa"/>
            <w:vAlign w:val="center"/>
          </w:tcPr>
          <w:p w14:paraId="23A43E8B" w14:textId="7D1D0241" w:rsidR="005B1F8D"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NM_000297.3: c.2614C&gt;T</w:t>
            </w:r>
          </w:p>
        </w:tc>
        <w:tc>
          <w:tcPr>
            <w:tcW w:w="1418" w:type="dxa"/>
            <w:vAlign w:val="center"/>
          </w:tcPr>
          <w:p w14:paraId="6F001F5A" w14:textId="718F697C" w:rsidR="005B1F8D"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p.(Arg872*)</w:t>
            </w:r>
          </w:p>
        </w:tc>
        <w:tc>
          <w:tcPr>
            <w:tcW w:w="2268" w:type="dxa"/>
            <w:vAlign w:val="center"/>
          </w:tcPr>
          <w:p w14:paraId="72BFBD1F" w14:textId="68B20E4B" w:rsidR="005B1F8D"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Heterozygous, paternal</w:t>
            </w:r>
          </w:p>
        </w:tc>
        <w:tc>
          <w:tcPr>
            <w:tcW w:w="3345" w:type="dxa"/>
            <w:vAlign w:val="center"/>
          </w:tcPr>
          <w:p w14:paraId="40C75129" w14:textId="3569DAA3" w:rsidR="005B1F8D"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Polycystic kidney disease 2</w:t>
            </w:r>
          </w:p>
        </w:tc>
      </w:tr>
      <w:tr w:rsidR="0083457B" w:rsidRPr="00540E66" w14:paraId="3E1C42A7" w14:textId="77777777" w:rsidTr="0083457B">
        <w:trPr>
          <w:trHeight w:val="415"/>
        </w:trPr>
        <w:tc>
          <w:tcPr>
            <w:tcW w:w="903" w:type="dxa"/>
            <w:vAlign w:val="center"/>
          </w:tcPr>
          <w:p w14:paraId="36F1C73E" w14:textId="4482FD72" w:rsidR="0083457B" w:rsidRPr="00540E66" w:rsidRDefault="0083457B" w:rsidP="0083457B">
            <w:pPr>
              <w:rPr>
                <w:rFonts w:asciiTheme="minorHAnsi" w:hAnsiTheme="minorHAnsi" w:cstheme="minorHAnsi"/>
                <w:i/>
                <w:iCs/>
                <w:sz w:val="20"/>
                <w:szCs w:val="20"/>
              </w:rPr>
            </w:pPr>
            <w:r w:rsidRPr="00540E66">
              <w:rPr>
                <w:rFonts w:asciiTheme="minorHAnsi" w:hAnsiTheme="minorHAnsi" w:cstheme="minorHAnsi"/>
                <w:i/>
                <w:iCs/>
                <w:sz w:val="20"/>
                <w:szCs w:val="20"/>
              </w:rPr>
              <w:t>MYBPC3</w:t>
            </w:r>
          </w:p>
        </w:tc>
        <w:tc>
          <w:tcPr>
            <w:tcW w:w="2977" w:type="dxa"/>
            <w:vAlign w:val="center"/>
          </w:tcPr>
          <w:p w14:paraId="74756D1D" w14:textId="69DA123D" w:rsidR="0083457B"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Chr11(GRCh37):9.47362755C&gt;T</w:t>
            </w:r>
          </w:p>
        </w:tc>
        <w:tc>
          <w:tcPr>
            <w:tcW w:w="2551" w:type="dxa"/>
            <w:vAlign w:val="center"/>
          </w:tcPr>
          <w:p w14:paraId="57E7D856" w14:textId="71E9AF8B" w:rsidR="0083457B"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NM_000256.3: c.1831G&gt;A</w:t>
            </w:r>
          </w:p>
        </w:tc>
        <w:tc>
          <w:tcPr>
            <w:tcW w:w="1418" w:type="dxa"/>
            <w:vAlign w:val="center"/>
          </w:tcPr>
          <w:p w14:paraId="74633D2C" w14:textId="01306762" w:rsidR="0083457B"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p.(Glu611Lys)</w:t>
            </w:r>
          </w:p>
        </w:tc>
        <w:tc>
          <w:tcPr>
            <w:tcW w:w="2268" w:type="dxa"/>
            <w:vAlign w:val="center"/>
          </w:tcPr>
          <w:p w14:paraId="1E2EAA56" w14:textId="56C012B2" w:rsidR="0083457B"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Heterozygous, paternal</w:t>
            </w:r>
          </w:p>
        </w:tc>
        <w:tc>
          <w:tcPr>
            <w:tcW w:w="3345" w:type="dxa"/>
            <w:vAlign w:val="center"/>
          </w:tcPr>
          <w:p w14:paraId="7F4967B3" w14:textId="3EC9CB2D" w:rsidR="0083457B"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Dilated cardiomyopathy</w:t>
            </w:r>
          </w:p>
        </w:tc>
      </w:tr>
      <w:tr w:rsidR="0083457B" w:rsidRPr="00540E66" w14:paraId="0008283A" w14:textId="77777777" w:rsidTr="0083457B">
        <w:tc>
          <w:tcPr>
            <w:tcW w:w="903" w:type="dxa"/>
            <w:vAlign w:val="center"/>
          </w:tcPr>
          <w:p w14:paraId="5D35C7A0" w14:textId="5E96D6D2" w:rsidR="0083457B" w:rsidRPr="00540E66" w:rsidRDefault="0083457B" w:rsidP="0083457B">
            <w:pPr>
              <w:rPr>
                <w:rFonts w:asciiTheme="minorHAnsi" w:hAnsiTheme="minorHAnsi" w:cstheme="minorHAnsi"/>
                <w:i/>
                <w:iCs/>
                <w:sz w:val="20"/>
                <w:szCs w:val="20"/>
              </w:rPr>
            </w:pPr>
            <w:r w:rsidRPr="00540E66">
              <w:rPr>
                <w:rFonts w:asciiTheme="minorHAnsi" w:hAnsiTheme="minorHAnsi" w:cstheme="minorHAnsi"/>
                <w:i/>
                <w:iCs/>
                <w:color w:val="000000"/>
                <w:sz w:val="20"/>
                <w:szCs w:val="20"/>
              </w:rPr>
              <w:t>PKP2</w:t>
            </w:r>
          </w:p>
        </w:tc>
        <w:tc>
          <w:tcPr>
            <w:tcW w:w="2977" w:type="dxa"/>
            <w:vAlign w:val="center"/>
          </w:tcPr>
          <w:p w14:paraId="73381F7C" w14:textId="5F630114" w:rsidR="0083457B"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Chr12(GRCh37): g.33049611G&gt;A</w:t>
            </w:r>
          </w:p>
        </w:tc>
        <w:tc>
          <w:tcPr>
            <w:tcW w:w="2551" w:type="dxa"/>
            <w:vAlign w:val="center"/>
          </w:tcPr>
          <w:p w14:paraId="4B1CDA7F" w14:textId="5B25A482" w:rsidR="0083457B"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NM_004572.3: c.55C&gt;T</w:t>
            </w:r>
          </w:p>
        </w:tc>
        <w:tc>
          <w:tcPr>
            <w:tcW w:w="1418" w:type="dxa"/>
            <w:vAlign w:val="center"/>
          </w:tcPr>
          <w:p w14:paraId="2CF71D1E" w14:textId="1B27D5D1" w:rsidR="0083457B"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p.(Gln19*)</w:t>
            </w:r>
          </w:p>
        </w:tc>
        <w:tc>
          <w:tcPr>
            <w:tcW w:w="2268" w:type="dxa"/>
            <w:vAlign w:val="center"/>
          </w:tcPr>
          <w:p w14:paraId="1F24DFB7" w14:textId="14D0115F" w:rsidR="0083457B"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Heterozygous, maternal</w:t>
            </w:r>
          </w:p>
        </w:tc>
        <w:tc>
          <w:tcPr>
            <w:tcW w:w="3345" w:type="dxa"/>
            <w:vAlign w:val="center"/>
          </w:tcPr>
          <w:p w14:paraId="64A744D2" w14:textId="0F74209C" w:rsidR="0083457B" w:rsidRPr="00540E66" w:rsidRDefault="0083457B" w:rsidP="0083457B">
            <w:pPr>
              <w:rPr>
                <w:rFonts w:asciiTheme="minorHAnsi" w:hAnsiTheme="minorHAnsi" w:cstheme="minorHAnsi"/>
                <w:sz w:val="20"/>
                <w:szCs w:val="20"/>
              </w:rPr>
            </w:pPr>
            <w:r w:rsidRPr="00540E66">
              <w:rPr>
                <w:rFonts w:asciiTheme="minorHAnsi" w:hAnsiTheme="minorHAnsi" w:cstheme="minorHAnsi"/>
                <w:color w:val="000000"/>
                <w:sz w:val="20"/>
                <w:szCs w:val="20"/>
              </w:rPr>
              <w:t>Arrhythmogenic right ventricular cardiomyopathy</w:t>
            </w:r>
          </w:p>
        </w:tc>
      </w:tr>
    </w:tbl>
    <w:p w14:paraId="35B8782A" w14:textId="77777777" w:rsidR="000A2804" w:rsidRPr="00540E66" w:rsidRDefault="000A2804" w:rsidP="000A2804">
      <w:pPr>
        <w:rPr>
          <w:rFonts w:asciiTheme="minorHAnsi" w:hAnsiTheme="minorHAnsi" w:cstheme="minorHAnsi"/>
        </w:rPr>
      </w:pPr>
    </w:p>
    <w:sectPr w:rsidR="000A2804" w:rsidRPr="00540E66" w:rsidSect="000A2804">
      <w:pgSz w:w="16838" w:h="11906"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A281" w14:textId="77777777" w:rsidR="001E1E0A" w:rsidRDefault="001E1E0A">
      <w:r>
        <w:separator/>
      </w:r>
    </w:p>
  </w:endnote>
  <w:endnote w:type="continuationSeparator" w:id="0">
    <w:p w14:paraId="32C1BE80" w14:textId="77777777" w:rsidR="001E1E0A" w:rsidRDefault="001E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45729869"/>
      <w:docPartObj>
        <w:docPartGallery w:val="Page Numbers (Bottom of Page)"/>
        <w:docPartUnique/>
      </w:docPartObj>
    </w:sdtPr>
    <w:sdtContent>
      <w:p w14:paraId="5F4B86B6" w14:textId="6BFDEE39" w:rsidR="00855F96" w:rsidRDefault="00855F96" w:rsidP="00BC583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0A2804">
          <w:rPr>
            <w:rStyle w:val="Paginanummer"/>
            <w:noProof/>
          </w:rPr>
          <w:t>1</w:t>
        </w:r>
        <w:r>
          <w:rPr>
            <w:rStyle w:val="Paginanummer"/>
          </w:rPr>
          <w:fldChar w:fldCharType="end"/>
        </w:r>
      </w:p>
    </w:sdtContent>
  </w:sdt>
  <w:p w14:paraId="4093A2AA" w14:textId="77777777" w:rsidR="00855F96" w:rsidRDefault="00855F96" w:rsidP="00855F9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1354440"/>
      <w:docPartObj>
        <w:docPartGallery w:val="Page Numbers (Bottom of Page)"/>
        <w:docPartUnique/>
      </w:docPartObj>
    </w:sdtPr>
    <w:sdtContent>
      <w:p w14:paraId="1DBC4895" w14:textId="25B5069E" w:rsidR="00855F96" w:rsidRDefault="00855F96" w:rsidP="00BC583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3A9824BA" w14:textId="77777777" w:rsidR="00855F96" w:rsidRDefault="00855F96" w:rsidP="00855F9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72FB" w14:textId="77777777" w:rsidR="001E1E0A" w:rsidRDefault="001E1E0A">
      <w:r>
        <w:rPr>
          <w:color w:val="000000"/>
        </w:rPr>
        <w:separator/>
      </w:r>
    </w:p>
  </w:footnote>
  <w:footnote w:type="continuationSeparator" w:id="0">
    <w:p w14:paraId="40FF281F" w14:textId="77777777" w:rsidR="001E1E0A" w:rsidRDefault="001E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77F5F"/>
    <w:multiLevelType w:val="hybridMultilevel"/>
    <w:tmpl w:val="4544A7E6"/>
    <w:lvl w:ilvl="0" w:tplc="E39C7C4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749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1A"/>
    <w:rsid w:val="0001580B"/>
    <w:rsid w:val="00071070"/>
    <w:rsid w:val="000A2804"/>
    <w:rsid w:val="000F6D9E"/>
    <w:rsid w:val="0012202F"/>
    <w:rsid w:val="001661EF"/>
    <w:rsid w:val="001B596B"/>
    <w:rsid w:val="001D4DC8"/>
    <w:rsid w:val="001D6284"/>
    <w:rsid w:val="001E1E0A"/>
    <w:rsid w:val="002356CD"/>
    <w:rsid w:val="002A081C"/>
    <w:rsid w:val="002B0D1C"/>
    <w:rsid w:val="002F4562"/>
    <w:rsid w:val="003A5506"/>
    <w:rsid w:val="003A61C8"/>
    <w:rsid w:val="003C2CDE"/>
    <w:rsid w:val="004151D8"/>
    <w:rsid w:val="00440AE4"/>
    <w:rsid w:val="00444E22"/>
    <w:rsid w:val="00476BC3"/>
    <w:rsid w:val="00480E84"/>
    <w:rsid w:val="00506295"/>
    <w:rsid w:val="00517867"/>
    <w:rsid w:val="00540E66"/>
    <w:rsid w:val="0055580F"/>
    <w:rsid w:val="005713E4"/>
    <w:rsid w:val="00584DFF"/>
    <w:rsid w:val="005B1F8D"/>
    <w:rsid w:val="005C5027"/>
    <w:rsid w:val="0062441A"/>
    <w:rsid w:val="00647E56"/>
    <w:rsid w:val="00661E14"/>
    <w:rsid w:val="007321FA"/>
    <w:rsid w:val="00763101"/>
    <w:rsid w:val="00782A10"/>
    <w:rsid w:val="007C3797"/>
    <w:rsid w:val="007D1572"/>
    <w:rsid w:val="007E1520"/>
    <w:rsid w:val="00822867"/>
    <w:rsid w:val="00833E35"/>
    <w:rsid w:val="0083457B"/>
    <w:rsid w:val="00855F96"/>
    <w:rsid w:val="00862D5E"/>
    <w:rsid w:val="00872E45"/>
    <w:rsid w:val="00884339"/>
    <w:rsid w:val="00960EE3"/>
    <w:rsid w:val="0097214F"/>
    <w:rsid w:val="009869DF"/>
    <w:rsid w:val="009C0C4D"/>
    <w:rsid w:val="009D3950"/>
    <w:rsid w:val="00A00349"/>
    <w:rsid w:val="00A13F9B"/>
    <w:rsid w:val="00A23EF0"/>
    <w:rsid w:val="00A2608D"/>
    <w:rsid w:val="00A2753E"/>
    <w:rsid w:val="00A4219A"/>
    <w:rsid w:val="00A517C2"/>
    <w:rsid w:val="00A83570"/>
    <w:rsid w:val="00A95229"/>
    <w:rsid w:val="00B0001E"/>
    <w:rsid w:val="00B05972"/>
    <w:rsid w:val="00B22A2F"/>
    <w:rsid w:val="00B80981"/>
    <w:rsid w:val="00B97C1C"/>
    <w:rsid w:val="00BA7381"/>
    <w:rsid w:val="00BC3220"/>
    <w:rsid w:val="00C44DB1"/>
    <w:rsid w:val="00CB61D4"/>
    <w:rsid w:val="00D060B3"/>
    <w:rsid w:val="00D341F0"/>
    <w:rsid w:val="00D51AB7"/>
    <w:rsid w:val="00D52FF2"/>
    <w:rsid w:val="00DD1FB4"/>
    <w:rsid w:val="00DE3B1B"/>
    <w:rsid w:val="00E355C5"/>
    <w:rsid w:val="00E811EE"/>
    <w:rsid w:val="00E82F47"/>
    <w:rsid w:val="00EA4CC8"/>
    <w:rsid w:val="00EC624C"/>
    <w:rsid w:val="00ED0CE2"/>
    <w:rsid w:val="00ED7396"/>
    <w:rsid w:val="00F36630"/>
    <w:rsid w:val="00F42FF1"/>
    <w:rsid w:val="00F613A2"/>
    <w:rsid w:val="00F85678"/>
    <w:rsid w:val="00FA1DD2"/>
    <w:rsid w:val="00FB56DF"/>
    <w:rsid w:val="00FE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3499"/>
  <w15:docId w15:val="{E5DF151A-7913-5749-ABEA-C222E54A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5972"/>
    <w:pPr>
      <w:autoSpaceDN/>
      <w:spacing w:after="0" w:line="240" w:lineRule="auto"/>
    </w:pPr>
    <w:rPr>
      <w:rFonts w:ascii="Times New Roman" w:eastAsia="Times New Roman" w:hAnsi="Times New Roman" w:cs="Times New Roman"/>
      <w:sz w:val="24"/>
      <w:szCs w:val="24"/>
      <w:lang w:eastAsia="en-GB"/>
    </w:rPr>
  </w:style>
  <w:style w:type="paragraph" w:styleId="Kop1">
    <w:name w:val="heading 1"/>
    <w:basedOn w:val="Standaard"/>
    <w:next w:val="Standaard"/>
    <w:link w:val="Kop1Char"/>
    <w:uiPriority w:val="9"/>
    <w:qFormat/>
    <w:rsid w:val="00B0597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Pr>
      <w:sz w:val="16"/>
      <w:szCs w:val="16"/>
    </w:rPr>
  </w:style>
  <w:style w:type="paragraph" w:styleId="Tekstopmerking">
    <w:name w:val="annotation text"/>
    <w:basedOn w:val="Standaard"/>
    <w:pPr>
      <w:suppressAutoHyphens/>
      <w:autoSpaceDN w:val="0"/>
      <w:spacing w:after="160"/>
    </w:pPr>
    <w:rPr>
      <w:rFonts w:ascii="Calibri" w:eastAsia="Calibri" w:hAnsi="Calibri" w:cs="Arial"/>
      <w:sz w:val="20"/>
      <w:szCs w:val="20"/>
      <w:lang w:val="nl-NL" w:eastAsia="en-US"/>
    </w:rPr>
  </w:style>
  <w:style w:type="character" w:customStyle="1" w:styleId="CommentTextChar">
    <w:name w:val="Comment Text Char"/>
    <w:basedOn w:val="Standaardalinea-lettertype"/>
    <w:rPr>
      <w:sz w:val="20"/>
      <w:szCs w:val="20"/>
      <w:lang w:val="nl-NL"/>
    </w:rPr>
  </w:style>
  <w:style w:type="paragraph" w:styleId="Onderwerpvanopmerking">
    <w:name w:val="annotation subject"/>
    <w:basedOn w:val="Tekstopmerking"/>
    <w:next w:val="Tekstopmerking"/>
    <w:rPr>
      <w:b/>
      <w:bCs/>
    </w:rPr>
  </w:style>
  <w:style w:type="character" w:customStyle="1" w:styleId="CommentSubjectChar">
    <w:name w:val="Comment Subject Char"/>
    <w:basedOn w:val="CommentTextChar"/>
    <w:rPr>
      <w:b/>
      <w:bCs/>
      <w:sz w:val="20"/>
      <w:szCs w:val="20"/>
      <w:lang w:val="nl-NL"/>
    </w:rPr>
  </w:style>
  <w:style w:type="paragraph" w:styleId="Revisie">
    <w:name w:val="Revision"/>
    <w:hidden/>
    <w:uiPriority w:val="99"/>
    <w:semiHidden/>
    <w:rsid w:val="00647E56"/>
    <w:pPr>
      <w:autoSpaceDN/>
      <w:spacing w:after="0" w:line="240" w:lineRule="auto"/>
    </w:pPr>
    <w:rPr>
      <w:lang w:val="nl-NL"/>
    </w:rPr>
  </w:style>
  <w:style w:type="paragraph" w:styleId="Koptekst">
    <w:name w:val="header"/>
    <w:basedOn w:val="Standaard"/>
    <w:link w:val="KoptekstChar"/>
    <w:uiPriority w:val="99"/>
    <w:unhideWhenUsed/>
    <w:rsid w:val="00855F96"/>
    <w:pPr>
      <w:tabs>
        <w:tab w:val="center" w:pos="4513"/>
        <w:tab w:val="right" w:pos="9026"/>
      </w:tabs>
      <w:suppressAutoHyphens/>
      <w:autoSpaceDN w:val="0"/>
    </w:pPr>
    <w:rPr>
      <w:rFonts w:ascii="Calibri" w:eastAsia="Calibri" w:hAnsi="Calibri" w:cs="Arial"/>
      <w:sz w:val="22"/>
      <w:szCs w:val="22"/>
      <w:lang w:val="nl-NL" w:eastAsia="en-US"/>
    </w:rPr>
  </w:style>
  <w:style w:type="character" w:customStyle="1" w:styleId="KoptekstChar">
    <w:name w:val="Koptekst Char"/>
    <w:basedOn w:val="Standaardalinea-lettertype"/>
    <w:link w:val="Koptekst"/>
    <w:uiPriority w:val="99"/>
    <w:rsid w:val="00855F96"/>
    <w:rPr>
      <w:lang w:val="nl-NL"/>
    </w:rPr>
  </w:style>
  <w:style w:type="paragraph" w:styleId="Voettekst">
    <w:name w:val="footer"/>
    <w:basedOn w:val="Standaard"/>
    <w:link w:val="VoettekstChar"/>
    <w:uiPriority w:val="99"/>
    <w:unhideWhenUsed/>
    <w:rsid w:val="00855F96"/>
    <w:pPr>
      <w:tabs>
        <w:tab w:val="center" w:pos="4513"/>
        <w:tab w:val="right" w:pos="9026"/>
      </w:tabs>
      <w:suppressAutoHyphens/>
      <w:autoSpaceDN w:val="0"/>
    </w:pPr>
    <w:rPr>
      <w:rFonts w:ascii="Calibri" w:eastAsia="Calibri" w:hAnsi="Calibri" w:cs="Arial"/>
      <w:sz w:val="22"/>
      <w:szCs w:val="22"/>
      <w:lang w:val="nl-NL" w:eastAsia="en-US"/>
    </w:rPr>
  </w:style>
  <w:style w:type="character" w:customStyle="1" w:styleId="VoettekstChar">
    <w:name w:val="Voettekst Char"/>
    <w:basedOn w:val="Standaardalinea-lettertype"/>
    <w:link w:val="Voettekst"/>
    <w:uiPriority w:val="99"/>
    <w:rsid w:val="00855F96"/>
    <w:rPr>
      <w:lang w:val="nl-NL"/>
    </w:rPr>
  </w:style>
  <w:style w:type="character" w:styleId="Paginanummer">
    <w:name w:val="page number"/>
    <w:basedOn w:val="Standaardalinea-lettertype"/>
    <w:uiPriority w:val="99"/>
    <w:semiHidden/>
    <w:unhideWhenUsed/>
    <w:rsid w:val="00855F96"/>
  </w:style>
  <w:style w:type="character" w:customStyle="1" w:styleId="Kop1Char">
    <w:name w:val="Kop 1 Char"/>
    <w:basedOn w:val="Standaardalinea-lettertype"/>
    <w:link w:val="Kop1"/>
    <w:uiPriority w:val="9"/>
    <w:rsid w:val="00B05972"/>
    <w:rPr>
      <w:rFonts w:asciiTheme="majorHAnsi" w:eastAsiaTheme="majorEastAsia" w:hAnsiTheme="majorHAnsi" w:cstheme="majorBidi"/>
      <w:color w:val="2F5496" w:themeColor="accent1" w:themeShade="BF"/>
      <w:sz w:val="32"/>
      <w:szCs w:val="32"/>
      <w:lang w:eastAsia="en-GB"/>
    </w:rPr>
  </w:style>
  <w:style w:type="table" w:styleId="Tabelraster">
    <w:name w:val="Table Grid"/>
    <w:basedOn w:val="Standaardtabel"/>
    <w:uiPriority w:val="39"/>
    <w:rsid w:val="005B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31773">
      <w:bodyDiv w:val="1"/>
      <w:marLeft w:val="0"/>
      <w:marRight w:val="0"/>
      <w:marTop w:val="0"/>
      <w:marBottom w:val="0"/>
      <w:divBdr>
        <w:top w:val="none" w:sz="0" w:space="0" w:color="auto"/>
        <w:left w:val="none" w:sz="0" w:space="0" w:color="auto"/>
        <w:bottom w:val="none" w:sz="0" w:space="0" w:color="auto"/>
        <w:right w:val="none" w:sz="0" w:space="0" w:color="auto"/>
      </w:divBdr>
    </w:div>
    <w:div w:id="170436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94A50-A7FF-45B2-9E5B-3EEE19EB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624</Words>
  <Characters>3435</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Vissers, Lisenka</dc:creator>
  <dc:description/>
  <cp:lastModifiedBy>Marouane, Abderrahim</cp:lastModifiedBy>
  <cp:revision>4</cp:revision>
  <dcterms:created xsi:type="dcterms:W3CDTF">2023-11-21T10:53:00Z</dcterms:created>
  <dcterms:modified xsi:type="dcterms:W3CDTF">2023-11-22T05:34:00Z</dcterms:modified>
</cp:coreProperties>
</file>